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80313" w14:textId="77777777" w:rsidR="005068B5" w:rsidRPr="00456775" w:rsidRDefault="005068B5" w:rsidP="005068B5">
      <w:pPr>
        <w:ind w:left="342"/>
        <w:jc w:val="center"/>
        <w:rPr>
          <w:rFonts w:ascii="Arial" w:hAnsi="Arial" w:cs="Arial"/>
          <w:b/>
          <w:color w:val="FF0000"/>
          <w:sz w:val="40"/>
          <w:szCs w:val="40"/>
        </w:rPr>
      </w:pPr>
      <w:bookmarkStart w:id="0" w:name="Year"/>
      <w:bookmarkStart w:id="1" w:name="Title"/>
      <w:bookmarkStart w:id="2" w:name="_GoBack"/>
      <w:bookmarkEnd w:id="2"/>
      <w:r>
        <w:rPr>
          <w:rFonts w:ascii="Arial" w:hAnsi="Arial" w:cs="Arial"/>
          <w:noProof/>
          <w:u w:val="single"/>
        </w:rPr>
        <w:drawing>
          <wp:anchor distT="0" distB="0" distL="114300" distR="114300" simplePos="0" relativeHeight="251761664" behindDoc="0" locked="0" layoutInCell="1" allowOverlap="1" wp14:anchorId="08141149" wp14:editId="04E7DBCA">
            <wp:simplePos x="0" y="0"/>
            <wp:positionH relativeFrom="column">
              <wp:posOffset>2385060</wp:posOffset>
            </wp:positionH>
            <wp:positionV relativeFrom="paragraph">
              <wp:posOffset>3175</wp:posOffset>
            </wp:positionV>
            <wp:extent cx="1600200" cy="1943100"/>
            <wp:effectExtent l="0" t="0" r="0" b="0"/>
            <wp:wrapNone/>
            <wp:docPr id="37" name="Picture 1" descr="Cityh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his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943100"/>
                    </a:xfrm>
                    <a:prstGeom prst="rect">
                      <a:avLst/>
                    </a:prstGeom>
                    <a:noFill/>
                  </pic:spPr>
                </pic:pic>
              </a:graphicData>
            </a:graphic>
            <wp14:sizeRelH relativeFrom="page">
              <wp14:pctWidth>0</wp14:pctWidth>
            </wp14:sizeRelH>
            <wp14:sizeRelV relativeFrom="page">
              <wp14:pctHeight>0</wp14:pctHeight>
            </wp14:sizeRelV>
          </wp:anchor>
        </w:drawing>
      </w:r>
    </w:p>
    <w:p w14:paraId="36CACD57" w14:textId="77777777" w:rsidR="005068B5" w:rsidRPr="00215045" w:rsidRDefault="005068B5" w:rsidP="005068B5">
      <w:pPr>
        <w:ind w:left="342"/>
        <w:jc w:val="center"/>
        <w:rPr>
          <w:rFonts w:asciiTheme="minorHAnsi" w:hAnsiTheme="minorHAnsi" w:cstheme="minorHAnsi"/>
          <w:b/>
          <w:color w:val="FF0000"/>
          <w:sz w:val="40"/>
          <w:szCs w:val="40"/>
        </w:rPr>
      </w:pPr>
    </w:p>
    <w:p w14:paraId="1D34497D" w14:textId="77777777" w:rsidR="005068B5" w:rsidRDefault="005068B5" w:rsidP="005068B5">
      <w:pPr>
        <w:ind w:left="342"/>
        <w:jc w:val="center"/>
        <w:rPr>
          <w:rFonts w:asciiTheme="minorHAnsi" w:hAnsiTheme="minorHAnsi" w:cstheme="minorHAnsi"/>
          <w:b/>
          <w:sz w:val="40"/>
          <w:szCs w:val="40"/>
        </w:rPr>
      </w:pPr>
    </w:p>
    <w:p w14:paraId="79F413CD" w14:textId="77777777" w:rsidR="005068B5" w:rsidRDefault="005068B5" w:rsidP="005068B5">
      <w:pPr>
        <w:ind w:left="342"/>
        <w:jc w:val="center"/>
        <w:rPr>
          <w:rFonts w:asciiTheme="minorHAnsi" w:hAnsiTheme="minorHAnsi" w:cstheme="minorHAnsi"/>
          <w:b/>
          <w:sz w:val="40"/>
          <w:szCs w:val="40"/>
        </w:rPr>
      </w:pPr>
    </w:p>
    <w:p w14:paraId="23A8A60C" w14:textId="77777777" w:rsidR="005068B5" w:rsidRDefault="005068B5" w:rsidP="005068B5">
      <w:pPr>
        <w:jc w:val="center"/>
        <w:rPr>
          <w:rFonts w:asciiTheme="minorHAnsi" w:hAnsiTheme="minorHAnsi" w:cstheme="minorHAnsi"/>
          <w:b/>
          <w:sz w:val="40"/>
          <w:szCs w:val="40"/>
        </w:rPr>
      </w:pPr>
    </w:p>
    <w:p w14:paraId="17F6D688" w14:textId="77777777" w:rsidR="005068B5" w:rsidRDefault="005068B5" w:rsidP="005068B5">
      <w:pPr>
        <w:ind w:left="342"/>
        <w:jc w:val="center"/>
        <w:rPr>
          <w:rFonts w:asciiTheme="minorHAnsi" w:hAnsiTheme="minorHAnsi" w:cstheme="minorHAnsi"/>
          <w:b/>
          <w:sz w:val="40"/>
          <w:szCs w:val="40"/>
        </w:rPr>
      </w:pPr>
    </w:p>
    <w:p w14:paraId="7390CD69" w14:textId="77777777" w:rsidR="005068B5" w:rsidRDefault="005068B5" w:rsidP="005068B5">
      <w:pPr>
        <w:ind w:left="342"/>
        <w:jc w:val="center"/>
        <w:rPr>
          <w:rFonts w:asciiTheme="minorHAnsi" w:hAnsiTheme="minorHAnsi" w:cstheme="minorHAnsi"/>
          <w:b/>
          <w:sz w:val="40"/>
          <w:szCs w:val="40"/>
        </w:rPr>
      </w:pPr>
    </w:p>
    <w:p w14:paraId="15252338" w14:textId="77777777" w:rsidR="005068B5" w:rsidRDefault="005068B5" w:rsidP="005068B5">
      <w:pPr>
        <w:ind w:left="342"/>
        <w:jc w:val="center"/>
        <w:rPr>
          <w:rFonts w:asciiTheme="minorHAnsi" w:hAnsiTheme="minorHAnsi" w:cstheme="minorHAnsi"/>
          <w:b/>
          <w:sz w:val="40"/>
          <w:szCs w:val="40"/>
        </w:rPr>
      </w:pPr>
    </w:p>
    <w:p w14:paraId="4CC4C860" w14:textId="77777777" w:rsidR="005068B5" w:rsidRDefault="005068B5" w:rsidP="005068B5">
      <w:pPr>
        <w:ind w:left="342"/>
        <w:jc w:val="center"/>
        <w:rPr>
          <w:rFonts w:asciiTheme="minorHAnsi" w:hAnsiTheme="minorHAnsi" w:cstheme="minorHAnsi"/>
          <w:b/>
          <w:sz w:val="40"/>
          <w:szCs w:val="40"/>
        </w:rPr>
      </w:pPr>
    </w:p>
    <w:p w14:paraId="3447EB15" w14:textId="77777777" w:rsidR="005068B5" w:rsidRDefault="005068B5" w:rsidP="005068B5">
      <w:pPr>
        <w:ind w:left="342"/>
        <w:jc w:val="center"/>
        <w:rPr>
          <w:rFonts w:asciiTheme="minorHAnsi" w:hAnsiTheme="minorHAnsi" w:cstheme="minorHAnsi"/>
          <w:b/>
          <w:sz w:val="40"/>
          <w:szCs w:val="40"/>
        </w:rPr>
      </w:pPr>
      <w:r>
        <w:rPr>
          <w:rFonts w:asciiTheme="minorHAnsi" w:hAnsiTheme="minorHAnsi" w:cstheme="minorHAnsi"/>
          <w:b/>
          <w:noProof/>
          <w:sz w:val="40"/>
          <w:szCs w:val="40"/>
        </w:rPr>
        <mc:AlternateContent>
          <mc:Choice Requires="wps">
            <w:drawing>
              <wp:anchor distT="0" distB="0" distL="114300" distR="114300" simplePos="0" relativeHeight="251762688" behindDoc="0" locked="0" layoutInCell="1" allowOverlap="1" wp14:anchorId="4DE785AF" wp14:editId="46007858">
                <wp:simplePos x="0" y="0"/>
                <wp:positionH relativeFrom="column">
                  <wp:posOffset>-664210</wp:posOffset>
                </wp:positionH>
                <wp:positionV relativeFrom="paragraph">
                  <wp:posOffset>38100</wp:posOffset>
                </wp:positionV>
                <wp:extent cx="7824470" cy="1002030"/>
                <wp:effectExtent l="12065" t="10160" r="12065" b="6985"/>
                <wp:wrapNone/>
                <wp:docPr id="3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1002030"/>
                        </a:xfrm>
                        <a:prstGeom prst="rect">
                          <a:avLst/>
                        </a:prstGeom>
                        <a:solidFill>
                          <a:srgbClr val="17365D"/>
                        </a:solidFill>
                        <a:ln w="9525">
                          <a:solidFill>
                            <a:srgbClr val="000000"/>
                          </a:solidFill>
                          <a:miter lim="800000"/>
                          <a:headEnd/>
                          <a:tailEnd/>
                        </a:ln>
                      </wps:spPr>
                      <wps:txbx>
                        <w:txbxContent>
                          <w:p w14:paraId="5CED672A" w14:textId="77777777" w:rsidR="00110B73" w:rsidRPr="00AC2D35" w:rsidRDefault="00110B73" w:rsidP="005068B5">
                            <w:pPr>
                              <w:jc w:val="center"/>
                              <w:rPr>
                                <w:rFonts w:ascii="Georgia" w:hAnsi="Georgia"/>
                                <w:color w:val="FFFFFF"/>
                                <w:sz w:val="32"/>
                                <w:szCs w:val="32"/>
                              </w:rPr>
                            </w:pPr>
                          </w:p>
                          <w:p w14:paraId="1A9B8FBA" w14:textId="77777777" w:rsidR="00110B73" w:rsidRPr="00AC2D35" w:rsidRDefault="00110B73" w:rsidP="005068B5">
                            <w:pPr>
                              <w:jc w:val="center"/>
                              <w:rPr>
                                <w:rFonts w:ascii="Georgia" w:hAnsi="Georgia"/>
                                <w:color w:val="FFFFFF"/>
                                <w:sz w:val="32"/>
                                <w:szCs w:val="32"/>
                              </w:rPr>
                            </w:pPr>
                            <w:r w:rsidRPr="00AC2D35">
                              <w:rPr>
                                <w:rFonts w:ascii="Georgia" w:hAnsi="Georgia"/>
                                <w:color w:val="FFFFFF"/>
                                <w:sz w:val="32"/>
                                <w:szCs w:val="32"/>
                              </w:rPr>
                              <w:t xml:space="preserve">CONSOLIDATED ANNUAL PERFORMANCE </w:t>
                            </w:r>
                          </w:p>
                          <w:p w14:paraId="5CE58166" w14:textId="77777777" w:rsidR="00110B73" w:rsidRPr="00AC2D35" w:rsidRDefault="00110B73" w:rsidP="005068B5">
                            <w:pPr>
                              <w:jc w:val="center"/>
                              <w:rPr>
                                <w:rFonts w:ascii="Georgia" w:hAnsi="Georgia"/>
                                <w:color w:val="FFFFFF"/>
                                <w:sz w:val="32"/>
                                <w:szCs w:val="32"/>
                              </w:rPr>
                            </w:pPr>
                            <w:r w:rsidRPr="00AC2D35">
                              <w:rPr>
                                <w:rFonts w:ascii="Georgia" w:hAnsi="Georgia"/>
                                <w:i/>
                                <w:color w:val="FFFFFF"/>
                                <w:sz w:val="32"/>
                                <w:szCs w:val="32"/>
                              </w:rPr>
                              <w:t>and</w:t>
                            </w:r>
                            <w:r w:rsidRPr="00AC2D35">
                              <w:rPr>
                                <w:rFonts w:ascii="Georgia" w:hAnsi="Georgia"/>
                                <w:color w:val="FFFFFF"/>
                                <w:sz w:val="32"/>
                                <w:szCs w:val="32"/>
                              </w:rPr>
                              <w:t xml:space="preserve"> EVALUATION REPORT</w:t>
                            </w:r>
                          </w:p>
                          <w:p w14:paraId="6BA2140C" w14:textId="77777777" w:rsidR="00110B73" w:rsidRDefault="00110B73" w:rsidP="005068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785AF" id="_x0000_t202" coordsize="21600,21600" o:spt="202" path="m,l,21600r21600,l21600,xe">
                <v:stroke joinstyle="miter"/>
                <v:path gradientshapeok="t" o:connecttype="rect"/>
              </v:shapetype>
              <v:shape id="Text Box 11" o:spid="_x0000_s1026" type="#_x0000_t202" style="position:absolute;left:0;text-align:left;margin-left:-52.3pt;margin-top:3pt;width:616.1pt;height:78.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" fillcolor="#17365d">
                <v:textbox>
                  <w:txbxContent>
                    <w:p w14:paraId="5CED672A" w14:textId="77777777" w:rsidR="00110B73" w:rsidRPr="00AC2D35" w:rsidRDefault="00110B73" w:rsidP="005068B5">
                      <w:pPr>
                        <w:jc w:val="center"/>
                        <w:rPr>
                          <w:rFonts w:ascii="Georgia" w:hAnsi="Georgia"/>
                          <w:color w:val="FFFFFF"/>
                          <w:sz w:val="32"/>
                          <w:szCs w:val="32"/>
                        </w:rPr>
                      </w:pPr>
                    </w:p>
                    <w:p w14:paraId="1A9B8FBA" w14:textId="77777777" w:rsidR="00110B73" w:rsidRPr="00AC2D35" w:rsidRDefault="00110B73" w:rsidP="005068B5">
                      <w:pPr>
                        <w:jc w:val="center"/>
                        <w:rPr>
                          <w:rFonts w:ascii="Georgia" w:hAnsi="Georgia"/>
                          <w:color w:val="FFFFFF"/>
                          <w:sz w:val="32"/>
                          <w:szCs w:val="32"/>
                        </w:rPr>
                      </w:pPr>
                      <w:r w:rsidRPr="00AC2D35">
                        <w:rPr>
                          <w:rFonts w:ascii="Georgia" w:hAnsi="Georgia"/>
                          <w:color w:val="FFFFFF"/>
                          <w:sz w:val="32"/>
                          <w:szCs w:val="32"/>
                        </w:rPr>
                        <w:t xml:space="preserve">CONSOLIDATED ANNUAL PERFORMANCE </w:t>
                      </w:r>
                    </w:p>
                    <w:p w14:paraId="5CE58166" w14:textId="77777777" w:rsidR="00110B73" w:rsidRPr="00AC2D35" w:rsidRDefault="00110B73" w:rsidP="005068B5">
                      <w:pPr>
                        <w:jc w:val="center"/>
                        <w:rPr>
                          <w:rFonts w:ascii="Georgia" w:hAnsi="Georgia"/>
                          <w:color w:val="FFFFFF"/>
                          <w:sz w:val="32"/>
                          <w:szCs w:val="32"/>
                        </w:rPr>
                      </w:pPr>
                      <w:r w:rsidRPr="00AC2D35">
                        <w:rPr>
                          <w:rFonts w:ascii="Georgia" w:hAnsi="Georgia"/>
                          <w:i/>
                          <w:color w:val="FFFFFF"/>
                          <w:sz w:val="32"/>
                          <w:szCs w:val="32"/>
                        </w:rPr>
                        <w:t>and</w:t>
                      </w:r>
                      <w:r w:rsidRPr="00AC2D35">
                        <w:rPr>
                          <w:rFonts w:ascii="Georgia" w:hAnsi="Georgia"/>
                          <w:color w:val="FFFFFF"/>
                          <w:sz w:val="32"/>
                          <w:szCs w:val="32"/>
                        </w:rPr>
                        <w:t xml:space="preserve"> EVALUATION REPORT</w:t>
                      </w:r>
                    </w:p>
                    <w:p w14:paraId="6BA2140C" w14:textId="77777777" w:rsidR="00110B73" w:rsidRDefault="00110B73" w:rsidP="005068B5"/>
                  </w:txbxContent>
                </v:textbox>
              </v:shape>
            </w:pict>
          </mc:Fallback>
        </mc:AlternateContent>
      </w:r>
    </w:p>
    <w:p w14:paraId="46126729" w14:textId="77777777" w:rsidR="005068B5" w:rsidRDefault="005068B5" w:rsidP="005068B5">
      <w:pPr>
        <w:ind w:left="342"/>
        <w:jc w:val="center"/>
        <w:rPr>
          <w:rFonts w:asciiTheme="minorHAnsi" w:hAnsiTheme="minorHAnsi" w:cstheme="minorHAnsi"/>
          <w:b/>
          <w:sz w:val="40"/>
          <w:szCs w:val="40"/>
        </w:rPr>
      </w:pPr>
    </w:p>
    <w:p w14:paraId="4B0C6443" w14:textId="77777777" w:rsidR="005068B5" w:rsidRDefault="005068B5" w:rsidP="005068B5">
      <w:pPr>
        <w:ind w:left="342"/>
        <w:jc w:val="center"/>
        <w:rPr>
          <w:rFonts w:asciiTheme="minorHAnsi" w:hAnsiTheme="minorHAnsi" w:cstheme="minorHAnsi"/>
          <w:b/>
          <w:sz w:val="40"/>
          <w:szCs w:val="40"/>
        </w:rPr>
      </w:pPr>
    </w:p>
    <w:p w14:paraId="356F4C69" w14:textId="77777777" w:rsidR="005068B5" w:rsidRPr="00B3495E" w:rsidRDefault="005068B5" w:rsidP="005068B5">
      <w:pPr>
        <w:jc w:val="center"/>
        <w:rPr>
          <w:rFonts w:ascii="Georgia" w:hAnsi="Georgia"/>
          <w:b/>
          <w:color w:val="404040" w:themeColor="text1" w:themeTint="BF"/>
          <w:sz w:val="32"/>
          <w:szCs w:val="32"/>
        </w:rPr>
      </w:pPr>
    </w:p>
    <w:p w14:paraId="09D32B78" w14:textId="77777777" w:rsidR="005068B5" w:rsidRDefault="005068B5" w:rsidP="005068B5">
      <w:pPr>
        <w:jc w:val="center"/>
        <w:rPr>
          <w:rFonts w:ascii="Georgia" w:hAnsi="Georgia"/>
          <w:b/>
          <w:color w:val="404040" w:themeColor="text1" w:themeTint="BF"/>
          <w:sz w:val="32"/>
          <w:szCs w:val="32"/>
        </w:rPr>
      </w:pPr>
    </w:p>
    <w:p w14:paraId="05374D79" w14:textId="77777777" w:rsidR="005068B5" w:rsidRPr="001F596D" w:rsidRDefault="005068B5" w:rsidP="005068B5">
      <w:pPr>
        <w:spacing w:line="360" w:lineRule="auto"/>
        <w:jc w:val="center"/>
        <w:rPr>
          <w:rFonts w:ascii="Georgia" w:hAnsi="Georgia"/>
          <w:b/>
          <w:color w:val="404040" w:themeColor="text1" w:themeTint="BF"/>
          <w:sz w:val="24"/>
        </w:rPr>
      </w:pPr>
      <w:r w:rsidRPr="001F596D">
        <w:rPr>
          <w:rFonts w:ascii="Georgia" w:hAnsi="Georgia"/>
          <w:b/>
          <w:color w:val="404040" w:themeColor="text1" w:themeTint="BF"/>
          <w:sz w:val="24"/>
        </w:rPr>
        <w:t xml:space="preserve">HUD PROGRAM YEAR </w:t>
      </w:r>
      <w:r>
        <w:rPr>
          <w:rFonts w:ascii="Georgia" w:hAnsi="Georgia"/>
          <w:b/>
          <w:color w:val="404040" w:themeColor="text1" w:themeTint="BF"/>
          <w:sz w:val="24"/>
        </w:rPr>
        <w:t>2017</w:t>
      </w:r>
    </w:p>
    <w:p w14:paraId="35A3DB3F" w14:textId="77777777" w:rsidR="005068B5" w:rsidRDefault="005068B5" w:rsidP="005068B5">
      <w:pPr>
        <w:spacing w:line="360" w:lineRule="auto"/>
        <w:jc w:val="center"/>
        <w:rPr>
          <w:rFonts w:ascii="Georgia" w:hAnsi="Georgia"/>
          <w:b/>
          <w:color w:val="404040" w:themeColor="text1" w:themeTint="BF"/>
          <w:sz w:val="24"/>
        </w:rPr>
      </w:pPr>
      <w:r w:rsidRPr="001F596D">
        <w:rPr>
          <w:rFonts w:ascii="Georgia" w:hAnsi="Georgia"/>
          <w:b/>
          <w:color w:val="404040" w:themeColor="text1" w:themeTint="BF"/>
          <w:sz w:val="24"/>
        </w:rPr>
        <w:t xml:space="preserve">FISCAL YEAR </w:t>
      </w:r>
      <w:r>
        <w:rPr>
          <w:rFonts w:ascii="Georgia" w:hAnsi="Georgia"/>
          <w:b/>
          <w:color w:val="404040" w:themeColor="text1" w:themeTint="BF"/>
          <w:sz w:val="24"/>
        </w:rPr>
        <w:t>2018</w:t>
      </w:r>
    </w:p>
    <w:p w14:paraId="6A1ED3E1" w14:textId="77777777" w:rsidR="005068B5" w:rsidRDefault="005068B5" w:rsidP="005068B5">
      <w:pPr>
        <w:jc w:val="center"/>
        <w:rPr>
          <w:rFonts w:ascii="Georgia" w:hAnsi="Georgia"/>
          <w:b/>
          <w:color w:val="404040" w:themeColor="text1" w:themeTint="BF"/>
          <w:sz w:val="24"/>
        </w:rPr>
      </w:pPr>
    </w:p>
    <w:p w14:paraId="3BB35055" w14:textId="77777777" w:rsidR="005068B5" w:rsidRPr="001F596D" w:rsidRDefault="005068B5" w:rsidP="005068B5">
      <w:pPr>
        <w:jc w:val="center"/>
        <w:rPr>
          <w:rFonts w:ascii="Georgia" w:hAnsi="Georgia"/>
          <w:b/>
          <w:color w:val="404040" w:themeColor="text1" w:themeTint="BF"/>
          <w:sz w:val="32"/>
          <w:szCs w:val="32"/>
        </w:rPr>
      </w:pPr>
    </w:p>
    <w:p w14:paraId="691D8E70" w14:textId="77777777" w:rsidR="005068B5" w:rsidRPr="001F596D" w:rsidRDefault="005068B5" w:rsidP="005068B5">
      <w:pPr>
        <w:jc w:val="center"/>
        <w:rPr>
          <w:rFonts w:ascii="Georgia" w:eastAsiaTheme="minorEastAsia" w:hAnsi="Georgia"/>
          <w:noProof/>
          <w:color w:val="404040" w:themeColor="text1" w:themeTint="BF"/>
        </w:rPr>
      </w:pPr>
    </w:p>
    <w:p w14:paraId="2DEE5C6B" w14:textId="77777777" w:rsidR="005068B5" w:rsidRPr="001F596D" w:rsidRDefault="005068B5" w:rsidP="005068B5">
      <w:pPr>
        <w:jc w:val="center"/>
        <w:rPr>
          <w:rFonts w:ascii="Georgia" w:hAnsi="Georgia"/>
          <w:b/>
          <w:color w:val="404040" w:themeColor="text1" w:themeTint="BF"/>
          <w:sz w:val="32"/>
          <w:szCs w:val="32"/>
        </w:rPr>
      </w:pPr>
    </w:p>
    <w:p w14:paraId="2C5C46C5" w14:textId="77777777" w:rsidR="005068B5" w:rsidRPr="001F596D" w:rsidRDefault="005068B5" w:rsidP="005068B5">
      <w:pPr>
        <w:jc w:val="center"/>
        <w:rPr>
          <w:rFonts w:ascii="Georgia" w:hAnsi="Georgia"/>
          <w:b/>
          <w:color w:val="404040" w:themeColor="text1" w:themeTint="BF"/>
          <w:sz w:val="32"/>
          <w:szCs w:val="32"/>
        </w:rPr>
      </w:pPr>
    </w:p>
    <w:p w14:paraId="6B13BB7F" w14:textId="77777777" w:rsidR="005068B5" w:rsidRPr="001F596D" w:rsidRDefault="005068B5" w:rsidP="005068B5">
      <w:pPr>
        <w:jc w:val="center"/>
        <w:rPr>
          <w:rFonts w:ascii="Georgia" w:hAnsi="Georgia"/>
          <w:b/>
          <w:color w:val="404040" w:themeColor="text1" w:themeTint="BF"/>
          <w:sz w:val="32"/>
          <w:szCs w:val="32"/>
        </w:rPr>
      </w:pPr>
    </w:p>
    <w:p w14:paraId="6F0CDF5C" w14:textId="77777777" w:rsidR="005068B5" w:rsidRPr="001F596D" w:rsidRDefault="005068B5" w:rsidP="005068B5">
      <w:pPr>
        <w:jc w:val="center"/>
        <w:rPr>
          <w:rFonts w:ascii="Georgia" w:hAnsi="Georgia"/>
          <w:b/>
          <w:color w:val="404040" w:themeColor="text1" w:themeTint="BF"/>
          <w:sz w:val="32"/>
          <w:szCs w:val="32"/>
        </w:rPr>
      </w:pPr>
    </w:p>
    <w:p w14:paraId="5BE1BFBC" w14:textId="77777777" w:rsidR="005068B5" w:rsidRDefault="005068B5" w:rsidP="005068B5">
      <w:pPr>
        <w:jc w:val="center"/>
        <w:rPr>
          <w:rFonts w:ascii="Georgia" w:hAnsi="Georgia"/>
          <w:b/>
          <w:color w:val="404040" w:themeColor="text1" w:themeTint="BF"/>
          <w:sz w:val="32"/>
          <w:szCs w:val="32"/>
        </w:rPr>
      </w:pPr>
    </w:p>
    <w:p w14:paraId="7E857E1D" w14:textId="77777777" w:rsidR="005068B5" w:rsidRPr="001F596D" w:rsidRDefault="005068B5" w:rsidP="005068B5">
      <w:pPr>
        <w:jc w:val="center"/>
        <w:rPr>
          <w:rFonts w:ascii="Georgia" w:hAnsi="Georgia"/>
          <w:b/>
          <w:color w:val="404040" w:themeColor="text1" w:themeTint="BF"/>
          <w:sz w:val="32"/>
          <w:szCs w:val="32"/>
        </w:rPr>
      </w:pPr>
    </w:p>
    <w:p w14:paraId="6244112C" w14:textId="77777777" w:rsidR="005068B5" w:rsidRPr="001F596D" w:rsidRDefault="005068B5" w:rsidP="005068B5">
      <w:pPr>
        <w:jc w:val="right"/>
        <w:rPr>
          <w:rFonts w:ascii="Georgia" w:hAnsi="Georgia"/>
          <w:b/>
          <w:color w:val="404040" w:themeColor="text1" w:themeTint="BF"/>
          <w:sz w:val="32"/>
          <w:szCs w:val="32"/>
        </w:rPr>
      </w:pPr>
      <w:r w:rsidRPr="001F596D">
        <w:rPr>
          <w:rFonts w:ascii="Georgia" w:hAnsi="Georgia"/>
          <w:b/>
          <w:color w:val="404040" w:themeColor="text1" w:themeTint="BF"/>
          <w:sz w:val="32"/>
          <w:szCs w:val="32"/>
        </w:rPr>
        <w:t>SALT LAKE CITY CORPORATION</w:t>
      </w:r>
    </w:p>
    <w:p w14:paraId="6853C1E3" w14:textId="77777777" w:rsidR="005068B5" w:rsidRPr="001F596D" w:rsidRDefault="005068B5" w:rsidP="005068B5">
      <w:pPr>
        <w:jc w:val="right"/>
        <w:rPr>
          <w:rFonts w:ascii="Georgia" w:hAnsi="Georgia"/>
          <w:b/>
          <w:color w:val="404040" w:themeColor="text1" w:themeTint="BF"/>
        </w:rPr>
      </w:pPr>
    </w:p>
    <w:p w14:paraId="704219CC" w14:textId="77777777" w:rsidR="005068B5" w:rsidRPr="001F596D" w:rsidRDefault="005068B5" w:rsidP="005068B5">
      <w:pPr>
        <w:spacing w:after="120"/>
        <w:jc w:val="right"/>
        <w:rPr>
          <w:rFonts w:ascii="Georgia" w:eastAsiaTheme="minorEastAsia" w:hAnsi="Georgia"/>
          <w:noProof/>
          <w:color w:val="404040" w:themeColor="text1" w:themeTint="BF"/>
          <w:sz w:val="18"/>
          <w:szCs w:val="18"/>
        </w:rPr>
      </w:pPr>
      <w:r>
        <w:rPr>
          <w:rFonts w:ascii="Georgia" w:eastAsiaTheme="minorEastAsia" w:hAnsi="Georgia"/>
          <w:noProof/>
          <w:color w:val="404040" w:themeColor="text1" w:themeTint="BF"/>
          <w:sz w:val="18"/>
          <w:szCs w:val="18"/>
        </w:rPr>
        <w:t xml:space="preserve">DEPARTMENT OF </w:t>
      </w:r>
      <w:r w:rsidRPr="001F596D">
        <w:rPr>
          <w:rFonts w:ascii="Georgia" w:eastAsiaTheme="minorEastAsia" w:hAnsi="Georgia"/>
          <w:noProof/>
          <w:color w:val="404040" w:themeColor="text1" w:themeTint="BF"/>
          <w:sz w:val="18"/>
          <w:szCs w:val="18"/>
        </w:rPr>
        <w:t xml:space="preserve">COMMUNITY </w:t>
      </w:r>
      <w:r w:rsidRPr="001F596D">
        <w:rPr>
          <w:rFonts w:ascii="Georgia" w:eastAsiaTheme="minorEastAsia" w:hAnsi="Georgia"/>
          <w:i/>
          <w:iCs/>
          <w:noProof/>
          <w:color w:val="404040" w:themeColor="text1" w:themeTint="BF"/>
          <w:sz w:val="18"/>
          <w:szCs w:val="18"/>
        </w:rPr>
        <w:t>and</w:t>
      </w:r>
      <w:r w:rsidRPr="001F596D">
        <w:rPr>
          <w:rFonts w:ascii="Georgia" w:eastAsiaTheme="minorEastAsia" w:hAnsi="Georgia"/>
          <w:noProof/>
          <w:color w:val="404040" w:themeColor="text1" w:themeTint="BF"/>
          <w:sz w:val="18"/>
          <w:szCs w:val="18"/>
        </w:rPr>
        <w:t> </w:t>
      </w:r>
      <w:r>
        <w:rPr>
          <w:rFonts w:ascii="Georgia" w:eastAsiaTheme="minorEastAsia" w:hAnsi="Georgia"/>
          <w:noProof/>
          <w:color w:val="404040" w:themeColor="text1" w:themeTint="BF"/>
          <w:sz w:val="18"/>
          <w:szCs w:val="18"/>
        </w:rPr>
        <w:t xml:space="preserve">NEIGHBORHOODS </w:t>
      </w:r>
    </w:p>
    <w:p w14:paraId="32E49C60" w14:textId="77777777" w:rsidR="005068B5" w:rsidRPr="001F596D" w:rsidRDefault="005068B5" w:rsidP="005068B5">
      <w:pPr>
        <w:jc w:val="right"/>
        <w:rPr>
          <w:rFonts w:ascii="Georgia" w:hAnsi="Georgia"/>
          <w:b/>
          <w:color w:val="404040" w:themeColor="text1" w:themeTint="BF"/>
          <w:sz w:val="18"/>
          <w:szCs w:val="18"/>
        </w:rPr>
      </w:pPr>
      <w:r w:rsidRPr="001F596D">
        <w:rPr>
          <w:rFonts w:ascii="Georgia" w:eastAsiaTheme="minorEastAsia" w:hAnsi="Georgia"/>
          <w:noProof/>
          <w:color w:val="404040" w:themeColor="text1" w:themeTint="BF"/>
          <w:sz w:val="18"/>
          <w:szCs w:val="18"/>
        </w:rPr>
        <w:t xml:space="preserve">HOUSING </w:t>
      </w:r>
      <w:r w:rsidRPr="001F596D">
        <w:rPr>
          <w:rFonts w:ascii="Georgia" w:eastAsiaTheme="minorEastAsia" w:hAnsi="Georgia"/>
          <w:i/>
          <w:iCs/>
          <w:noProof/>
          <w:color w:val="404040" w:themeColor="text1" w:themeTint="BF"/>
          <w:sz w:val="18"/>
          <w:szCs w:val="18"/>
        </w:rPr>
        <w:t>and</w:t>
      </w:r>
      <w:r w:rsidRPr="001F596D">
        <w:rPr>
          <w:rFonts w:ascii="Georgia" w:eastAsiaTheme="minorEastAsia" w:hAnsi="Georgia"/>
          <w:noProof/>
          <w:color w:val="404040" w:themeColor="text1" w:themeTint="BF"/>
          <w:sz w:val="18"/>
          <w:szCs w:val="18"/>
        </w:rPr>
        <w:t> NEIGHBORHOOD DEVELOPMENT DIVISION</w:t>
      </w:r>
    </w:p>
    <w:p w14:paraId="074FCCB2" w14:textId="77777777" w:rsidR="005068B5" w:rsidRPr="001F596D" w:rsidRDefault="005068B5" w:rsidP="005068B5">
      <w:pPr>
        <w:jc w:val="right"/>
        <w:rPr>
          <w:rFonts w:ascii="Georgia" w:hAnsi="Georgia"/>
          <w:b/>
          <w:color w:val="404040" w:themeColor="text1" w:themeTint="BF"/>
          <w:sz w:val="28"/>
          <w:szCs w:val="28"/>
        </w:rPr>
      </w:pPr>
    </w:p>
    <w:p w14:paraId="1B6C7686" w14:textId="77777777" w:rsidR="005068B5" w:rsidRPr="001F596D" w:rsidRDefault="005068B5" w:rsidP="005068B5">
      <w:pPr>
        <w:jc w:val="right"/>
        <w:rPr>
          <w:rFonts w:ascii="Georgia" w:hAnsi="Georgia"/>
          <w:b/>
          <w:color w:val="404040" w:themeColor="text1" w:themeTint="BF"/>
          <w:sz w:val="28"/>
          <w:szCs w:val="28"/>
        </w:rPr>
      </w:pPr>
    </w:p>
    <w:p w14:paraId="2B0BAC73" w14:textId="77777777" w:rsidR="005068B5" w:rsidRPr="001F596D" w:rsidRDefault="005068B5" w:rsidP="005068B5">
      <w:pPr>
        <w:spacing w:line="360" w:lineRule="auto"/>
        <w:jc w:val="right"/>
        <w:rPr>
          <w:rFonts w:ascii="Georgia" w:hAnsi="Georgia"/>
          <w:color w:val="404040" w:themeColor="text1" w:themeTint="BF"/>
          <w:szCs w:val="20"/>
        </w:rPr>
      </w:pPr>
      <w:r>
        <w:rPr>
          <w:rFonts w:ascii="Georgia" w:hAnsi="Georgia"/>
          <w:color w:val="404040" w:themeColor="text1" w:themeTint="BF"/>
          <w:szCs w:val="20"/>
        </w:rPr>
        <w:t>MELISSA JENSEN</w:t>
      </w:r>
      <w:r w:rsidRPr="001F596D">
        <w:rPr>
          <w:rFonts w:ascii="Georgia" w:hAnsi="Georgia"/>
          <w:color w:val="404040" w:themeColor="text1" w:themeTint="BF"/>
          <w:szCs w:val="20"/>
        </w:rPr>
        <w:t xml:space="preserve">, </w:t>
      </w:r>
      <w:r w:rsidRPr="001F596D">
        <w:rPr>
          <w:rFonts w:ascii="Georgia" w:hAnsi="Georgia"/>
          <w:i/>
          <w:color w:val="404040" w:themeColor="text1" w:themeTint="BF"/>
          <w:szCs w:val="20"/>
        </w:rPr>
        <w:t xml:space="preserve">Director </w:t>
      </w:r>
      <w:r>
        <w:rPr>
          <w:rFonts w:ascii="Georgia" w:hAnsi="Georgia"/>
          <w:color w:val="404040" w:themeColor="text1" w:themeTint="BF"/>
          <w:szCs w:val="20"/>
        </w:rPr>
        <w:t>801-535-6035</w:t>
      </w:r>
    </w:p>
    <w:p w14:paraId="79E39356" w14:textId="77777777" w:rsidR="005068B5" w:rsidRPr="005D1462" w:rsidRDefault="005068B5" w:rsidP="005068B5">
      <w:pPr>
        <w:spacing w:line="360" w:lineRule="auto"/>
        <w:jc w:val="right"/>
        <w:rPr>
          <w:rFonts w:ascii="Georgia" w:hAnsi="Georgia"/>
          <w:color w:val="404040" w:themeColor="text1" w:themeTint="BF"/>
          <w:szCs w:val="20"/>
        </w:rPr>
      </w:pPr>
      <w:r w:rsidRPr="001F596D">
        <w:rPr>
          <w:rFonts w:ascii="Georgia" w:hAnsi="Georgia"/>
          <w:color w:val="404040" w:themeColor="text1" w:themeTint="BF"/>
          <w:szCs w:val="20"/>
        </w:rPr>
        <w:t xml:space="preserve">JENNIFER SCHUMANN, </w:t>
      </w:r>
      <w:r w:rsidRPr="001F596D">
        <w:rPr>
          <w:rFonts w:ascii="Georgia" w:hAnsi="Georgia"/>
          <w:i/>
          <w:color w:val="404040" w:themeColor="text1" w:themeTint="BF"/>
          <w:szCs w:val="20"/>
        </w:rPr>
        <w:t>Capital Planning Manager</w:t>
      </w:r>
      <w:r w:rsidRPr="001F596D">
        <w:rPr>
          <w:rFonts w:ascii="Georgia" w:hAnsi="Georgia"/>
          <w:color w:val="404040" w:themeColor="text1" w:themeTint="BF"/>
          <w:szCs w:val="20"/>
        </w:rPr>
        <w:t xml:space="preserve"> 801-535-7276</w:t>
      </w:r>
    </w:p>
    <w:p w14:paraId="2A984919" w14:textId="77777777" w:rsidR="005068B5" w:rsidRPr="00F21C26" w:rsidRDefault="005068B5" w:rsidP="005068B5">
      <w:pPr>
        <w:pStyle w:val="Title"/>
        <w:spacing w:after="120"/>
        <w:ind w:left="360" w:right="360"/>
        <w:jc w:val="left"/>
        <w:rPr>
          <w:rFonts w:ascii="Gotham Bold" w:hAnsi="Gotham Bold"/>
          <w:color w:val="17365D" w:themeColor="text2" w:themeShade="BF"/>
          <w:sz w:val="40"/>
          <w:szCs w:val="40"/>
        </w:rPr>
      </w:pPr>
      <w:r>
        <w:rPr>
          <w:rFonts w:ascii="Gotham Bold" w:hAnsi="Gotham Bold"/>
          <w:color w:val="17365D" w:themeColor="text2" w:themeShade="BF"/>
          <w:sz w:val="40"/>
          <w:szCs w:val="40"/>
        </w:rPr>
        <w:br w:type="page"/>
      </w:r>
      <w:r>
        <w:rPr>
          <w:rFonts w:ascii="Gotham Bold" w:hAnsi="Gotham Bold"/>
          <w:color w:val="17365D" w:themeColor="text2" w:themeShade="BF"/>
          <w:sz w:val="40"/>
          <w:szCs w:val="40"/>
        </w:rPr>
        <w:lastRenderedPageBreak/>
        <w:br w:type="page"/>
      </w:r>
      <w:r w:rsidRPr="00F21C26">
        <w:rPr>
          <w:rFonts w:ascii="Gotham Bold" w:hAnsi="Gotham Bold"/>
          <w:noProof/>
          <w:color w:val="17365D" w:themeColor="text2" w:themeShade="BF"/>
          <w:sz w:val="40"/>
          <w:szCs w:val="40"/>
        </w:rPr>
        <w:lastRenderedPageBreak/>
        <mc:AlternateContent>
          <mc:Choice Requires="wps">
            <w:drawing>
              <wp:anchor distT="0" distB="0" distL="114300" distR="114300" simplePos="0" relativeHeight="251763712" behindDoc="0" locked="0" layoutInCell="1" allowOverlap="1" wp14:anchorId="1B15A5C8" wp14:editId="2885AD05">
                <wp:simplePos x="0" y="0"/>
                <wp:positionH relativeFrom="column">
                  <wp:posOffset>-49530</wp:posOffset>
                </wp:positionH>
                <wp:positionV relativeFrom="paragraph">
                  <wp:posOffset>295275</wp:posOffset>
                </wp:positionV>
                <wp:extent cx="6638925" cy="0"/>
                <wp:effectExtent l="7620" t="9525" r="11430" b="9525"/>
                <wp:wrapNone/>
                <wp:docPr id="3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D44988" id="_x0000_t32" coordsize="21600,21600" o:spt="32" o:oned="t" path="m,l21600,21600e" filled="f">
                <v:path arrowok="t" fillok="f" o:connecttype="none"/>
                <o:lock v:ext="edit" shapetype="t"/>
              </v:shapetype>
              <v:shape id="AutoShape 13" o:spid="_x0000_s1026" type="#_x0000_t32" style="position:absolute;margin-left:-3.9pt;margin-top:23.25pt;width:522.7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" strokecolor="#548dd4"/>
            </w:pict>
          </mc:Fallback>
        </mc:AlternateContent>
      </w:r>
      <w:r w:rsidRPr="00F21C26">
        <w:rPr>
          <w:rFonts w:ascii="Gotham Bold" w:hAnsi="Gotham Bold"/>
          <w:color w:val="17365D" w:themeColor="text2" w:themeShade="BF"/>
          <w:sz w:val="40"/>
          <w:szCs w:val="40"/>
        </w:rPr>
        <w:t>TABLE OF CONTENTS</w:t>
      </w:r>
    </w:p>
    <w:p w14:paraId="2F390B7D" w14:textId="77777777" w:rsidR="005068B5" w:rsidRPr="00F21C26" w:rsidRDefault="005068B5" w:rsidP="005068B5">
      <w:pPr>
        <w:spacing w:line="276" w:lineRule="auto"/>
        <w:ind w:left="360" w:right="360"/>
        <w:rPr>
          <w:rFonts w:asciiTheme="minorHAnsi" w:hAnsiTheme="minorHAnsi" w:cs="Arial"/>
          <w:color w:val="404040" w:themeColor="text1" w:themeTint="BF"/>
          <w:szCs w:val="20"/>
        </w:rPr>
      </w:pPr>
    </w:p>
    <w:p w14:paraId="3A7A9839" w14:textId="77777777" w:rsidR="005068B5" w:rsidRPr="00F21C26" w:rsidRDefault="005068B5" w:rsidP="005068B5">
      <w:pPr>
        <w:spacing w:line="480" w:lineRule="auto"/>
        <w:ind w:left="360" w:right="360"/>
        <w:rPr>
          <w:rFonts w:asciiTheme="minorHAnsi" w:hAnsiTheme="minorHAnsi" w:cstheme="minorHAnsi"/>
          <w:color w:val="404040" w:themeColor="text1" w:themeTint="BF"/>
          <w:szCs w:val="20"/>
        </w:rPr>
      </w:pPr>
      <w:r w:rsidRPr="00F21C26">
        <w:rPr>
          <w:rFonts w:asciiTheme="minorHAnsi" w:hAnsiTheme="minorHAnsi" w:cstheme="minorHAnsi"/>
          <w:color w:val="404040" w:themeColor="text1" w:themeTint="BF"/>
          <w:szCs w:val="20"/>
        </w:rPr>
        <w:t>EXECUTIVE SUMMARY………………………………………………………………….…………………………………………….….………..…………04</w:t>
      </w:r>
    </w:p>
    <w:p w14:paraId="0C2E8612" w14:textId="77777777" w:rsidR="005068B5" w:rsidRPr="00F21C26" w:rsidRDefault="005068B5" w:rsidP="005068B5">
      <w:pPr>
        <w:spacing w:line="480" w:lineRule="auto"/>
        <w:ind w:left="360" w:right="360"/>
        <w:rPr>
          <w:rFonts w:asciiTheme="minorHAnsi" w:hAnsiTheme="minorHAnsi" w:cstheme="minorHAnsi"/>
          <w:color w:val="404040" w:themeColor="text1" w:themeTint="BF"/>
          <w:szCs w:val="20"/>
        </w:rPr>
      </w:pPr>
      <w:r w:rsidRPr="00F21C26">
        <w:rPr>
          <w:rFonts w:asciiTheme="minorHAnsi" w:hAnsiTheme="minorHAnsi" w:cstheme="minorHAnsi"/>
          <w:color w:val="404040" w:themeColor="text1" w:themeTint="BF"/>
          <w:szCs w:val="20"/>
        </w:rPr>
        <w:t>CR-05 ASSESSMENT OF GOALS AND OBJECTIVES ………………………………………..……………………………………...……..………05</w:t>
      </w:r>
    </w:p>
    <w:p w14:paraId="6FDA1F54" w14:textId="77777777" w:rsidR="005068B5" w:rsidRPr="00F21C26" w:rsidRDefault="005068B5" w:rsidP="005068B5">
      <w:pPr>
        <w:spacing w:line="480" w:lineRule="auto"/>
        <w:ind w:left="360" w:right="360"/>
        <w:rPr>
          <w:rFonts w:asciiTheme="minorHAnsi" w:hAnsiTheme="minorHAnsi" w:cstheme="minorHAnsi"/>
          <w:color w:val="404040" w:themeColor="text1" w:themeTint="BF"/>
          <w:szCs w:val="20"/>
        </w:rPr>
      </w:pPr>
      <w:r w:rsidRPr="00F21C26">
        <w:rPr>
          <w:rFonts w:asciiTheme="minorHAnsi" w:hAnsiTheme="minorHAnsi" w:cstheme="minorHAnsi"/>
          <w:color w:val="404040" w:themeColor="text1" w:themeTint="BF"/>
          <w:szCs w:val="20"/>
        </w:rPr>
        <w:t>CR-10 RACIAL AND ETHNIC COMPOSITION OF THOSE ASSISTED ….…………………………….……………………………………… 10</w:t>
      </w:r>
    </w:p>
    <w:p w14:paraId="1DF0BB99" w14:textId="77777777" w:rsidR="005068B5" w:rsidRPr="00F21C26" w:rsidRDefault="005068B5" w:rsidP="005068B5">
      <w:pPr>
        <w:spacing w:line="480" w:lineRule="auto"/>
        <w:ind w:left="360" w:right="360"/>
        <w:rPr>
          <w:rFonts w:asciiTheme="minorHAnsi" w:hAnsiTheme="minorHAnsi" w:cstheme="minorHAnsi"/>
          <w:color w:val="404040" w:themeColor="text1" w:themeTint="BF"/>
          <w:szCs w:val="20"/>
        </w:rPr>
      </w:pPr>
      <w:r w:rsidRPr="00F21C26">
        <w:rPr>
          <w:rFonts w:asciiTheme="minorHAnsi" w:hAnsiTheme="minorHAnsi" w:cstheme="minorHAnsi"/>
          <w:color w:val="404040" w:themeColor="text1" w:themeTint="BF"/>
          <w:szCs w:val="20"/>
        </w:rPr>
        <w:t>CR-15 RESOURCES AND INVESTMENTS ……………………………………………………………………………………………………………… 11</w:t>
      </w:r>
    </w:p>
    <w:p w14:paraId="3759AD95" w14:textId="568D6F72" w:rsidR="005068B5" w:rsidRPr="00F21C26" w:rsidRDefault="005068B5" w:rsidP="005068B5">
      <w:pPr>
        <w:spacing w:line="480" w:lineRule="auto"/>
        <w:ind w:left="360" w:right="360"/>
        <w:rPr>
          <w:rFonts w:asciiTheme="minorHAnsi" w:hAnsiTheme="minorHAnsi" w:cstheme="minorHAnsi"/>
          <w:color w:val="404040" w:themeColor="text1" w:themeTint="BF"/>
          <w:szCs w:val="20"/>
        </w:rPr>
      </w:pPr>
      <w:r w:rsidRPr="00F21C26">
        <w:rPr>
          <w:rFonts w:asciiTheme="minorHAnsi" w:hAnsiTheme="minorHAnsi" w:cstheme="minorHAnsi"/>
          <w:color w:val="404040" w:themeColor="text1" w:themeTint="BF"/>
          <w:szCs w:val="20"/>
        </w:rPr>
        <w:t>CR-20 AFFORDABLE HOUSING ……………………………….………………</w:t>
      </w:r>
      <w:r w:rsidR="00F21C26" w:rsidRPr="00F21C26">
        <w:rPr>
          <w:rFonts w:asciiTheme="minorHAnsi" w:hAnsiTheme="minorHAnsi" w:cstheme="minorHAnsi"/>
          <w:color w:val="404040" w:themeColor="text1" w:themeTint="BF"/>
          <w:szCs w:val="20"/>
        </w:rPr>
        <w:t>…………………………………………………………………………..17</w:t>
      </w:r>
    </w:p>
    <w:p w14:paraId="0664EE2C" w14:textId="16F10EFA" w:rsidR="005068B5" w:rsidRPr="00F21C26" w:rsidRDefault="005068B5" w:rsidP="005068B5">
      <w:pPr>
        <w:spacing w:line="480" w:lineRule="auto"/>
        <w:ind w:left="360" w:right="360"/>
        <w:rPr>
          <w:rFonts w:asciiTheme="minorHAnsi" w:hAnsiTheme="minorHAnsi" w:cstheme="minorHAnsi"/>
          <w:color w:val="404040" w:themeColor="text1" w:themeTint="BF"/>
          <w:szCs w:val="20"/>
        </w:rPr>
      </w:pPr>
      <w:r w:rsidRPr="00F21C26">
        <w:rPr>
          <w:rFonts w:asciiTheme="minorHAnsi" w:hAnsiTheme="minorHAnsi" w:cstheme="minorHAnsi"/>
          <w:color w:val="404040" w:themeColor="text1" w:themeTint="BF"/>
          <w:szCs w:val="20"/>
        </w:rPr>
        <w:t>CR-25 HOMELESS AND OTHER SPECIAL NEEDS ………………………</w:t>
      </w:r>
      <w:r w:rsidR="00F21C26" w:rsidRPr="00F21C26">
        <w:rPr>
          <w:rFonts w:asciiTheme="minorHAnsi" w:hAnsiTheme="minorHAnsi" w:cstheme="minorHAnsi"/>
          <w:color w:val="404040" w:themeColor="text1" w:themeTint="BF"/>
          <w:szCs w:val="20"/>
        </w:rPr>
        <w:t>…………………………………………………………………………..20</w:t>
      </w:r>
    </w:p>
    <w:p w14:paraId="6911B492" w14:textId="5F4385F2" w:rsidR="005068B5" w:rsidRPr="00F21C26" w:rsidRDefault="005068B5" w:rsidP="005068B5">
      <w:pPr>
        <w:spacing w:line="480" w:lineRule="auto"/>
        <w:ind w:left="360" w:right="360"/>
        <w:rPr>
          <w:rFonts w:asciiTheme="minorHAnsi" w:hAnsiTheme="minorHAnsi" w:cstheme="minorHAnsi"/>
          <w:color w:val="404040" w:themeColor="text1" w:themeTint="BF"/>
          <w:szCs w:val="20"/>
        </w:rPr>
      </w:pPr>
      <w:r w:rsidRPr="00F21C26">
        <w:rPr>
          <w:rFonts w:asciiTheme="minorHAnsi" w:hAnsiTheme="minorHAnsi" w:cstheme="minorHAnsi"/>
          <w:color w:val="404040" w:themeColor="text1" w:themeTint="BF"/>
          <w:szCs w:val="20"/>
        </w:rPr>
        <w:t>CR-30 PUBLIC HOUSING ………………………………………..…………………</w:t>
      </w:r>
      <w:r w:rsidR="00F21C26" w:rsidRPr="00F21C26">
        <w:rPr>
          <w:rFonts w:asciiTheme="minorHAnsi" w:hAnsiTheme="minorHAnsi" w:cstheme="minorHAnsi"/>
          <w:color w:val="404040" w:themeColor="text1" w:themeTint="BF"/>
          <w:szCs w:val="20"/>
        </w:rPr>
        <w:t>…………………………………………………………….…………. 23</w:t>
      </w:r>
    </w:p>
    <w:p w14:paraId="674933C8" w14:textId="011AC476" w:rsidR="005068B5" w:rsidRPr="00870265" w:rsidRDefault="005068B5" w:rsidP="005068B5">
      <w:pPr>
        <w:spacing w:line="480" w:lineRule="auto"/>
        <w:ind w:left="360" w:right="360"/>
        <w:rPr>
          <w:rFonts w:asciiTheme="minorHAnsi" w:hAnsiTheme="minorHAnsi" w:cstheme="minorHAnsi"/>
          <w:color w:val="404040" w:themeColor="text1" w:themeTint="BF"/>
          <w:szCs w:val="20"/>
        </w:rPr>
      </w:pPr>
      <w:r w:rsidRPr="00870265">
        <w:rPr>
          <w:rFonts w:asciiTheme="minorHAnsi" w:hAnsiTheme="minorHAnsi" w:cstheme="minorHAnsi"/>
          <w:color w:val="404040" w:themeColor="text1" w:themeTint="BF"/>
          <w:szCs w:val="20"/>
        </w:rPr>
        <w:t>CR-35 OTHER ACTIONS …………………………………………………………………</w:t>
      </w:r>
      <w:r w:rsidR="00870265" w:rsidRPr="00870265">
        <w:rPr>
          <w:rFonts w:asciiTheme="minorHAnsi" w:hAnsiTheme="minorHAnsi" w:cstheme="minorHAnsi"/>
          <w:color w:val="404040" w:themeColor="text1" w:themeTint="BF"/>
          <w:szCs w:val="20"/>
        </w:rPr>
        <w:t>………………………………………………..…………..……..25</w:t>
      </w:r>
    </w:p>
    <w:p w14:paraId="7E546B53" w14:textId="5547B58E" w:rsidR="005068B5" w:rsidRPr="00870265" w:rsidRDefault="005068B5" w:rsidP="005068B5">
      <w:pPr>
        <w:spacing w:line="480" w:lineRule="auto"/>
        <w:ind w:left="360" w:right="360"/>
        <w:rPr>
          <w:rFonts w:asciiTheme="minorHAnsi" w:hAnsiTheme="minorHAnsi" w:cstheme="minorHAnsi"/>
          <w:color w:val="404040" w:themeColor="text1" w:themeTint="BF"/>
          <w:szCs w:val="20"/>
        </w:rPr>
      </w:pPr>
      <w:r w:rsidRPr="00870265">
        <w:rPr>
          <w:rFonts w:asciiTheme="minorHAnsi" w:hAnsiTheme="minorHAnsi" w:cstheme="minorHAnsi"/>
          <w:color w:val="404040" w:themeColor="text1" w:themeTint="BF"/>
          <w:szCs w:val="20"/>
        </w:rPr>
        <w:t>CR-40 MONITORING …….……………………………………………………………</w:t>
      </w:r>
      <w:r w:rsidR="00870265">
        <w:rPr>
          <w:rFonts w:asciiTheme="minorHAnsi" w:hAnsiTheme="minorHAnsi" w:cstheme="minorHAnsi"/>
          <w:color w:val="404040" w:themeColor="text1" w:themeTint="BF"/>
          <w:szCs w:val="20"/>
        </w:rPr>
        <w:t>…………………………………………………………..…………..38</w:t>
      </w:r>
    </w:p>
    <w:p w14:paraId="07A65008" w14:textId="77D30737" w:rsidR="005068B5" w:rsidRPr="00870265" w:rsidRDefault="005068B5" w:rsidP="005068B5">
      <w:pPr>
        <w:spacing w:line="480" w:lineRule="auto"/>
        <w:ind w:left="360" w:right="360"/>
        <w:rPr>
          <w:rFonts w:asciiTheme="minorHAnsi" w:hAnsiTheme="minorHAnsi" w:cstheme="minorHAnsi"/>
          <w:color w:val="404040" w:themeColor="text1" w:themeTint="BF"/>
          <w:szCs w:val="20"/>
        </w:rPr>
      </w:pPr>
      <w:r w:rsidRPr="00870265">
        <w:rPr>
          <w:rFonts w:asciiTheme="minorHAnsi" w:hAnsiTheme="minorHAnsi" w:cstheme="minorHAnsi"/>
          <w:color w:val="404040" w:themeColor="text1" w:themeTint="BF"/>
          <w:szCs w:val="20"/>
        </w:rPr>
        <w:t>CR-45 CDBG ……………………….……………………………………………………</w:t>
      </w:r>
      <w:r w:rsidR="00870265" w:rsidRPr="00870265">
        <w:rPr>
          <w:rFonts w:asciiTheme="minorHAnsi" w:hAnsiTheme="minorHAnsi" w:cstheme="minorHAnsi"/>
          <w:color w:val="404040" w:themeColor="text1" w:themeTint="BF"/>
          <w:szCs w:val="20"/>
        </w:rPr>
        <w:t>………………………………………………………..……………….42</w:t>
      </w:r>
    </w:p>
    <w:p w14:paraId="12590692" w14:textId="3273667A" w:rsidR="005068B5" w:rsidRPr="00870265" w:rsidRDefault="005068B5" w:rsidP="005068B5">
      <w:pPr>
        <w:spacing w:line="480" w:lineRule="auto"/>
        <w:ind w:left="360" w:right="360"/>
        <w:rPr>
          <w:rFonts w:asciiTheme="minorHAnsi" w:hAnsiTheme="minorHAnsi" w:cstheme="minorHAnsi"/>
          <w:color w:val="404040" w:themeColor="text1" w:themeTint="BF"/>
          <w:szCs w:val="20"/>
        </w:rPr>
      </w:pPr>
      <w:r w:rsidRPr="00870265">
        <w:rPr>
          <w:rFonts w:asciiTheme="minorHAnsi" w:hAnsiTheme="minorHAnsi" w:cstheme="minorHAnsi"/>
          <w:color w:val="404040" w:themeColor="text1" w:themeTint="BF"/>
          <w:szCs w:val="20"/>
        </w:rPr>
        <w:t>CR-50 HOME …………………………………………………………………………………………………………………</w:t>
      </w:r>
      <w:r w:rsidR="00870265" w:rsidRPr="00870265">
        <w:rPr>
          <w:rFonts w:asciiTheme="minorHAnsi" w:hAnsiTheme="minorHAnsi" w:cstheme="minorHAnsi"/>
          <w:color w:val="404040" w:themeColor="text1" w:themeTint="BF"/>
          <w:szCs w:val="20"/>
        </w:rPr>
        <w:t>……………………..…………….43</w:t>
      </w:r>
    </w:p>
    <w:p w14:paraId="7C5DC356" w14:textId="7D90E3FA" w:rsidR="005068B5" w:rsidRPr="00870265" w:rsidRDefault="005068B5" w:rsidP="005068B5">
      <w:pPr>
        <w:spacing w:line="480" w:lineRule="auto"/>
        <w:ind w:left="360" w:right="360"/>
        <w:rPr>
          <w:rFonts w:asciiTheme="minorHAnsi" w:hAnsiTheme="minorHAnsi" w:cstheme="minorHAnsi"/>
          <w:color w:val="404040" w:themeColor="text1" w:themeTint="BF"/>
          <w:szCs w:val="20"/>
        </w:rPr>
      </w:pPr>
      <w:r w:rsidRPr="00870265">
        <w:rPr>
          <w:rFonts w:asciiTheme="minorHAnsi" w:hAnsiTheme="minorHAnsi" w:cstheme="minorHAnsi"/>
          <w:color w:val="404040" w:themeColor="text1" w:themeTint="BF"/>
          <w:szCs w:val="20"/>
        </w:rPr>
        <w:t>CR-55 HOPWA ………………..…………………………………………………………</w:t>
      </w:r>
      <w:r w:rsidR="00870265" w:rsidRPr="00870265">
        <w:rPr>
          <w:rFonts w:asciiTheme="minorHAnsi" w:hAnsiTheme="minorHAnsi" w:cstheme="minorHAnsi"/>
          <w:color w:val="404040" w:themeColor="text1" w:themeTint="BF"/>
          <w:szCs w:val="20"/>
        </w:rPr>
        <w:t>…………………………………………………………………..…..48</w:t>
      </w:r>
    </w:p>
    <w:p w14:paraId="341BB234" w14:textId="647A7887" w:rsidR="005068B5" w:rsidRPr="00870265" w:rsidRDefault="005068B5" w:rsidP="005068B5">
      <w:pPr>
        <w:spacing w:line="480" w:lineRule="auto"/>
        <w:ind w:left="360" w:right="360"/>
        <w:rPr>
          <w:rFonts w:asciiTheme="minorHAnsi" w:hAnsiTheme="minorHAnsi" w:cstheme="minorHAnsi"/>
          <w:color w:val="404040" w:themeColor="text1" w:themeTint="BF"/>
          <w:szCs w:val="20"/>
        </w:rPr>
      </w:pPr>
      <w:r w:rsidRPr="00870265">
        <w:rPr>
          <w:rFonts w:asciiTheme="minorHAnsi" w:hAnsiTheme="minorHAnsi" w:cstheme="minorHAnsi"/>
          <w:color w:val="404040" w:themeColor="text1" w:themeTint="BF"/>
          <w:szCs w:val="20"/>
        </w:rPr>
        <w:t>CR-60 ESG SUBRECIPIENT INFORMATION .…………………………………</w:t>
      </w:r>
      <w:r w:rsidR="00870265" w:rsidRPr="00870265">
        <w:rPr>
          <w:rFonts w:asciiTheme="minorHAnsi" w:hAnsiTheme="minorHAnsi" w:cstheme="minorHAnsi"/>
          <w:color w:val="404040" w:themeColor="text1" w:themeTint="BF"/>
          <w:szCs w:val="20"/>
        </w:rPr>
        <w:t>………………………………………….………..………………….50</w:t>
      </w:r>
    </w:p>
    <w:p w14:paraId="25904763" w14:textId="3B8B4AFB" w:rsidR="005068B5" w:rsidRPr="00870265" w:rsidRDefault="005068B5" w:rsidP="005068B5">
      <w:pPr>
        <w:spacing w:line="480" w:lineRule="auto"/>
        <w:ind w:left="360" w:right="360"/>
        <w:rPr>
          <w:rFonts w:asciiTheme="minorHAnsi" w:hAnsiTheme="minorHAnsi" w:cstheme="minorHAnsi"/>
          <w:color w:val="404040" w:themeColor="text1" w:themeTint="BF"/>
          <w:szCs w:val="20"/>
        </w:rPr>
      </w:pPr>
      <w:r w:rsidRPr="00870265">
        <w:rPr>
          <w:rFonts w:asciiTheme="minorHAnsi" w:hAnsiTheme="minorHAnsi" w:cstheme="minorHAnsi"/>
          <w:color w:val="404040" w:themeColor="text1" w:themeTint="BF"/>
          <w:szCs w:val="20"/>
        </w:rPr>
        <w:t>CR-65 ESG PERSONS ASSISTED …………………………………………………</w:t>
      </w:r>
      <w:r w:rsidR="00870265" w:rsidRPr="00870265">
        <w:rPr>
          <w:rFonts w:asciiTheme="minorHAnsi" w:hAnsiTheme="minorHAnsi" w:cstheme="minorHAnsi"/>
          <w:color w:val="404040" w:themeColor="text1" w:themeTint="BF"/>
          <w:szCs w:val="20"/>
        </w:rPr>
        <w:t>………………………………………………………….……….…… 51</w:t>
      </w:r>
    </w:p>
    <w:p w14:paraId="2B0F7A48" w14:textId="4706219A" w:rsidR="005068B5" w:rsidRPr="00870265" w:rsidRDefault="005068B5" w:rsidP="005068B5">
      <w:pPr>
        <w:spacing w:line="480" w:lineRule="auto"/>
        <w:ind w:left="360" w:right="360"/>
        <w:rPr>
          <w:rFonts w:asciiTheme="minorHAnsi" w:hAnsiTheme="minorHAnsi" w:cstheme="minorHAnsi"/>
          <w:color w:val="404040" w:themeColor="text1" w:themeTint="BF"/>
          <w:szCs w:val="20"/>
        </w:rPr>
      </w:pPr>
      <w:r w:rsidRPr="00870265">
        <w:rPr>
          <w:rFonts w:asciiTheme="minorHAnsi" w:hAnsiTheme="minorHAnsi" w:cstheme="minorHAnsi"/>
          <w:color w:val="404040" w:themeColor="text1" w:themeTint="BF"/>
          <w:szCs w:val="20"/>
        </w:rPr>
        <w:t>CR-70 ESG ASSISTANCE PROVIDED AND OUTCOMES ……….…………</w:t>
      </w:r>
      <w:r w:rsidR="00870265" w:rsidRPr="00870265">
        <w:rPr>
          <w:rFonts w:asciiTheme="minorHAnsi" w:hAnsiTheme="minorHAnsi" w:cstheme="minorHAnsi"/>
          <w:color w:val="404040" w:themeColor="text1" w:themeTint="BF"/>
          <w:szCs w:val="20"/>
        </w:rPr>
        <w:t>………………………………………..…………………..……….53</w:t>
      </w:r>
    </w:p>
    <w:p w14:paraId="0BD2E36B" w14:textId="3384EA5C" w:rsidR="005068B5" w:rsidRPr="00DF5513" w:rsidRDefault="005068B5" w:rsidP="005068B5">
      <w:pPr>
        <w:spacing w:line="480" w:lineRule="auto"/>
        <w:ind w:left="360" w:right="360"/>
        <w:rPr>
          <w:rFonts w:asciiTheme="minorHAnsi" w:hAnsiTheme="minorHAnsi" w:cstheme="minorHAnsi"/>
          <w:color w:val="404040" w:themeColor="text1" w:themeTint="BF"/>
          <w:szCs w:val="20"/>
        </w:rPr>
      </w:pPr>
      <w:r w:rsidRPr="00870265">
        <w:rPr>
          <w:rFonts w:asciiTheme="minorHAnsi" w:hAnsiTheme="minorHAnsi" w:cstheme="minorHAnsi"/>
          <w:color w:val="404040" w:themeColor="text1" w:themeTint="BF"/>
          <w:szCs w:val="20"/>
        </w:rPr>
        <w:t>CR-75 ESG EXPENDITURES ……..……………………………………………</w:t>
      </w:r>
      <w:r w:rsidR="00870265" w:rsidRPr="00870265">
        <w:rPr>
          <w:rFonts w:asciiTheme="minorHAnsi" w:hAnsiTheme="minorHAnsi" w:cstheme="minorHAnsi"/>
          <w:color w:val="404040" w:themeColor="text1" w:themeTint="BF"/>
          <w:szCs w:val="20"/>
        </w:rPr>
        <w:t>……………………………………………….……………………………54</w:t>
      </w:r>
    </w:p>
    <w:p w14:paraId="346B2962" w14:textId="77777777" w:rsidR="005068B5" w:rsidRDefault="005068B5" w:rsidP="005068B5">
      <w:pPr>
        <w:pStyle w:val="Title"/>
        <w:spacing w:after="120"/>
        <w:ind w:left="360" w:right="360"/>
        <w:jc w:val="left"/>
        <w:rPr>
          <w:rFonts w:asciiTheme="minorHAnsi" w:hAnsiTheme="minorHAnsi" w:cstheme="minorHAnsi"/>
          <w:color w:val="FF0000"/>
          <w:szCs w:val="20"/>
        </w:rPr>
      </w:pPr>
    </w:p>
    <w:p w14:paraId="0E1F6035" w14:textId="77777777" w:rsidR="005068B5" w:rsidRDefault="005068B5" w:rsidP="005068B5">
      <w:pPr>
        <w:pStyle w:val="Title"/>
        <w:spacing w:after="120"/>
        <w:ind w:left="360" w:right="360"/>
        <w:jc w:val="left"/>
        <w:rPr>
          <w:rFonts w:asciiTheme="minorHAnsi" w:hAnsiTheme="minorHAnsi" w:cstheme="minorHAnsi"/>
          <w:color w:val="FF0000"/>
          <w:szCs w:val="20"/>
        </w:rPr>
      </w:pPr>
    </w:p>
    <w:p w14:paraId="64BA8F4B" w14:textId="77777777" w:rsidR="005068B5" w:rsidRDefault="005068B5" w:rsidP="005068B5">
      <w:pPr>
        <w:spacing w:line="276" w:lineRule="auto"/>
        <w:ind w:left="360" w:right="360"/>
        <w:rPr>
          <w:rFonts w:asciiTheme="minorHAnsi" w:hAnsiTheme="minorHAnsi" w:cstheme="minorHAnsi"/>
          <w:color w:val="FF0000"/>
          <w:szCs w:val="20"/>
        </w:rPr>
      </w:pPr>
    </w:p>
    <w:p w14:paraId="6418195E" w14:textId="77777777" w:rsidR="005068B5" w:rsidRDefault="005068B5" w:rsidP="005068B5">
      <w:pPr>
        <w:spacing w:line="276" w:lineRule="auto"/>
        <w:ind w:left="360" w:right="360"/>
        <w:rPr>
          <w:rFonts w:asciiTheme="minorHAnsi" w:hAnsiTheme="minorHAnsi" w:cstheme="minorHAnsi"/>
          <w:color w:val="FF0000"/>
          <w:szCs w:val="20"/>
        </w:rPr>
      </w:pPr>
    </w:p>
    <w:p w14:paraId="0B922549" w14:textId="77777777" w:rsidR="005068B5" w:rsidRDefault="005068B5" w:rsidP="005068B5">
      <w:pPr>
        <w:spacing w:line="276" w:lineRule="auto"/>
        <w:ind w:left="360" w:right="360"/>
        <w:rPr>
          <w:rFonts w:asciiTheme="minorHAnsi" w:hAnsiTheme="minorHAnsi" w:cstheme="minorHAnsi"/>
          <w:color w:val="FF0000"/>
          <w:szCs w:val="20"/>
        </w:rPr>
      </w:pPr>
    </w:p>
    <w:p w14:paraId="00AD17D9" w14:textId="77777777" w:rsidR="005068B5" w:rsidRDefault="005068B5" w:rsidP="005068B5">
      <w:pPr>
        <w:spacing w:line="276" w:lineRule="auto"/>
        <w:ind w:left="360" w:right="360"/>
        <w:rPr>
          <w:rFonts w:asciiTheme="minorHAnsi" w:hAnsiTheme="minorHAnsi" w:cstheme="minorHAnsi"/>
          <w:color w:val="FF0000"/>
          <w:szCs w:val="20"/>
        </w:rPr>
      </w:pPr>
    </w:p>
    <w:p w14:paraId="0B788766" w14:textId="77777777" w:rsidR="005068B5" w:rsidRDefault="005068B5" w:rsidP="005068B5">
      <w:pPr>
        <w:spacing w:line="276" w:lineRule="auto"/>
        <w:ind w:left="360" w:right="360"/>
        <w:rPr>
          <w:rFonts w:asciiTheme="minorHAnsi" w:hAnsiTheme="minorHAnsi" w:cstheme="minorHAnsi"/>
          <w:color w:val="FF0000"/>
          <w:szCs w:val="20"/>
        </w:rPr>
      </w:pPr>
    </w:p>
    <w:p w14:paraId="29EF03F0" w14:textId="77777777" w:rsidR="005068B5" w:rsidRDefault="005068B5" w:rsidP="005068B5">
      <w:pPr>
        <w:spacing w:line="276" w:lineRule="auto"/>
        <w:ind w:left="360" w:right="360"/>
        <w:rPr>
          <w:rFonts w:asciiTheme="minorHAnsi" w:hAnsiTheme="minorHAnsi" w:cstheme="minorHAnsi"/>
          <w:color w:val="FF0000"/>
          <w:szCs w:val="20"/>
        </w:rPr>
      </w:pPr>
    </w:p>
    <w:p w14:paraId="5176CFC9" w14:textId="77777777" w:rsidR="005068B5" w:rsidRDefault="005068B5" w:rsidP="005068B5">
      <w:pPr>
        <w:spacing w:line="276" w:lineRule="auto"/>
        <w:ind w:left="360" w:right="360"/>
        <w:rPr>
          <w:rFonts w:asciiTheme="minorHAnsi" w:hAnsiTheme="minorHAnsi" w:cstheme="minorHAnsi"/>
          <w:color w:val="FF0000"/>
          <w:szCs w:val="20"/>
        </w:rPr>
      </w:pPr>
    </w:p>
    <w:p w14:paraId="560E400D" w14:textId="77777777" w:rsidR="005068B5" w:rsidRDefault="005068B5" w:rsidP="005068B5">
      <w:pPr>
        <w:spacing w:line="276" w:lineRule="auto"/>
        <w:ind w:left="360" w:right="360"/>
        <w:rPr>
          <w:rFonts w:asciiTheme="minorHAnsi" w:hAnsiTheme="minorHAnsi" w:cstheme="minorHAnsi"/>
          <w:color w:val="FF0000"/>
          <w:szCs w:val="20"/>
        </w:rPr>
      </w:pPr>
    </w:p>
    <w:p w14:paraId="7BBC15C6" w14:textId="77777777" w:rsidR="005068B5" w:rsidRPr="00C83460" w:rsidRDefault="005068B5" w:rsidP="005068B5">
      <w:pPr>
        <w:spacing w:line="276" w:lineRule="auto"/>
        <w:ind w:left="360" w:right="360"/>
        <w:rPr>
          <w:rFonts w:asciiTheme="minorHAnsi" w:hAnsiTheme="minorHAnsi" w:cstheme="minorHAnsi"/>
          <w:color w:val="FF0000"/>
          <w:szCs w:val="20"/>
        </w:rPr>
      </w:pPr>
    </w:p>
    <w:p w14:paraId="799C5213" w14:textId="77777777" w:rsidR="005068B5" w:rsidRPr="00C83460" w:rsidRDefault="005068B5" w:rsidP="005068B5">
      <w:pPr>
        <w:spacing w:line="480" w:lineRule="auto"/>
        <w:ind w:right="360"/>
        <w:rPr>
          <w:rFonts w:ascii="Arial" w:hAnsi="Arial" w:cs="Arial"/>
          <w:b/>
          <w:color w:val="FF0000"/>
          <w:sz w:val="24"/>
          <w:lang w:eastAsia="ko-KR"/>
        </w:rPr>
      </w:pPr>
      <w:r w:rsidRPr="00C83460">
        <w:rPr>
          <w:rFonts w:asciiTheme="minorHAnsi" w:hAnsiTheme="minorHAnsi" w:cstheme="minorHAnsi"/>
          <w:noProof/>
          <w:color w:val="1F497D" w:themeColor="text2"/>
          <w:sz w:val="24"/>
        </w:rPr>
        <w:lastRenderedPageBreak/>
        <mc:AlternateContent>
          <mc:Choice Requires="wps">
            <w:drawing>
              <wp:anchor distT="0" distB="0" distL="114300" distR="114300" simplePos="0" relativeHeight="251764736" behindDoc="0" locked="0" layoutInCell="1" allowOverlap="1" wp14:anchorId="2B4B579C" wp14:editId="046CB765">
                <wp:simplePos x="0" y="0"/>
                <wp:positionH relativeFrom="column">
                  <wp:posOffset>-180975</wp:posOffset>
                </wp:positionH>
                <wp:positionV relativeFrom="paragraph">
                  <wp:posOffset>-73025</wp:posOffset>
                </wp:positionV>
                <wp:extent cx="6770370" cy="635"/>
                <wp:effectExtent l="9525" t="12700" r="11430" b="5715"/>
                <wp:wrapNone/>
                <wp:docPr id="3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0370"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85009" id="AutoShape 14" o:spid="_x0000_s1026" type="#_x0000_t32" style="position:absolute;margin-left:-14.25pt;margin-top:-5.75pt;width:533.1pt;height:.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" strokecolor="#548dd4"/>
            </w:pict>
          </mc:Fallback>
        </mc:AlternateContent>
      </w:r>
      <w:r w:rsidRPr="00C83460">
        <w:rPr>
          <w:rFonts w:asciiTheme="minorHAnsi" w:hAnsiTheme="minorHAnsi" w:cstheme="minorHAnsi"/>
          <w:b/>
          <w:color w:val="1F497D" w:themeColor="text2"/>
          <w:sz w:val="24"/>
        </w:rPr>
        <w:t>EXECUTIVE SUMMARY</w:t>
      </w:r>
    </w:p>
    <w:p w14:paraId="7D059A8F" w14:textId="7326C0AE" w:rsidR="005068B5" w:rsidRDefault="005068B5" w:rsidP="005068B5">
      <w:pPr>
        <w:spacing w:line="360" w:lineRule="auto"/>
        <w:ind w:right="360"/>
        <w:rPr>
          <w:rFonts w:asciiTheme="minorHAnsi" w:hAnsiTheme="minorHAnsi" w:cstheme="minorHAnsi"/>
          <w:color w:val="404040" w:themeColor="text1" w:themeTint="BF"/>
          <w:szCs w:val="20"/>
        </w:rPr>
      </w:pPr>
      <w:r>
        <w:rPr>
          <w:rFonts w:asciiTheme="minorHAnsi" w:hAnsiTheme="minorHAnsi" w:cstheme="minorHAnsi"/>
          <w:color w:val="404040" w:themeColor="text1" w:themeTint="BF"/>
          <w:szCs w:val="20"/>
        </w:rPr>
        <w:t>Salt Lake City is committed to creating a City that provides opportunity for all of its residents. To further this miss</w:t>
      </w:r>
      <w:r w:rsidR="001D3395">
        <w:rPr>
          <w:rFonts w:asciiTheme="minorHAnsi" w:hAnsiTheme="minorHAnsi" w:cstheme="minorHAnsi"/>
          <w:color w:val="404040" w:themeColor="text1" w:themeTint="BF"/>
          <w:szCs w:val="20"/>
        </w:rPr>
        <w:t>ion, Salt Lake City Mayor Jacqueline</w:t>
      </w:r>
      <w:r>
        <w:rPr>
          <w:rFonts w:asciiTheme="minorHAnsi" w:hAnsiTheme="minorHAnsi" w:cstheme="minorHAnsi"/>
          <w:color w:val="404040" w:themeColor="text1" w:themeTint="BF"/>
          <w:szCs w:val="20"/>
        </w:rPr>
        <w:t xml:space="preserve"> Biskupski has c</w:t>
      </w:r>
      <w:r w:rsidR="00816745">
        <w:rPr>
          <w:rFonts w:asciiTheme="minorHAnsi" w:hAnsiTheme="minorHAnsi" w:cstheme="minorHAnsi"/>
          <w:color w:val="404040" w:themeColor="text1" w:themeTint="BF"/>
          <w:szCs w:val="20"/>
        </w:rPr>
        <w:t>reated three supporting goals: e</w:t>
      </w:r>
      <w:r>
        <w:rPr>
          <w:rFonts w:asciiTheme="minorHAnsi" w:hAnsiTheme="minorHAnsi" w:cstheme="minorHAnsi"/>
          <w:color w:val="404040" w:themeColor="text1" w:themeTint="BF"/>
          <w:szCs w:val="20"/>
        </w:rPr>
        <w:t>quity, empowerment, and resilience. Salt Lake City Housing and Neighborhood Development</w:t>
      </w:r>
      <w:r w:rsidR="001D3395">
        <w:rPr>
          <w:rFonts w:asciiTheme="minorHAnsi" w:hAnsiTheme="minorHAnsi" w:cstheme="minorHAnsi"/>
          <w:color w:val="404040" w:themeColor="text1" w:themeTint="BF"/>
          <w:szCs w:val="20"/>
        </w:rPr>
        <w:t xml:space="preserve"> Division</w:t>
      </w:r>
      <w:r>
        <w:rPr>
          <w:rFonts w:asciiTheme="minorHAnsi" w:hAnsiTheme="minorHAnsi" w:cstheme="minorHAnsi"/>
          <w:color w:val="404040" w:themeColor="text1" w:themeTint="BF"/>
          <w:szCs w:val="20"/>
        </w:rPr>
        <w:t xml:space="preserve"> (HAND) is committed to furthering these goals. The Consolidated Plan, Neighborhoods of Opportunity, and the Federal Funding provided by the </w:t>
      </w:r>
      <w:r w:rsidRPr="00C83460">
        <w:rPr>
          <w:rFonts w:asciiTheme="minorHAnsi" w:hAnsiTheme="minorHAnsi" w:cstheme="minorHAnsi"/>
          <w:color w:val="404040" w:themeColor="text1" w:themeTint="BF"/>
          <w:szCs w:val="20"/>
        </w:rPr>
        <w:t>U.S. Department of Housing and Urban Development (HUD)</w:t>
      </w:r>
      <w:r>
        <w:rPr>
          <w:rFonts w:asciiTheme="minorHAnsi" w:hAnsiTheme="minorHAnsi" w:cstheme="minorHAnsi"/>
          <w:color w:val="404040" w:themeColor="text1" w:themeTint="BF"/>
          <w:szCs w:val="20"/>
        </w:rPr>
        <w:t xml:space="preserve"> allow HAND to help further these goals and to significantly improve the lives of Salt Lake City residents, particularly the most vulnerable. </w:t>
      </w:r>
    </w:p>
    <w:p w14:paraId="5B07634C" w14:textId="77777777" w:rsidR="005068B5" w:rsidRDefault="005068B5" w:rsidP="005068B5">
      <w:pPr>
        <w:spacing w:line="360" w:lineRule="auto"/>
        <w:ind w:right="360"/>
        <w:rPr>
          <w:rFonts w:asciiTheme="minorHAnsi" w:hAnsiTheme="minorHAnsi" w:cstheme="minorHAnsi"/>
          <w:color w:val="404040" w:themeColor="text1" w:themeTint="BF"/>
          <w:szCs w:val="20"/>
        </w:rPr>
      </w:pPr>
    </w:p>
    <w:p w14:paraId="4579447C" w14:textId="28452C0C" w:rsidR="005068B5" w:rsidRDefault="005068B5" w:rsidP="005068B5">
      <w:pPr>
        <w:spacing w:line="360" w:lineRule="auto"/>
        <w:ind w:right="360"/>
        <w:rPr>
          <w:rFonts w:asciiTheme="minorHAnsi" w:hAnsiTheme="minorHAnsi" w:cstheme="minorHAnsi"/>
          <w:color w:val="404040" w:themeColor="text1" w:themeTint="BF"/>
          <w:szCs w:val="20"/>
        </w:rPr>
      </w:pPr>
      <w:r w:rsidRPr="00C83460">
        <w:rPr>
          <w:rFonts w:asciiTheme="minorHAnsi" w:hAnsiTheme="minorHAnsi" w:cstheme="minorHAnsi"/>
          <w:color w:val="404040" w:themeColor="text1" w:themeTint="BF"/>
          <w:szCs w:val="20"/>
        </w:rPr>
        <w:t xml:space="preserve">In accordance with the Federal Regulations 24 CFR Part 570, the Consolidated Annual Performance and Evaluation Report (CAPER) for the period of July 1, </w:t>
      </w:r>
      <w:r>
        <w:rPr>
          <w:rFonts w:asciiTheme="minorHAnsi" w:hAnsiTheme="minorHAnsi" w:cstheme="minorHAnsi"/>
          <w:color w:val="404040" w:themeColor="text1" w:themeTint="BF"/>
          <w:szCs w:val="20"/>
        </w:rPr>
        <w:t>2017</w:t>
      </w:r>
      <w:r w:rsidRPr="00C83460">
        <w:rPr>
          <w:rFonts w:asciiTheme="minorHAnsi" w:hAnsiTheme="minorHAnsi" w:cstheme="minorHAnsi"/>
          <w:color w:val="404040" w:themeColor="text1" w:themeTint="BF"/>
          <w:szCs w:val="20"/>
        </w:rPr>
        <w:t xml:space="preserve"> through June 30, 201</w:t>
      </w:r>
      <w:r>
        <w:rPr>
          <w:rFonts w:asciiTheme="minorHAnsi" w:hAnsiTheme="minorHAnsi" w:cstheme="minorHAnsi"/>
          <w:color w:val="404040" w:themeColor="text1" w:themeTint="BF"/>
          <w:szCs w:val="20"/>
        </w:rPr>
        <w:t>8</w:t>
      </w:r>
      <w:r w:rsidRPr="00C83460">
        <w:rPr>
          <w:rFonts w:asciiTheme="minorHAnsi" w:hAnsiTheme="minorHAnsi" w:cstheme="minorHAnsi"/>
          <w:color w:val="404040" w:themeColor="text1" w:themeTint="BF"/>
          <w:szCs w:val="20"/>
        </w:rPr>
        <w:t xml:space="preserve"> was prepared for Salt Lake City Corporation. The CAPER describes the activities undertaken during this time period for fu</w:t>
      </w:r>
      <w:r>
        <w:rPr>
          <w:rFonts w:asciiTheme="minorHAnsi" w:hAnsiTheme="minorHAnsi" w:cstheme="minorHAnsi"/>
          <w:color w:val="404040" w:themeColor="text1" w:themeTint="BF"/>
          <w:szCs w:val="20"/>
        </w:rPr>
        <w:t xml:space="preserve">nding from </w:t>
      </w:r>
      <w:r w:rsidRPr="00C83460">
        <w:rPr>
          <w:rFonts w:asciiTheme="minorHAnsi" w:hAnsiTheme="minorHAnsi" w:cstheme="minorHAnsi"/>
          <w:color w:val="404040" w:themeColor="text1" w:themeTint="BF"/>
          <w:szCs w:val="20"/>
        </w:rPr>
        <w:t xml:space="preserve">HUD under the Community Development Block Grant (CDBG), Emergency Solutions Grant (ESG), Home Investment Partnership (HOME), and Housing Opportunities for Persons with </w:t>
      </w:r>
      <w:r w:rsidR="00527BF5">
        <w:rPr>
          <w:rFonts w:asciiTheme="minorHAnsi" w:hAnsiTheme="minorHAnsi" w:cstheme="minorHAnsi"/>
          <w:color w:val="404040" w:themeColor="text1" w:themeTint="BF"/>
          <w:szCs w:val="20"/>
        </w:rPr>
        <w:t>HIV/</w:t>
      </w:r>
      <w:r w:rsidRPr="00C83460">
        <w:rPr>
          <w:rFonts w:asciiTheme="minorHAnsi" w:hAnsiTheme="minorHAnsi" w:cstheme="minorHAnsi"/>
          <w:color w:val="404040" w:themeColor="text1" w:themeTint="BF"/>
          <w:szCs w:val="20"/>
        </w:rPr>
        <w:t>AIDS (HOPWA) Programs. The projects, activities and accomplishments described in the CAPER principally benefit low and low-moderate income residents of the City. The funding has been target</w:t>
      </w:r>
      <w:r>
        <w:rPr>
          <w:rFonts w:asciiTheme="minorHAnsi" w:hAnsiTheme="minorHAnsi" w:cstheme="minorHAnsi"/>
          <w:color w:val="404040" w:themeColor="text1" w:themeTint="BF"/>
          <w:szCs w:val="20"/>
        </w:rPr>
        <w:t>ed</w:t>
      </w:r>
      <w:r w:rsidRPr="00C83460">
        <w:rPr>
          <w:rFonts w:asciiTheme="minorHAnsi" w:hAnsiTheme="minorHAnsi" w:cstheme="minorHAnsi"/>
          <w:color w:val="404040" w:themeColor="text1" w:themeTint="BF"/>
          <w:szCs w:val="20"/>
        </w:rPr>
        <w:t xml:space="preserve"> to neighborhoods where there is a high percentage of low and low-moderate income residents. The following is the overall program narrative based on the 2015-2019 Consolidated Plan and associated Annual Action Plans. This is the CAPER for the </w:t>
      </w:r>
      <w:r w:rsidR="00C52DDD">
        <w:rPr>
          <w:rFonts w:asciiTheme="minorHAnsi" w:hAnsiTheme="minorHAnsi" w:cstheme="minorHAnsi"/>
          <w:color w:val="404040" w:themeColor="text1" w:themeTint="BF"/>
          <w:szCs w:val="20"/>
        </w:rPr>
        <w:t>third</w:t>
      </w:r>
      <w:r w:rsidRPr="00C83460">
        <w:rPr>
          <w:rFonts w:asciiTheme="minorHAnsi" w:hAnsiTheme="minorHAnsi" w:cstheme="minorHAnsi"/>
          <w:color w:val="404040" w:themeColor="text1" w:themeTint="BF"/>
          <w:szCs w:val="20"/>
        </w:rPr>
        <w:t xml:space="preserve"> year of the Consolidated Plan.</w:t>
      </w:r>
    </w:p>
    <w:p w14:paraId="584515C6" w14:textId="77777777" w:rsidR="005068B5" w:rsidRDefault="005068B5" w:rsidP="005068B5">
      <w:pPr>
        <w:spacing w:line="360" w:lineRule="auto"/>
        <w:ind w:right="360"/>
        <w:rPr>
          <w:rFonts w:asciiTheme="minorHAnsi" w:hAnsiTheme="minorHAnsi" w:cstheme="minorHAnsi"/>
          <w:color w:val="404040" w:themeColor="text1" w:themeTint="BF"/>
          <w:szCs w:val="20"/>
        </w:rPr>
      </w:pPr>
    </w:p>
    <w:p w14:paraId="6D6126C4" w14:textId="77777777" w:rsidR="005068B5" w:rsidRPr="00882C27" w:rsidRDefault="005068B5" w:rsidP="005068B5">
      <w:pPr>
        <w:pStyle w:val="Title"/>
        <w:spacing w:after="120"/>
        <w:ind w:right="360"/>
        <w:jc w:val="left"/>
        <w:rPr>
          <w:rFonts w:asciiTheme="minorHAnsi" w:hAnsiTheme="minorHAnsi" w:cstheme="minorHAnsi"/>
          <w:b/>
          <w:color w:val="404040" w:themeColor="text1" w:themeTint="BF"/>
          <w:sz w:val="20"/>
          <w:szCs w:val="20"/>
        </w:rPr>
      </w:pPr>
      <w:r>
        <w:rPr>
          <w:rFonts w:asciiTheme="minorHAnsi" w:hAnsiTheme="minorHAnsi" w:cstheme="minorHAnsi"/>
          <w:b/>
          <w:color w:val="404040" w:themeColor="text1" w:themeTint="BF"/>
          <w:sz w:val="20"/>
          <w:szCs w:val="20"/>
        </w:rPr>
        <w:t>2017-2018</w:t>
      </w:r>
      <w:r w:rsidRPr="00882C27">
        <w:rPr>
          <w:rFonts w:asciiTheme="minorHAnsi" w:hAnsiTheme="minorHAnsi" w:cstheme="minorHAnsi"/>
          <w:b/>
          <w:color w:val="404040" w:themeColor="text1" w:themeTint="BF"/>
          <w:sz w:val="20"/>
          <w:szCs w:val="20"/>
        </w:rPr>
        <w:t xml:space="preserve"> FUNDS AVAILABLE</w:t>
      </w:r>
    </w:p>
    <w:tbl>
      <w:tblPr>
        <w:tblW w:w="0" w:type="auto"/>
        <w:jc w:val="center"/>
        <w:shd w:val="clear" w:color="auto" w:fill="D9D9D9"/>
        <w:tblLayout w:type="fixed"/>
        <w:tblLook w:val="01E0" w:firstRow="1" w:lastRow="1" w:firstColumn="1" w:lastColumn="1" w:noHBand="0" w:noVBand="0"/>
      </w:tblPr>
      <w:tblGrid>
        <w:gridCol w:w="6366"/>
        <w:gridCol w:w="2586"/>
      </w:tblGrid>
      <w:tr w:rsidR="005068B5" w:rsidRPr="00882C27" w14:paraId="0FC1A531" w14:textId="77777777" w:rsidTr="00816745">
        <w:trPr>
          <w:trHeight w:val="620"/>
          <w:jc w:val="center"/>
        </w:trPr>
        <w:tc>
          <w:tcPr>
            <w:tcW w:w="6366" w:type="dxa"/>
            <w:tcBorders>
              <w:top w:val="dotted" w:sz="4" w:space="0" w:color="auto"/>
              <w:left w:val="dotted" w:sz="4" w:space="0" w:color="auto"/>
              <w:bottom w:val="dotted" w:sz="4" w:space="0" w:color="auto"/>
              <w:right w:val="dotted" w:sz="4" w:space="0" w:color="auto"/>
            </w:tcBorders>
            <w:shd w:val="clear" w:color="auto" w:fill="C6D9F1" w:themeFill="text2" w:themeFillTint="33"/>
            <w:vAlign w:val="center"/>
          </w:tcPr>
          <w:p w14:paraId="4319253D" w14:textId="77777777" w:rsidR="005068B5" w:rsidRPr="00882C27" w:rsidRDefault="005068B5" w:rsidP="00816745">
            <w:pPr>
              <w:tabs>
                <w:tab w:val="left" w:pos="-1440"/>
                <w:tab w:val="left" w:pos="-720"/>
                <w:tab w:val="left" w:pos="720"/>
                <w:tab w:val="left" w:pos="1440"/>
                <w:tab w:val="left" w:pos="2160"/>
                <w:tab w:val="left" w:pos="2880"/>
                <w:tab w:val="left" w:pos="3600"/>
                <w:tab w:val="left" w:pos="4704"/>
                <w:tab w:val="left" w:pos="5284"/>
                <w:tab w:val="left" w:pos="7625"/>
              </w:tabs>
              <w:suppressAutoHyphens/>
              <w:ind w:right="432"/>
              <w:jc w:val="center"/>
              <w:rPr>
                <w:rFonts w:asciiTheme="minorHAnsi" w:hAnsiTheme="minorHAnsi" w:cstheme="minorHAnsi"/>
                <w:b/>
                <w:color w:val="404040" w:themeColor="text1" w:themeTint="BF"/>
                <w:szCs w:val="20"/>
              </w:rPr>
            </w:pPr>
            <w:r w:rsidRPr="00882C27">
              <w:rPr>
                <w:rFonts w:asciiTheme="minorHAnsi" w:hAnsiTheme="minorHAnsi" w:cstheme="minorHAnsi"/>
                <w:b/>
                <w:color w:val="404040" w:themeColor="text1" w:themeTint="BF"/>
                <w:szCs w:val="20"/>
              </w:rPr>
              <w:t>GRANT</w:t>
            </w:r>
          </w:p>
        </w:tc>
        <w:tc>
          <w:tcPr>
            <w:tcW w:w="2586" w:type="dxa"/>
            <w:tcBorders>
              <w:top w:val="dotted" w:sz="4" w:space="0" w:color="auto"/>
              <w:left w:val="dotted" w:sz="4" w:space="0" w:color="auto"/>
              <w:bottom w:val="dotted" w:sz="4" w:space="0" w:color="auto"/>
              <w:right w:val="dotted" w:sz="4" w:space="0" w:color="auto"/>
            </w:tcBorders>
            <w:shd w:val="clear" w:color="auto" w:fill="C6D9F1" w:themeFill="text2" w:themeFillTint="33"/>
            <w:vAlign w:val="center"/>
          </w:tcPr>
          <w:p w14:paraId="36B66EB3" w14:textId="77777777" w:rsidR="005068B5" w:rsidRPr="00882C27" w:rsidRDefault="005068B5" w:rsidP="00816745">
            <w:pPr>
              <w:tabs>
                <w:tab w:val="left" w:pos="-1440"/>
                <w:tab w:val="left" w:pos="-720"/>
                <w:tab w:val="left" w:pos="720"/>
                <w:tab w:val="left" w:pos="1440"/>
                <w:tab w:val="left" w:pos="2160"/>
                <w:tab w:val="left" w:pos="2880"/>
                <w:tab w:val="left" w:pos="3600"/>
                <w:tab w:val="left" w:pos="4704"/>
                <w:tab w:val="left" w:pos="5284"/>
                <w:tab w:val="left" w:pos="7625"/>
              </w:tabs>
              <w:suppressAutoHyphens/>
              <w:ind w:right="432"/>
              <w:jc w:val="center"/>
              <w:rPr>
                <w:rFonts w:asciiTheme="minorHAnsi" w:hAnsiTheme="minorHAnsi" w:cstheme="minorHAnsi"/>
                <w:b/>
                <w:color w:val="404040" w:themeColor="text1" w:themeTint="BF"/>
                <w:szCs w:val="20"/>
              </w:rPr>
            </w:pPr>
            <w:r w:rsidRPr="00882C27">
              <w:rPr>
                <w:rFonts w:asciiTheme="minorHAnsi" w:hAnsiTheme="minorHAnsi" w:cstheme="minorHAnsi"/>
                <w:b/>
                <w:color w:val="404040" w:themeColor="text1" w:themeTint="BF"/>
                <w:szCs w:val="20"/>
              </w:rPr>
              <w:t>FUNDING AVAILABLE</w:t>
            </w:r>
          </w:p>
        </w:tc>
      </w:tr>
      <w:tr w:rsidR="005068B5" w:rsidRPr="00882C27" w14:paraId="776A9038" w14:textId="77777777" w:rsidTr="00816745">
        <w:trPr>
          <w:jc w:val="center"/>
        </w:trPr>
        <w:tc>
          <w:tcPr>
            <w:tcW w:w="6366" w:type="dxa"/>
            <w:tcBorders>
              <w:top w:val="dotted" w:sz="4" w:space="0" w:color="auto"/>
              <w:left w:val="dotted" w:sz="4" w:space="0" w:color="auto"/>
              <w:bottom w:val="dotted" w:sz="4" w:space="0" w:color="auto"/>
              <w:right w:val="dotted" w:sz="4" w:space="0" w:color="auto"/>
            </w:tcBorders>
            <w:shd w:val="clear" w:color="auto" w:fill="auto"/>
            <w:vAlign w:val="center"/>
          </w:tcPr>
          <w:p w14:paraId="12EB0C50" w14:textId="77777777" w:rsidR="005068B5" w:rsidRPr="00882C27" w:rsidRDefault="005068B5" w:rsidP="00816745">
            <w:pPr>
              <w:tabs>
                <w:tab w:val="left" w:pos="-1440"/>
                <w:tab w:val="left" w:pos="-720"/>
                <w:tab w:val="left" w:pos="720"/>
                <w:tab w:val="left" w:pos="1440"/>
                <w:tab w:val="left" w:pos="2160"/>
                <w:tab w:val="left" w:pos="2880"/>
                <w:tab w:val="left" w:pos="3600"/>
                <w:tab w:val="left" w:pos="4704"/>
                <w:tab w:val="left" w:pos="5284"/>
                <w:tab w:val="left" w:pos="7625"/>
              </w:tabs>
              <w:suppressAutoHyphens/>
              <w:ind w:right="432"/>
              <w:rPr>
                <w:rFonts w:asciiTheme="minorHAnsi" w:hAnsiTheme="minorHAnsi" w:cstheme="minorHAnsi"/>
                <w:color w:val="404040" w:themeColor="text1" w:themeTint="BF"/>
                <w:szCs w:val="20"/>
              </w:rPr>
            </w:pPr>
            <w:r w:rsidRPr="00882C27">
              <w:rPr>
                <w:rFonts w:asciiTheme="minorHAnsi" w:hAnsiTheme="minorHAnsi" w:cstheme="minorHAnsi"/>
                <w:color w:val="404040" w:themeColor="text1" w:themeTint="BF"/>
                <w:szCs w:val="20"/>
              </w:rPr>
              <w:t>Community Development Block Grant</w:t>
            </w:r>
          </w:p>
        </w:tc>
        <w:tc>
          <w:tcPr>
            <w:tcW w:w="2586" w:type="dxa"/>
            <w:tcBorders>
              <w:top w:val="dotted" w:sz="4" w:space="0" w:color="auto"/>
              <w:left w:val="dotted" w:sz="4" w:space="0" w:color="auto"/>
              <w:bottom w:val="dotted" w:sz="4" w:space="0" w:color="auto"/>
              <w:right w:val="dotted" w:sz="4" w:space="0" w:color="auto"/>
            </w:tcBorders>
            <w:shd w:val="clear" w:color="auto" w:fill="auto"/>
            <w:vAlign w:val="center"/>
          </w:tcPr>
          <w:p w14:paraId="5E4425CA" w14:textId="77777777" w:rsidR="005068B5" w:rsidRPr="00394C69" w:rsidRDefault="005068B5" w:rsidP="00816745">
            <w:pPr>
              <w:tabs>
                <w:tab w:val="left" w:pos="-1440"/>
                <w:tab w:val="left" w:pos="-720"/>
                <w:tab w:val="left" w:pos="720"/>
                <w:tab w:val="left" w:pos="1440"/>
                <w:tab w:val="left" w:pos="2160"/>
                <w:tab w:val="left" w:pos="2880"/>
                <w:tab w:val="left" w:pos="3600"/>
                <w:tab w:val="left" w:pos="4704"/>
                <w:tab w:val="left" w:pos="5284"/>
                <w:tab w:val="left" w:pos="7625"/>
              </w:tabs>
              <w:suppressAutoHyphens/>
              <w:ind w:right="432"/>
              <w:jc w:val="center"/>
              <w:rPr>
                <w:rFonts w:asciiTheme="minorHAnsi" w:hAnsiTheme="minorHAnsi" w:cstheme="minorHAnsi"/>
                <w:color w:val="404040" w:themeColor="text1" w:themeTint="BF"/>
                <w:szCs w:val="20"/>
              </w:rPr>
            </w:pPr>
            <w:r w:rsidRPr="00394C69">
              <w:rPr>
                <w:rFonts w:asciiTheme="minorHAnsi" w:hAnsiTheme="minorHAnsi" w:cstheme="minorHAnsi"/>
                <w:color w:val="404040" w:themeColor="text1" w:themeTint="BF"/>
                <w:szCs w:val="20"/>
              </w:rPr>
              <w:t>$3,</w:t>
            </w:r>
            <w:r>
              <w:rPr>
                <w:rFonts w:asciiTheme="minorHAnsi" w:hAnsiTheme="minorHAnsi" w:cstheme="minorHAnsi"/>
                <w:color w:val="404040" w:themeColor="text1" w:themeTint="BF"/>
                <w:szCs w:val="20"/>
              </w:rPr>
              <w:t>235,164</w:t>
            </w:r>
          </w:p>
        </w:tc>
      </w:tr>
      <w:tr w:rsidR="005068B5" w:rsidRPr="00882C27" w14:paraId="76EF5474" w14:textId="77777777" w:rsidTr="00816745">
        <w:trPr>
          <w:jc w:val="center"/>
        </w:trPr>
        <w:tc>
          <w:tcPr>
            <w:tcW w:w="6366" w:type="dxa"/>
            <w:tcBorders>
              <w:top w:val="dotted" w:sz="4" w:space="0" w:color="auto"/>
              <w:left w:val="dotted" w:sz="4" w:space="0" w:color="auto"/>
              <w:bottom w:val="dotted" w:sz="4" w:space="0" w:color="auto"/>
              <w:right w:val="dotted" w:sz="4" w:space="0" w:color="auto"/>
            </w:tcBorders>
            <w:shd w:val="clear" w:color="auto" w:fill="auto"/>
            <w:vAlign w:val="center"/>
          </w:tcPr>
          <w:p w14:paraId="4E2BAC61" w14:textId="77777777" w:rsidR="005068B5" w:rsidRPr="00882C27" w:rsidRDefault="005068B5" w:rsidP="00816745">
            <w:pPr>
              <w:tabs>
                <w:tab w:val="left" w:pos="-1440"/>
                <w:tab w:val="left" w:pos="-720"/>
                <w:tab w:val="left" w:pos="720"/>
                <w:tab w:val="left" w:pos="1440"/>
                <w:tab w:val="left" w:pos="2160"/>
                <w:tab w:val="left" w:pos="2880"/>
                <w:tab w:val="left" w:pos="3600"/>
                <w:tab w:val="left" w:pos="4704"/>
                <w:tab w:val="left" w:pos="5284"/>
                <w:tab w:val="left" w:pos="7625"/>
              </w:tabs>
              <w:suppressAutoHyphens/>
              <w:ind w:right="432"/>
              <w:rPr>
                <w:rFonts w:asciiTheme="minorHAnsi" w:hAnsiTheme="minorHAnsi" w:cstheme="minorHAnsi"/>
                <w:color w:val="404040" w:themeColor="text1" w:themeTint="BF"/>
                <w:szCs w:val="20"/>
              </w:rPr>
            </w:pPr>
            <w:r w:rsidRPr="00882C27">
              <w:rPr>
                <w:rFonts w:asciiTheme="minorHAnsi" w:hAnsiTheme="minorHAnsi" w:cstheme="minorHAnsi"/>
                <w:color w:val="404040" w:themeColor="text1" w:themeTint="BF"/>
                <w:szCs w:val="20"/>
              </w:rPr>
              <w:t>Emergency Solutions Grant</w:t>
            </w:r>
          </w:p>
        </w:tc>
        <w:tc>
          <w:tcPr>
            <w:tcW w:w="2586" w:type="dxa"/>
            <w:tcBorders>
              <w:top w:val="dotted" w:sz="4" w:space="0" w:color="auto"/>
              <w:left w:val="dotted" w:sz="4" w:space="0" w:color="auto"/>
              <w:bottom w:val="dotted" w:sz="4" w:space="0" w:color="auto"/>
              <w:right w:val="dotted" w:sz="4" w:space="0" w:color="auto"/>
            </w:tcBorders>
            <w:shd w:val="clear" w:color="auto" w:fill="auto"/>
            <w:vAlign w:val="center"/>
          </w:tcPr>
          <w:p w14:paraId="7C80DEC6" w14:textId="77777777" w:rsidR="005068B5" w:rsidRPr="00394C69" w:rsidRDefault="005068B5" w:rsidP="00816745">
            <w:pPr>
              <w:tabs>
                <w:tab w:val="left" w:pos="-1440"/>
                <w:tab w:val="left" w:pos="-720"/>
                <w:tab w:val="left" w:pos="720"/>
                <w:tab w:val="left" w:pos="1440"/>
                <w:tab w:val="left" w:pos="2160"/>
                <w:tab w:val="left" w:pos="2880"/>
                <w:tab w:val="left" w:pos="3600"/>
                <w:tab w:val="left" w:pos="4704"/>
                <w:tab w:val="left" w:pos="5284"/>
                <w:tab w:val="left" w:pos="7625"/>
              </w:tabs>
              <w:suppressAutoHyphens/>
              <w:ind w:right="432"/>
              <w:jc w:val="center"/>
              <w:rPr>
                <w:rFonts w:asciiTheme="minorHAnsi" w:hAnsiTheme="minorHAnsi" w:cstheme="minorHAnsi"/>
                <w:color w:val="404040" w:themeColor="text1" w:themeTint="BF"/>
                <w:szCs w:val="20"/>
              </w:rPr>
            </w:pPr>
            <w:r>
              <w:rPr>
                <w:rFonts w:asciiTheme="minorHAnsi" w:hAnsiTheme="minorHAnsi" w:cstheme="minorHAnsi"/>
                <w:color w:val="404040" w:themeColor="text1" w:themeTint="BF"/>
                <w:szCs w:val="20"/>
              </w:rPr>
              <w:t>$288,788</w:t>
            </w:r>
          </w:p>
        </w:tc>
      </w:tr>
      <w:tr w:rsidR="005068B5" w:rsidRPr="00882C27" w14:paraId="2DD7D034" w14:textId="77777777" w:rsidTr="00816745">
        <w:trPr>
          <w:jc w:val="center"/>
        </w:trPr>
        <w:tc>
          <w:tcPr>
            <w:tcW w:w="6366" w:type="dxa"/>
            <w:tcBorders>
              <w:top w:val="dotted" w:sz="4" w:space="0" w:color="auto"/>
              <w:left w:val="dotted" w:sz="4" w:space="0" w:color="auto"/>
              <w:bottom w:val="dotted" w:sz="4" w:space="0" w:color="auto"/>
              <w:right w:val="dotted" w:sz="4" w:space="0" w:color="auto"/>
            </w:tcBorders>
            <w:shd w:val="clear" w:color="auto" w:fill="auto"/>
            <w:vAlign w:val="center"/>
          </w:tcPr>
          <w:p w14:paraId="5687D02A" w14:textId="77777777" w:rsidR="005068B5" w:rsidRPr="00882C27" w:rsidRDefault="005068B5" w:rsidP="00816745">
            <w:pPr>
              <w:tabs>
                <w:tab w:val="left" w:pos="-1440"/>
                <w:tab w:val="left" w:pos="-720"/>
                <w:tab w:val="left" w:pos="720"/>
                <w:tab w:val="left" w:pos="1440"/>
                <w:tab w:val="left" w:pos="2160"/>
                <w:tab w:val="left" w:pos="2880"/>
                <w:tab w:val="left" w:pos="3600"/>
                <w:tab w:val="left" w:pos="4704"/>
                <w:tab w:val="left" w:pos="5284"/>
                <w:tab w:val="left" w:pos="7625"/>
              </w:tabs>
              <w:suppressAutoHyphens/>
              <w:ind w:right="432"/>
              <w:rPr>
                <w:rFonts w:asciiTheme="minorHAnsi" w:hAnsiTheme="minorHAnsi" w:cstheme="minorHAnsi"/>
                <w:color w:val="404040" w:themeColor="text1" w:themeTint="BF"/>
                <w:szCs w:val="20"/>
              </w:rPr>
            </w:pPr>
            <w:r w:rsidRPr="00882C27">
              <w:rPr>
                <w:rFonts w:asciiTheme="minorHAnsi" w:hAnsiTheme="minorHAnsi" w:cstheme="minorHAnsi"/>
                <w:color w:val="404040" w:themeColor="text1" w:themeTint="BF"/>
                <w:szCs w:val="20"/>
              </w:rPr>
              <w:t>HOME Investment Partnership</w:t>
            </w:r>
          </w:p>
        </w:tc>
        <w:tc>
          <w:tcPr>
            <w:tcW w:w="2586" w:type="dxa"/>
            <w:tcBorders>
              <w:top w:val="dotted" w:sz="4" w:space="0" w:color="auto"/>
              <w:left w:val="dotted" w:sz="4" w:space="0" w:color="auto"/>
              <w:bottom w:val="dotted" w:sz="4" w:space="0" w:color="auto"/>
              <w:right w:val="dotted" w:sz="4" w:space="0" w:color="auto"/>
            </w:tcBorders>
            <w:shd w:val="clear" w:color="auto" w:fill="auto"/>
            <w:vAlign w:val="center"/>
          </w:tcPr>
          <w:p w14:paraId="3349B5FF" w14:textId="77777777" w:rsidR="005068B5" w:rsidRPr="00394C69" w:rsidRDefault="005068B5" w:rsidP="00816745">
            <w:pPr>
              <w:tabs>
                <w:tab w:val="left" w:pos="-1440"/>
                <w:tab w:val="left" w:pos="-720"/>
                <w:tab w:val="left" w:pos="720"/>
                <w:tab w:val="left" w:pos="1440"/>
                <w:tab w:val="left" w:pos="2160"/>
                <w:tab w:val="left" w:pos="2880"/>
                <w:tab w:val="left" w:pos="3600"/>
                <w:tab w:val="left" w:pos="4704"/>
                <w:tab w:val="left" w:pos="5284"/>
                <w:tab w:val="left" w:pos="7625"/>
              </w:tabs>
              <w:suppressAutoHyphens/>
              <w:ind w:right="432"/>
              <w:jc w:val="center"/>
              <w:rPr>
                <w:rFonts w:asciiTheme="minorHAnsi" w:hAnsiTheme="minorHAnsi" w:cstheme="minorHAnsi"/>
                <w:color w:val="404040" w:themeColor="text1" w:themeTint="BF"/>
                <w:szCs w:val="20"/>
              </w:rPr>
            </w:pPr>
            <w:r>
              <w:rPr>
                <w:rFonts w:asciiTheme="minorHAnsi" w:hAnsiTheme="minorHAnsi" w:cstheme="minorHAnsi"/>
                <w:color w:val="404040" w:themeColor="text1" w:themeTint="BF"/>
                <w:szCs w:val="20"/>
              </w:rPr>
              <w:t>$713,578</w:t>
            </w:r>
          </w:p>
        </w:tc>
      </w:tr>
      <w:tr w:rsidR="005068B5" w:rsidRPr="00882C27" w14:paraId="7E884F88" w14:textId="77777777" w:rsidTr="00816745">
        <w:trPr>
          <w:jc w:val="center"/>
        </w:trPr>
        <w:tc>
          <w:tcPr>
            <w:tcW w:w="6366" w:type="dxa"/>
            <w:tcBorders>
              <w:top w:val="dotted" w:sz="4" w:space="0" w:color="auto"/>
              <w:left w:val="dotted" w:sz="4" w:space="0" w:color="auto"/>
              <w:bottom w:val="dotted" w:sz="4" w:space="0" w:color="auto"/>
              <w:right w:val="dotted" w:sz="4" w:space="0" w:color="auto"/>
            </w:tcBorders>
            <w:shd w:val="clear" w:color="auto" w:fill="auto"/>
            <w:vAlign w:val="center"/>
          </w:tcPr>
          <w:p w14:paraId="4B5B2931" w14:textId="77777777" w:rsidR="005068B5" w:rsidRPr="00882C27" w:rsidRDefault="005068B5" w:rsidP="00816745">
            <w:pPr>
              <w:tabs>
                <w:tab w:val="left" w:pos="-1440"/>
                <w:tab w:val="left" w:pos="-720"/>
                <w:tab w:val="left" w:pos="720"/>
                <w:tab w:val="left" w:pos="1440"/>
                <w:tab w:val="left" w:pos="2160"/>
                <w:tab w:val="left" w:pos="2880"/>
                <w:tab w:val="left" w:pos="3600"/>
                <w:tab w:val="left" w:pos="4704"/>
                <w:tab w:val="left" w:pos="5284"/>
                <w:tab w:val="left" w:pos="7625"/>
              </w:tabs>
              <w:suppressAutoHyphens/>
              <w:ind w:right="432"/>
              <w:rPr>
                <w:rFonts w:asciiTheme="minorHAnsi" w:hAnsiTheme="minorHAnsi" w:cstheme="minorHAnsi"/>
                <w:color w:val="404040" w:themeColor="text1" w:themeTint="BF"/>
                <w:szCs w:val="20"/>
              </w:rPr>
            </w:pPr>
            <w:r w:rsidRPr="00882C27">
              <w:rPr>
                <w:rFonts w:asciiTheme="minorHAnsi" w:hAnsiTheme="minorHAnsi" w:cstheme="minorHAnsi"/>
                <w:color w:val="404040" w:themeColor="text1" w:themeTint="BF"/>
                <w:szCs w:val="20"/>
              </w:rPr>
              <w:t>Housing Opportunities for Persons with AIDS</w:t>
            </w:r>
          </w:p>
        </w:tc>
        <w:tc>
          <w:tcPr>
            <w:tcW w:w="2586" w:type="dxa"/>
            <w:tcBorders>
              <w:top w:val="dotted" w:sz="4" w:space="0" w:color="auto"/>
              <w:left w:val="dotted" w:sz="4" w:space="0" w:color="auto"/>
              <w:bottom w:val="dotted" w:sz="4" w:space="0" w:color="auto"/>
              <w:right w:val="dotted" w:sz="4" w:space="0" w:color="auto"/>
            </w:tcBorders>
            <w:shd w:val="clear" w:color="auto" w:fill="auto"/>
            <w:vAlign w:val="center"/>
          </w:tcPr>
          <w:p w14:paraId="03480F87" w14:textId="77777777" w:rsidR="005068B5" w:rsidRPr="00394C69" w:rsidRDefault="005068B5" w:rsidP="00816745">
            <w:pPr>
              <w:tabs>
                <w:tab w:val="left" w:pos="-1440"/>
                <w:tab w:val="left" w:pos="-720"/>
                <w:tab w:val="left" w:pos="720"/>
                <w:tab w:val="left" w:pos="1440"/>
                <w:tab w:val="left" w:pos="2160"/>
                <w:tab w:val="left" w:pos="2880"/>
                <w:tab w:val="left" w:pos="3600"/>
                <w:tab w:val="left" w:pos="4704"/>
                <w:tab w:val="left" w:pos="5284"/>
                <w:tab w:val="left" w:pos="7625"/>
              </w:tabs>
              <w:suppressAutoHyphens/>
              <w:ind w:right="432"/>
              <w:jc w:val="center"/>
              <w:rPr>
                <w:rFonts w:asciiTheme="minorHAnsi" w:hAnsiTheme="minorHAnsi" w:cstheme="minorHAnsi"/>
                <w:color w:val="404040" w:themeColor="text1" w:themeTint="BF"/>
                <w:szCs w:val="20"/>
              </w:rPr>
            </w:pPr>
            <w:r>
              <w:rPr>
                <w:rFonts w:asciiTheme="minorHAnsi" w:hAnsiTheme="minorHAnsi" w:cstheme="minorHAnsi"/>
                <w:color w:val="404040" w:themeColor="text1" w:themeTint="BF"/>
                <w:szCs w:val="20"/>
              </w:rPr>
              <w:t>$416,846</w:t>
            </w:r>
          </w:p>
        </w:tc>
      </w:tr>
      <w:tr w:rsidR="005068B5" w:rsidRPr="00882C27" w14:paraId="639032B3" w14:textId="77777777" w:rsidTr="00816745">
        <w:trPr>
          <w:trHeight w:val="243"/>
          <w:jc w:val="center"/>
        </w:trPr>
        <w:tc>
          <w:tcPr>
            <w:tcW w:w="6366" w:type="dxa"/>
            <w:tcBorders>
              <w:top w:val="dotted" w:sz="4" w:space="0" w:color="auto"/>
              <w:left w:val="dotted" w:sz="4" w:space="0" w:color="auto"/>
              <w:bottom w:val="dotted" w:sz="4" w:space="0" w:color="auto"/>
              <w:right w:val="dotted" w:sz="4" w:space="0" w:color="auto"/>
            </w:tcBorders>
            <w:shd w:val="clear" w:color="auto" w:fill="auto"/>
            <w:vAlign w:val="center"/>
          </w:tcPr>
          <w:p w14:paraId="4E601C07" w14:textId="77777777" w:rsidR="005068B5" w:rsidRPr="00882C27" w:rsidRDefault="005068B5" w:rsidP="00816745">
            <w:pPr>
              <w:tabs>
                <w:tab w:val="left" w:pos="-1440"/>
                <w:tab w:val="left" w:pos="-720"/>
                <w:tab w:val="left" w:pos="720"/>
                <w:tab w:val="left" w:pos="1440"/>
                <w:tab w:val="left" w:pos="2160"/>
                <w:tab w:val="left" w:pos="2880"/>
                <w:tab w:val="left" w:pos="3600"/>
                <w:tab w:val="left" w:pos="4704"/>
                <w:tab w:val="left" w:pos="6258"/>
                <w:tab w:val="left" w:pos="6330"/>
                <w:tab w:val="left" w:pos="7625"/>
              </w:tabs>
              <w:suppressAutoHyphens/>
              <w:ind w:right="-108"/>
              <w:rPr>
                <w:rFonts w:asciiTheme="minorHAnsi" w:hAnsiTheme="minorHAnsi" w:cstheme="minorHAnsi"/>
                <w:color w:val="404040" w:themeColor="text1" w:themeTint="BF"/>
                <w:szCs w:val="20"/>
              </w:rPr>
            </w:pPr>
            <w:r w:rsidRPr="00882C27">
              <w:rPr>
                <w:rFonts w:asciiTheme="minorHAnsi" w:hAnsiTheme="minorHAnsi" w:cstheme="minorHAnsi"/>
                <w:color w:val="404040" w:themeColor="text1" w:themeTint="BF"/>
                <w:szCs w:val="20"/>
              </w:rPr>
              <w:t>Reallocated CDBG funds from prior years &amp; program income</w:t>
            </w:r>
          </w:p>
        </w:tc>
        <w:tc>
          <w:tcPr>
            <w:tcW w:w="2586" w:type="dxa"/>
            <w:tcBorders>
              <w:top w:val="dotted" w:sz="4" w:space="0" w:color="auto"/>
              <w:left w:val="dotted" w:sz="4" w:space="0" w:color="auto"/>
              <w:bottom w:val="dotted" w:sz="4" w:space="0" w:color="auto"/>
              <w:right w:val="dotted" w:sz="4" w:space="0" w:color="auto"/>
            </w:tcBorders>
            <w:shd w:val="clear" w:color="auto" w:fill="auto"/>
            <w:vAlign w:val="center"/>
          </w:tcPr>
          <w:p w14:paraId="5820209E" w14:textId="77777777" w:rsidR="005068B5" w:rsidRPr="00394C69" w:rsidRDefault="005068B5" w:rsidP="00816745">
            <w:pPr>
              <w:tabs>
                <w:tab w:val="left" w:pos="-1440"/>
                <w:tab w:val="left" w:pos="-720"/>
                <w:tab w:val="left" w:pos="720"/>
                <w:tab w:val="left" w:pos="1440"/>
                <w:tab w:val="left" w:pos="2160"/>
                <w:tab w:val="left" w:pos="2880"/>
                <w:tab w:val="left" w:pos="3600"/>
                <w:tab w:val="left" w:pos="4704"/>
                <w:tab w:val="left" w:pos="5284"/>
                <w:tab w:val="left" w:pos="7625"/>
              </w:tabs>
              <w:suppressAutoHyphens/>
              <w:ind w:right="432"/>
              <w:jc w:val="center"/>
              <w:rPr>
                <w:rFonts w:asciiTheme="minorHAnsi" w:hAnsiTheme="minorHAnsi" w:cstheme="minorHAnsi"/>
                <w:color w:val="404040" w:themeColor="text1" w:themeTint="BF"/>
                <w:szCs w:val="20"/>
              </w:rPr>
            </w:pPr>
            <w:r w:rsidRPr="00816745">
              <w:rPr>
                <w:rFonts w:asciiTheme="minorHAnsi" w:hAnsiTheme="minorHAnsi" w:cstheme="minorHAnsi"/>
                <w:color w:val="404040" w:themeColor="text1" w:themeTint="BF"/>
                <w:szCs w:val="20"/>
              </w:rPr>
              <w:t>$1,425,000</w:t>
            </w:r>
          </w:p>
        </w:tc>
      </w:tr>
      <w:tr w:rsidR="005068B5" w:rsidRPr="00882C27" w14:paraId="128896D1" w14:textId="77777777" w:rsidTr="00816745">
        <w:trPr>
          <w:trHeight w:val="243"/>
          <w:jc w:val="center"/>
        </w:trPr>
        <w:tc>
          <w:tcPr>
            <w:tcW w:w="6366" w:type="dxa"/>
            <w:tcBorders>
              <w:top w:val="dotted" w:sz="4" w:space="0" w:color="auto"/>
              <w:left w:val="dotted" w:sz="4" w:space="0" w:color="auto"/>
              <w:bottom w:val="dotted" w:sz="4" w:space="0" w:color="auto"/>
              <w:right w:val="dotted" w:sz="4" w:space="0" w:color="auto"/>
            </w:tcBorders>
            <w:shd w:val="clear" w:color="auto" w:fill="auto"/>
            <w:vAlign w:val="center"/>
          </w:tcPr>
          <w:p w14:paraId="2DF5ED0C" w14:textId="77777777" w:rsidR="005068B5" w:rsidRPr="00882C27" w:rsidRDefault="005068B5" w:rsidP="00816745">
            <w:pPr>
              <w:tabs>
                <w:tab w:val="left" w:pos="-1440"/>
                <w:tab w:val="left" w:pos="-720"/>
                <w:tab w:val="left" w:pos="720"/>
                <w:tab w:val="left" w:pos="1440"/>
                <w:tab w:val="left" w:pos="2160"/>
                <w:tab w:val="left" w:pos="2880"/>
                <w:tab w:val="left" w:pos="3600"/>
                <w:tab w:val="left" w:pos="4704"/>
                <w:tab w:val="left" w:pos="5284"/>
                <w:tab w:val="left" w:pos="7625"/>
              </w:tabs>
              <w:suppressAutoHyphens/>
              <w:ind w:right="432"/>
              <w:rPr>
                <w:rFonts w:asciiTheme="minorHAnsi" w:hAnsiTheme="minorHAnsi" w:cstheme="minorHAnsi"/>
                <w:color w:val="404040" w:themeColor="text1" w:themeTint="BF"/>
                <w:szCs w:val="20"/>
              </w:rPr>
            </w:pPr>
            <w:r w:rsidRPr="00882C27">
              <w:rPr>
                <w:rFonts w:asciiTheme="minorHAnsi" w:hAnsiTheme="minorHAnsi" w:cstheme="minorHAnsi"/>
                <w:color w:val="404040" w:themeColor="text1" w:themeTint="BF"/>
                <w:szCs w:val="20"/>
              </w:rPr>
              <w:t>Reallocated ESG funds from prior years</w:t>
            </w:r>
          </w:p>
        </w:tc>
        <w:tc>
          <w:tcPr>
            <w:tcW w:w="2586" w:type="dxa"/>
            <w:tcBorders>
              <w:top w:val="dotted" w:sz="4" w:space="0" w:color="auto"/>
              <w:left w:val="dotted" w:sz="4" w:space="0" w:color="auto"/>
              <w:bottom w:val="dotted" w:sz="4" w:space="0" w:color="auto"/>
              <w:right w:val="dotted" w:sz="4" w:space="0" w:color="auto"/>
            </w:tcBorders>
            <w:shd w:val="clear" w:color="auto" w:fill="auto"/>
            <w:vAlign w:val="center"/>
          </w:tcPr>
          <w:p w14:paraId="4E93AE0A" w14:textId="77777777" w:rsidR="005068B5" w:rsidRPr="00394C69" w:rsidRDefault="005068B5" w:rsidP="00816745">
            <w:pPr>
              <w:tabs>
                <w:tab w:val="left" w:pos="-1440"/>
                <w:tab w:val="left" w:pos="-720"/>
                <w:tab w:val="left" w:pos="720"/>
                <w:tab w:val="left" w:pos="1440"/>
                <w:tab w:val="left" w:pos="2160"/>
                <w:tab w:val="left" w:pos="2880"/>
                <w:tab w:val="left" w:pos="3600"/>
                <w:tab w:val="left" w:pos="4704"/>
                <w:tab w:val="left" w:pos="5284"/>
                <w:tab w:val="left" w:pos="7625"/>
              </w:tabs>
              <w:suppressAutoHyphens/>
              <w:ind w:right="432"/>
              <w:jc w:val="center"/>
              <w:rPr>
                <w:rFonts w:asciiTheme="minorHAnsi" w:hAnsiTheme="minorHAnsi" w:cstheme="minorHAnsi"/>
                <w:color w:val="404040" w:themeColor="text1" w:themeTint="BF"/>
                <w:szCs w:val="20"/>
              </w:rPr>
            </w:pPr>
            <w:r>
              <w:rPr>
                <w:rFonts w:asciiTheme="minorHAnsi" w:hAnsiTheme="minorHAnsi" w:cstheme="minorHAnsi"/>
                <w:color w:val="404040" w:themeColor="text1" w:themeTint="BF"/>
                <w:szCs w:val="20"/>
              </w:rPr>
              <w:t>$14,494</w:t>
            </w:r>
          </w:p>
        </w:tc>
      </w:tr>
      <w:tr w:rsidR="005068B5" w:rsidRPr="00882C27" w14:paraId="12E044D6" w14:textId="77777777" w:rsidTr="00816745">
        <w:trPr>
          <w:trHeight w:val="243"/>
          <w:jc w:val="center"/>
        </w:trPr>
        <w:tc>
          <w:tcPr>
            <w:tcW w:w="6366" w:type="dxa"/>
            <w:tcBorders>
              <w:top w:val="dotted" w:sz="4" w:space="0" w:color="auto"/>
              <w:left w:val="dotted" w:sz="4" w:space="0" w:color="auto"/>
              <w:bottom w:val="dotted" w:sz="4" w:space="0" w:color="auto"/>
              <w:right w:val="dotted" w:sz="4" w:space="0" w:color="auto"/>
            </w:tcBorders>
            <w:shd w:val="clear" w:color="auto" w:fill="auto"/>
            <w:vAlign w:val="center"/>
          </w:tcPr>
          <w:p w14:paraId="1D0E99F5" w14:textId="77777777" w:rsidR="005068B5" w:rsidRPr="00882C27" w:rsidRDefault="005068B5" w:rsidP="00816745">
            <w:pPr>
              <w:tabs>
                <w:tab w:val="left" w:pos="-1440"/>
                <w:tab w:val="left" w:pos="-720"/>
                <w:tab w:val="left" w:pos="720"/>
                <w:tab w:val="left" w:pos="1440"/>
                <w:tab w:val="left" w:pos="2160"/>
                <w:tab w:val="left" w:pos="2880"/>
                <w:tab w:val="left" w:pos="3600"/>
                <w:tab w:val="left" w:pos="4704"/>
                <w:tab w:val="left" w:pos="5284"/>
                <w:tab w:val="left" w:pos="7625"/>
              </w:tabs>
              <w:suppressAutoHyphens/>
              <w:ind w:right="432"/>
              <w:rPr>
                <w:rFonts w:asciiTheme="minorHAnsi" w:hAnsiTheme="minorHAnsi" w:cstheme="minorHAnsi"/>
                <w:color w:val="404040" w:themeColor="text1" w:themeTint="BF"/>
                <w:szCs w:val="20"/>
              </w:rPr>
            </w:pPr>
            <w:r w:rsidRPr="00882C27">
              <w:rPr>
                <w:rFonts w:asciiTheme="minorHAnsi" w:hAnsiTheme="minorHAnsi" w:cstheme="minorHAnsi"/>
                <w:color w:val="404040" w:themeColor="text1" w:themeTint="BF"/>
                <w:szCs w:val="20"/>
              </w:rPr>
              <w:t>Reallocated HOME funds from prior years &amp; program income</w:t>
            </w:r>
          </w:p>
        </w:tc>
        <w:tc>
          <w:tcPr>
            <w:tcW w:w="2586" w:type="dxa"/>
            <w:tcBorders>
              <w:top w:val="dotted" w:sz="4" w:space="0" w:color="auto"/>
              <w:left w:val="dotted" w:sz="4" w:space="0" w:color="auto"/>
              <w:bottom w:val="dotted" w:sz="4" w:space="0" w:color="auto"/>
              <w:right w:val="dotted" w:sz="4" w:space="0" w:color="auto"/>
            </w:tcBorders>
            <w:shd w:val="clear" w:color="auto" w:fill="auto"/>
            <w:vAlign w:val="center"/>
          </w:tcPr>
          <w:p w14:paraId="54351129" w14:textId="77777777" w:rsidR="005068B5" w:rsidRPr="00394C69" w:rsidRDefault="005068B5" w:rsidP="00816745">
            <w:pPr>
              <w:tabs>
                <w:tab w:val="left" w:pos="-1440"/>
                <w:tab w:val="left" w:pos="-720"/>
                <w:tab w:val="left" w:pos="720"/>
                <w:tab w:val="left" w:pos="1440"/>
                <w:tab w:val="left" w:pos="2160"/>
                <w:tab w:val="left" w:pos="2880"/>
                <w:tab w:val="left" w:pos="3600"/>
                <w:tab w:val="left" w:pos="4704"/>
                <w:tab w:val="left" w:pos="5284"/>
                <w:tab w:val="left" w:pos="7625"/>
              </w:tabs>
              <w:suppressAutoHyphens/>
              <w:ind w:right="432"/>
              <w:jc w:val="center"/>
              <w:rPr>
                <w:rFonts w:asciiTheme="minorHAnsi" w:hAnsiTheme="minorHAnsi" w:cstheme="minorHAnsi"/>
                <w:color w:val="404040" w:themeColor="text1" w:themeTint="BF"/>
                <w:szCs w:val="20"/>
              </w:rPr>
            </w:pPr>
            <w:r w:rsidRPr="00394C69">
              <w:rPr>
                <w:rFonts w:asciiTheme="minorHAnsi" w:hAnsiTheme="minorHAnsi" w:cstheme="minorHAnsi"/>
                <w:color w:val="404040" w:themeColor="text1" w:themeTint="BF"/>
                <w:szCs w:val="20"/>
              </w:rPr>
              <w:t>$</w:t>
            </w:r>
            <w:r>
              <w:rPr>
                <w:rFonts w:asciiTheme="minorHAnsi" w:hAnsiTheme="minorHAnsi" w:cstheme="minorHAnsi"/>
                <w:color w:val="404040" w:themeColor="text1" w:themeTint="BF"/>
                <w:szCs w:val="20"/>
              </w:rPr>
              <w:t>576,000</w:t>
            </w:r>
          </w:p>
        </w:tc>
      </w:tr>
      <w:tr w:rsidR="005068B5" w:rsidRPr="00882C27" w14:paraId="0389EA34" w14:textId="77777777" w:rsidTr="00816745">
        <w:trPr>
          <w:trHeight w:val="243"/>
          <w:jc w:val="center"/>
        </w:trPr>
        <w:tc>
          <w:tcPr>
            <w:tcW w:w="6366" w:type="dxa"/>
            <w:tcBorders>
              <w:top w:val="dotted" w:sz="4" w:space="0" w:color="auto"/>
              <w:left w:val="dotted" w:sz="4" w:space="0" w:color="auto"/>
              <w:bottom w:val="dotted" w:sz="4" w:space="0" w:color="auto"/>
              <w:right w:val="dotted" w:sz="4" w:space="0" w:color="auto"/>
            </w:tcBorders>
            <w:shd w:val="clear" w:color="auto" w:fill="auto"/>
            <w:vAlign w:val="center"/>
          </w:tcPr>
          <w:p w14:paraId="40BD91A5" w14:textId="77777777" w:rsidR="005068B5" w:rsidRPr="00882C27" w:rsidRDefault="005068B5" w:rsidP="00816745">
            <w:pPr>
              <w:tabs>
                <w:tab w:val="left" w:pos="-1440"/>
                <w:tab w:val="left" w:pos="-720"/>
                <w:tab w:val="left" w:pos="720"/>
                <w:tab w:val="left" w:pos="1440"/>
                <w:tab w:val="left" w:pos="2160"/>
                <w:tab w:val="left" w:pos="2880"/>
                <w:tab w:val="left" w:pos="3600"/>
                <w:tab w:val="left" w:pos="4704"/>
                <w:tab w:val="left" w:pos="5284"/>
                <w:tab w:val="left" w:pos="7625"/>
              </w:tabs>
              <w:suppressAutoHyphens/>
              <w:ind w:right="432"/>
              <w:rPr>
                <w:rFonts w:asciiTheme="minorHAnsi" w:hAnsiTheme="minorHAnsi" w:cstheme="minorHAnsi"/>
                <w:color w:val="404040" w:themeColor="text1" w:themeTint="BF"/>
                <w:szCs w:val="20"/>
              </w:rPr>
            </w:pPr>
            <w:r w:rsidRPr="00882C27">
              <w:rPr>
                <w:rFonts w:asciiTheme="minorHAnsi" w:hAnsiTheme="minorHAnsi" w:cstheme="minorHAnsi"/>
                <w:color w:val="404040" w:themeColor="text1" w:themeTint="BF"/>
                <w:szCs w:val="20"/>
              </w:rPr>
              <w:t>Reallocated HOPWA from prior years</w:t>
            </w:r>
          </w:p>
        </w:tc>
        <w:tc>
          <w:tcPr>
            <w:tcW w:w="2586" w:type="dxa"/>
            <w:tcBorders>
              <w:top w:val="dotted" w:sz="4" w:space="0" w:color="auto"/>
              <w:left w:val="dotted" w:sz="4" w:space="0" w:color="auto"/>
              <w:bottom w:val="dotted" w:sz="4" w:space="0" w:color="auto"/>
              <w:right w:val="dotted" w:sz="4" w:space="0" w:color="auto"/>
            </w:tcBorders>
            <w:shd w:val="clear" w:color="auto" w:fill="auto"/>
            <w:vAlign w:val="center"/>
          </w:tcPr>
          <w:p w14:paraId="438940DB" w14:textId="77777777" w:rsidR="005068B5" w:rsidRPr="00394C69" w:rsidRDefault="005068B5" w:rsidP="00816745">
            <w:pPr>
              <w:tabs>
                <w:tab w:val="left" w:pos="-1440"/>
                <w:tab w:val="left" w:pos="-720"/>
                <w:tab w:val="left" w:pos="720"/>
                <w:tab w:val="left" w:pos="1440"/>
                <w:tab w:val="left" w:pos="2160"/>
                <w:tab w:val="left" w:pos="2880"/>
                <w:tab w:val="left" w:pos="3600"/>
                <w:tab w:val="left" w:pos="4704"/>
                <w:tab w:val="left" w:pos="5284"/>
                <w:tab w:val="left" w:pos="7625"/>
              </w:tabs>
              <w:suppressAutoHyphens/>
              <w:ind w:right="432"/>
              <w:jc w:val="center"/>
              <w:rPr>
                <w:rFonts w:asciiTheme="minorHAnsi" w:hAnsiTheme="minorHAnsi" w:cstheme="minorHAnsi"/>
                <w:color w:val="404040" w:themeColor="text1" w:themeTint="BF"/>
                <w:szCs w:val="20"/>
              </w:rPr>
            </w:pPr>
            <w:r>
              <w:rPr>
                <w:rFonts w:asciiTheme="minorHAnsi" w:hAnsiTheme="minorHAnsi" w:cstheme="minorHAnsi"/>
                <w:color w:val="404040" w:themeColor="text1" w:themeTint="BF"/>
                <w:szCs w:val="20"/>
              </w:rPr>
              <w:t>$27,149</w:t>
            </w:r>
          </w:p>
        </w:tc>
      </w:tr>
      <w:tr w:rsidR="005068B5" w:rsidRPr="00882C27" w14:paraId="40138159" w14:textId="77777777" w:rsidTr="00816745">
        <w:trPr>
          <w:jc w:val="center"/>
        </w:trPr>
        <w:tc>
          <w:tcPr>
            <w:tcW w:w="6366" w:type="dxa"/>
            <w:tcBorders>
              <w:top w:val="dotted" w:sz="4" w:space="0" w:color="auto"/>
              <w:left w:val="dotted" w:sz="4" w:space="0" w:color="auto"/>
              <w:bottom w:val="dotted" w:sz="4" w:space="0" w:color="auto"/>
              <w:right w:val="dotted" w:sz="4" w:space="0" w:color="auto"/>
            </w:tcBorders>
            <w:shd w:val="clear" w:color="auto" w:fill="auto"/>
            <w:vAlign w:val="center"/>
          </w:tcPr>
          <w:p w14:paraId="5CEA7BCB" w14:textId="77777777" w:rsidR="005068B5" w:rsidRPr="00882C27" w:rsidRDefault="005068B5" w:rsidP="00816745">
            <w:pPr>
              <w:tabs>
                <w:tab w:val="left" w:pos="-1440"/>
                <w:tab w:val="left" w:pos="-720"/>
                <w:tab w:val="left" w:pos="720"/>
                <w:tab w:val="left" w:pos="1440"/>
                <w:tab w:val="left" w:pos="2160"/>
                <w:tab w:val="left" w:pos="2880"/>
                <w:tab w:val="left" w:pos="3600"/>
                <w:tab w:val="left" w:pos="4704"/>
                <w:tab w:val="left" w:pos="5284"/>
                <w:tab w:val="left" w:pos="7625"/>
              </w:tabs>
              <w:suppressAutoHyphens/>
              <w:ind w:right="432"/>
              <w:rPr>
                <w:rFonts w:asciiTheme="minorHAnsi" w:hAnsiTheme="minorHAnsi" w:cstheme="minorHAnsi"/>
                <w:b/>
                <w:color w:val="404040" w:themeColor="text1" w:themeTint="BF"/>
                <w:szCs w:val="20"/>
              </w:rPr>
            </w:pPr>
            <w:r w:rsidRPr="00882C27">
              <w:rPr>
                <w:rFonts w:asciiTheme="minorHAnsi" w:hAnsiTheme="minorHAnsi" w:cstheme="minorHAnsi"/>
                <w:b/>
                <w:color w:val="404040" w:themeColor="text1" w:themeTint="BF"/>
                <w:szCs w:val="20"/>
              </w:rPr>
              <w:t>Total</w:t>
            </w:r>
          </w:p>
        </w:tc>
        <w:tc>
          <w:tcPr>
            <w:tcW w:w="2586" w:type="dxa"/>
            <w:tcBorders>
              <w:top w:val="dotted" w:sz="4" w:space="0" w:color="auto"/>
              <w:left w:val="dotted" w:sz="4" w:space="0" w:color="auto"/>
              <w:bottom w:val="dotted" w:sz="4" w:space="0" w:color="auto"/>
              <w:right w:val="dotted" w:sz="4" w:space="0" w:color="auto"/>
            </w:tcBorders>
            <w:shd w:val="clear" w:color="auto" w:fill="auto"/>
            <w:vAlign w:val="center"/>
          </w:tcPr>
          <w:p w14:paraId="2A9C0FB6" w14:textId="77777777" w:rsidR="005068B5" w:rsidRPr="00BC4542" w:rsidRDefault="005068B5" w:rsidP="00816745">
            <w:pPr>
              <w:tabs>
                <w:tab w:val="left" w:pos="-1440"/>
                <w:tab w:val="left" w:pos="-720"/>
                <w:tab w:val="left" w:pos="720"/>
                <w:tab w:val="left" w:pos="1440"/>
                <w:tab w:val="left" w:pos="2160"/>
                <w:tab w:val="left" w:pos="2880"/>
                <w:tab w:val="left" w:pos="3600"/>
                <w:tab w:val="left" w:pos="4704"/>
                <w:tab w:val="left" w:pos="5284"/>
                <w:tab w:val="left" w:pos="7625"/>
              </w:tabs>
              <w:suppressAutoHyphens/>
              <w:ind w:right="432"/>
              <w:jc w:val="center"/>
              <w:rPr>
                <w:rFonts w:asciiTheme="minorHAnsi" w:hAnsiTheme="minorHAnsi" w:cstheme="minorHAnsi"/>
                <w:b/>
                <w:color w:val="404040" w:themeColor="text1" w:themeTint="BF"/>
                <w:szCs w:val="20"/>
                <w:highlight w:val="yellow"/>
              </w:rPr>
            </w:pPr>
            <w:r>
              <w:rPr>
                <w:rFonts w:asciiTheme="minorHAnsi" w:hAnsiTheme="minorHAnsi" w:cstheme="minorHAnsi"/>
                <w:b/>
                <w:color w:val="404040" w:themeColor="text1" w:themeTint="BF"/>
                <w:szCs w:val="20"/>
              </w:rPr>
              <w:t>$5,272,037</w:t>
            </w:r>
          </w:p>
        </w:tc>
      </w:tr>
    </w:tbl>
    <w:p w14:paraId="47561111" w14:textId="77777777" w:rsidR="005068B5" w:rsidRPr="00C83460" w:rsidRDefault="005068B5" w:rsidP="005068B5">
      <w:pPr>
        <w:pStyle w:val="Title"/>
        <w:spacing w:after="120"/>
        <w:ind w:left="360" w:right="360"/>
        <w:jc w:val="left"/>
        <w:rPr>
          <w:rFonts w:ascii="Gotham Book" w:hAnsi="Gotham Book"/>
          <w:color w:val="FF0000"/>
          <w:sz w:val="20"/>
          <w:szCs w:val="20"/>
        </w:rPr>
      </w:pPr>
    </w:p>
    <w:p w14:paraId="4BD99BEE" w14:textId="77777777" w:rsidR="005068B5" w:rsidRPr="00C83460" w:rsidRDefault="005068B5" w:rsidP="005068B5">
      <w:pPr>
        <w:spacing w:line="360" w:lineRule="auto"/>
        <w:ind w:right="360"/>
        <w:rPr>
          <w:rFonts w:asciiTheme="minorHAnsi" w:hAnsiTheme="minorHAnsi" w:cstheme="minorHAnsi"/>
          <w:color w:val="404040" w:themeColor="text1" w:themeTint="BF"/>
          <w:szCs w:val="20"/>
        </w:rPr>
      </w:pPr>
    </w:p>
    <w:p w14:paraId="763FE2BB" w14:textId="77777777" w:rsidR="005068B5" w:rsidRPr="00C83460" w:rsidRDefault="005068B5" w:rsidP="005068B5">
      <w:pPr>
        <w:ind w:left="360" w:right="360"/>
        <w:rPr>
          <w:rFonts w:ascii="Arial" w:hAnsi="Arial" w:cs="Arial"/>
          <w:color w:val="FF0000"/>
          <w:sz w:val="22"/>
          <w:szCs w:val="22"/>
          <w:u w:val="single"/>
        </w:rPr>
      </w:pPr>
    </w:p>
    <w:p w14:paraId="0BEA2802" w14:textId="77777777" w:rsidR="005068B5" w:rsidRPr="00C83460" w:rsidRDefault="005068B5" w:rsidP="005068B5">
      <w:pPr>
        <w:spacing w:line="276" w:lineRule="auto"/>
        <w:ind w:right="360"/>
        <w:rPr>
          <w:rFonts w:asciiTheme="minorHAnsi" w:hAnsiTheme="minorHAnsi" w:cstheme="minorHAnsi"/>
          <w:i/>
          <w:color w:val="FF0000"/>
          <w:sz w:val="18"/>
          <w:szCs w:val="18"/>
        </w:rPr>
      </w:pPr>
      <w:r w:rsidRPr="00C83460">
        <w:rPr>
          <w:rFonts w:ascii="Arial" w:hAnsi="Arial" w:cs="Arial"/>
          <w:color w:val="FF0000"/>
          <w:sz w:val="22"/>
          <w:szCs w:val="22"/>
          <w:u w:val="single"/>
        </w:rPr>
        <w:br w:type="page"/>
      </w:r>
      <w:r w:rsidRPr="009629AD">
        <w:rPr>
          <w:rFonts w:asciiTheme="minorHAnsi" w:hAnsiTheme="minorHAnsi" w:cstheme="minorHAnsi"/>
          <w:noProof/>
          <w:color w:val="1F497D" w:themeColor="text2"/>
          <w:sz w:val="24"/>
        </w:rPr>
        <mc:AlternateContent>
          <mc:Choice Requires="wps">
            <w:drawing>
              <wp:anchor distT="0" distB="0" distL="114300" distR="114300" simplePos="0" relativeHeight="251765760" behindDoc="0" locked="0" layoutInCell="1" allowOverlap="1" wp14:anchorId="59C44840" wp14:editId="5A149FAE">
                <wp:simplePos x="0" y="0"/>
                <wp:positionH relativeFrom="column">
                  <wp:posOffset>-190500</wp:posOffset>
                </wp:positionH>
                <wp:positionV relativeFrom="paragraph">
                  <wp:posOffset>-38100</wp:posOffset>
                </wp:positionV>
                <wp:extent cx="6779895" cy="635"/>
                <wp:effectExtent l="9525" t="9525" r="11430" b="8890"/>
                <wp:wrapNone/>
                <wp:docPr id="3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989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A0981A" id="AutoShape 15" o:spid="_x0000_s1026" type="#_x0000_t32" style="position:absolute;margin-left:-15pt;margin-top:-3pt;width:533.85pt;height:.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" strokecolor="#548dd4"/>
            </w:pict>
          </mc:Fallback>
        </mc:AlternateContent>
      </w:r>
      <w:r w:rsidRPr="009629AD">
        <w:rPr>
          <w:rFonts w:asciiTheme="minorHAnsi" w:hAnsiTheme="minorHAnsi" w:cstheme="minorHAnsi"/>
          <w:b/>
          <w:color w:val="1F497D" w:themeColor="text2"/>
          <w:sz w:val="24"/>
        </w:rPr>
        <w:t xml:space="preserve">CR-05 ASSESSMENT OF GOALS AND OBJECTIVES </w:t>
      </w:r>
      <w:r w:rsidRPr="009629AD">
        <w:rPr>
          <w:rFonts w:asciiTheme="minorHAnsi" w:hAnsiTheme="minorHAnsi" w:cstheme="minorHAnsi"/>
          <w:i/>
          <w:color w:val="1F497D" w:themeColor="text2"/>
          <w:sz w:val="18"/>
          <w:szCs w:val="18"/>
        </w:rPr>
        <w:t>– 91.520(a), 91.520(g)</w:t>
      </w:r>
    </w:p>
    <w:p w14:paraId="310D82CF" w14:textId="77777777" w:rsidR="005068B5" w:rsidRPr="00C83460" w:rsidRDefault="005068B5" w:rsidP="005068B5">
      <w:pPr>
        <w:spacing w:line="276" w:lineRule="auto"/>
        <w:ind w:right="360"/>
        <w:rPr>
          <w:rFonts w:asciiTheme="minorHAnsi" w:hAnsiTheme="minorHAnsi" w:cstheme="minorHAnsi"/>
          <w:color w:val="FF0000"/>
          <w:szCs w:val="20"/>
        </w:rPr>
      </w:pPr>
    </w:p>
    <w:p w14:paraId="6E600DDF" w14:textId="77777777" w:rsidR="005068B5" w:rsidRPr="006060B0" w:rsidRDefault="005068B5" w:rsidP="005068B5">
      <w:pPr>
        <w:spacing w:line="276" w:lineRule="auto"/>
        <w:ind w:right="360"/>
        <w:rPr>
          <w:rFonts w:asciiTheme="minorHAnsi" w:hAnsiTheme="minorHAnsi" w:cstheme="minorHAnsi"/>
          <w:b/>
          <w:color w:val="404040" w:themeColor="text1" w:themeTint="BF"/>
          <w:szCs w:val="20"/>
        </w:rPr>
      </w:pPr>
      <w:r w:rsidRPr="006060B0">
        <w:rPr>
          <w:rFonts w:asciiTheme="minorHAnsi" w:hAnsiTheme="minorHAnsi" w:cstheme="minorHAnsi"/>
          <w:b/>
          <w:color w:val="404040" w:themeColor="text1" w:themeTint="BF"/>
          <w:szCs w:val="20"/>
        </w:rPr>
        <w:t>Progress Salt Lake City has made in carrying out its strategic plan and action plan. (91.520(a))</w:t>
      </w:r>
    </w:p>
    <w:p w14:paraId="76011992" w14:textId="77777777" w:rsidR="005068B5" w:rsidRPr="006060B0" w:rsidRDefault="005068B5" w:rsidP="005068B5">
      <w:pPr>
        <w:spacing w:line="276" w:lineRule="auto"/>
        <w:ind w:right="360"/>
        <w:rPr>
          <w:rFonts w:asciiTheme="minorHAnsi" w:hAnsiTheme="minorHAnsi" w:cstheme="minorHAnsi"/>
          <w:i/>
          <w:color w:val="404040" w:themeColor="text1" w:themeTint="BF"/>
          <w:sz w:val="18"/>
          <w:szCs w:val="18"/>
        </w:rPr>
      </w:pPr>
      <w:r w:rsidRPr="006060B0">
        <w:rPr>
          <w:rFonts w:asciiTheme="minorHAnsi" w:hAnsiTheme="minorHAnsi" w:cstheme="minorHAnsi"/>
          <w:i/>
          <w:color w:val="404040" w:themeColor="text1" w:themeTint="BF"/>
          <w:sz w:val="18"/>
          <w:szCs w:val="18"/>
        </w:rPr>
        <w:t>This could be an overview that includes major initiatives and highlights that were proposed and executed throughout the program year.</w:t>
      </w:r>
    </w:p>
    <w:p w14:paraId="233EF618" w14:textId="77777777" w:rsidR="005068B5" w:rsidRDefault="005068B5" w:rsidP="005068B5">
      <w:pPr>
        <w:spacing w:line="276" w:lineRule="auto"/>
        <w:ind w:right="360"/>
        <w:rPr>
          <w:rFonts w:asciiTheme="minorHAnsi" w:hAnsiTheme="minorHAnsi" w:cstheme="minorHAnsi"/>
          <w:b/>
          <w:color w:val="404040" w:themeColor="text1" w:themeTint="BF"/>
          <w:szCs w:val="20"/>
        </w:rPr>
      </w:pPr>
    </w:p>
    <w:p w14:paraId="0B74D1FD" w14:textId="77777777" w:rsidR="0020194F" w:rsidRPr="00BA7F25" w:rsidRDefault="0020194F" w:rsidP="0020194F">
      <w:pPr>
        <w:spacing w:line="360" w:lineRule="auto"/>
        <w:ind w:right="360"/>
        <w:rPr>
          <w:rFonts w:asciiTheme="minorHAnsi" w:hAnsiTheme="minorHAnsi" w:cstheme="minorHAnsi"/>
          <w:color w:val="404040" w:themeColor="text1" w:themeTint="BF"/>
          <w:szCs w:val="20"/>
        </w:rPr>
      </w:pPr>
      <w:r w:rsidRPr="00BA7F25">
        <w:rPr>
          <w:rFonts w:asciiTheme="minorHAnsi" w:hAnsiTheme="minorHAnsi" w:cstheme="minorHAnsi"/>
          <w:color w:val="404040" w:themeColor="text1" w:themeTint="BF"/>
          <w:szCs w:val="20"/>
        </w:rPr>
        <w:t xml:space="preserve">The priorities and goals as outlined in Salt Lake City's 2015-2019 Consolidated Plan served as the </w:t>
      </w:r>
      <w:r>
        <w:rPr>
          <w:rFonts w:asciiTheme="minorHAnsi" w:hAnsiTheme="minorHAnsi" w:cstheme="minorHAnsi"/>
          <w:color w:val="404040" w:themeColor="text1" w:themeTint="BF"/>
          <w:szCs w:val="20"/>
        </w:rPr>
        <w:t>foundation for program year 2017-2018</w:t>
      </w:r>
      <w:r w:rsidRPr="00BA7F25">
        <w:rPr>
          <w:rFonts w:asciiTheme="minorHAnsi" w:hAnsiTheme="minorHAnsi" w:cstheme="minorHAnsi"/>
          <w:color w:val="404040" w:themeColor="text1" w:themeTint="BF"/>
          <w:szCs w:val="20"/>
        </w:rPr>
        <w:t xml:space="preserve"> projects and activities. The Consolidated Plan encourages capacity in neighborhoods with concentrated poverty and supports at-risk populations by promoting goals that increase access to housing, education, health, transportation and economic development. Many projects and activities that were undertaken this year were done within a specific geographical area, which allowed us to leverage other funding sources. This overall strategic alignment has yielded positive results and created new partnerships within the community. The overarching priorities and</w:t>
      </w:r>
      <w:r>
        <w:rPr>
          <w:rFonts w:asciiTheme="minorHAnsi" w:hAnsiTheme="minorHAnsi" w:cstheme="minorHAnsi"/>
          <w:color w:val="404040" w:themeColor="text1" w:themeTint="BF"/>
          <w:szCs w:val="20"/>
        </w:rPr>
        <w:t xml:space="preserve"> goals addressed during the 2017-18</w:t>
      </w:r>
      <w:r w:rsidRPr="00BA7F25">
        <w:rPr>
          <w:rFonts w:asciiTheme="minorHAnsi" w:hAnsiTheme="minorHAnsi" w:cstheme="minorHAnsi"/>
          <w:color w:val="404040" w:themeColor="text1" w:themeTint="BF"/>
          <w:szCs w:val="20"/>
        </w:rPr>
        <w:t xml:space="preserve"> program year are as follows</w:t>
      </w:r>
      <w:r>
        <w:rPr>
          <w:rFonts w:asciiTheme="minorHAnsi" w:hAnsiTheme="minorHAnsi" w:cstheme="minorHAnsi"/>
          <w:color w:val="404040" w:themeColor="text1" w:themeTint="BF"/>
          <w:szCs w:val="20"/>
        </w:rPr>
        <w:t>:</w:t>
      </w:r>
    </w:p>
    <w:p w14:paraId="1BA89EB2" w14:textId="77777777" w:rsidR="0020194F" w:rsidRPr="00BA7F25" w:rsidRDefault="0020194F" w:rsidP="0020194F">
      <w:pPr>
        <w:spacing w:line="360" w:lineRule="auto"/>
        <w:rPr>
          <w:rFonts w:asciiTheme="minorHAnsi" w:hAnsiTheme="minorHAnsi" w:cstheme="minorHAnsi"/>
          <w:color w:val="404040" w:themeColor="text1" w:themeTint="BF"/>
          <w:szCs w:val="20"/>
        </w:rPr>
      </w:pPr>
    </w:p>
    <w:p w14:paraId="2EDCC697" w14:textId="77777777" w:rsidR="0020194F" w:rsidRPr="00BA7F25" w:rsidRDefault="0020194F" w:rsidP="0020194F">
      <w:pPr>
        <w:pStyle w:val="ListParagraph"/>
        <w:numPr>
          <w:ilvl w:val="0"/>
          <w:numId w:val="28"/>
        </w:numPr>
        <w:spacing w:line="360" w:lineRule="auto"/>
        <w:rPr>
          <w:rFonts w:asciiTheme="minorHAnsi" w:hAnsiTheme="minorHAnsi" w:cstheme="minorHAnsi"/>
          <w:color w:val="404040" w:themeColor="text1" w:themeTint="BF"/>
          <w:szCs w:val="20"/>
        </w:rPr>
      </w:pPr>
      <w:r w:rsidRPr="00BA7F25">
        <w:rPr>
          <w:rFonts w:asciiTheme="minorHAnsi" w:hAnsiTheme="minorHAnsi" w:cstheme="minorHAnsi"/>
          <w:color w:val="404040" w:themeColor="text1" w:themeTint="BF"/>
          <w:szCs w:val="20"/>
        </w:rPr>
        <w:t>Housing: Provide housing options for all economic and demographic segments of Salt Lake City's population while diversifying the housing stock within neighborhoods.</w:t>
      </w:r>
    </w:p>
    <w:p w14:paraId="66BB63F9" w14:textId="77777777" w:rsidR="0020194F" w:rsidRPr="00BA7F25" w:rsidRDefault="0020194F" w:rsidP="0020194F">
      <w:pPr>
        <w:pStyle w:val="ListParagraph"/>
        <w:numPr>
          <w:ilvl w:val="0"/>
          <w:numId w:val="28"/>
        </w:numPr>
        <w:spacing w:line="360" w:lineRule="auto"/>
        <w:rPr>
          <w:rFonts w:asciiTheme="minorHAnsi" w:hAnsiTheme="minorHAnsi" w:cstheme="minorHAnsi"/>
          <w:color w:val="404040" w:themeColor="text1" w:themeTint="BF"/>
          <w:szCs w:val="20"/>
        </w:rPr>
      </w:pPr>
      <w:r w:rsidRPr="00BA7F25">
        <w:rPr>
          <w:rFonts w:asciiTheme="minorHAnsi" w:hAnsiTheme="minorHAnsi" w:cstheme="minorHAnsi"/>
          <w:color w:val="404040" w:themeColor="text1" w:themeTint="BF"/>
          <w:szCs w:val="20"/>
        </w:rPr>
        <w:t>Education: Promote educational opportunities, with focus on reducing intergenerational poverty.</w:t>
      </w:r>
    </w:p>
    <w:p w14:paraId="3DF72E7C" w14:textId="77777777" w:rsidR="0020194F" w:rsidRPr="00BA7F25" w:rsidRDefault="0020194F" w:rsidP="0020194F">
      <w:pPr>
        <w:pStyle w:val="ListParagraph"/>
        <w:numPr>
          <w:ilvl w:val="0"/>
          <w:numId w:val="28"/>
        </w:numPr>
        <w:spacing w:line="360" w:lineRule="auto"/>
        <w:rPr>
          <w:rFonts w:asciiTheme="minorHAnsi" w:hAnsiTheme="minorHAnsi" w:cstheme="minorHAnsi"/>
          <w:color w:val="404040" w:themeColor="text1" w:themeTint="BF"/>
          <w:szCs w:val="20"/>
        </w:rPr>
      </w:pPr>
      <w:r w:rsidRPr="00BA7F25">
        <w:rPr>
          <w:rFonts w:asciiTheme="minorHAnsi" w:hAnsiTheme="minorHAnsi" w:cstheme="minorHAnsi"/>
          <w:color w:val="404040" w:themeColor="text1" w:themeTint="BF"/>
          <w:szCs w:val="20"/>
        </w:rPr>
        <w:t>Health: Promote access to affordable healthcare, fresh foods, and safe living environments.</w:t>
      </w:r>
    </w:p>
    <w:p w14:paraId="4EBF1B85" w14:textId="77777777" w:rsidR="0020194F" w:rsidRPr="00BA7F25" w:rsidRDefault="0020194F" w:rsidP="0020194F">
      <w:pPr>
        <w:pStyle w:val="ListParagraph"/>
        <w:numPr>
          <w:ilvl w:val="0"/>
          <w:numId w:val="28"/>
        </w:numPr>
        <w:spacing w:line="360" w:lineRule="auto"/>
        <w:rPr>
          <w:rFonts w:asciiTheme="minorHAnsi" w:hAnsiTheme="minorHAnsi" w:cstheme="minorHAnsi"/>
          <w:color w:val="404040" w:themeColor="text1" w:themeTint="BF"/>
          <w:szCs w:val="20"/>
        </w:rPr>
      </w:pPr>
      <w:r w:rsidRPr="00BA7F25">
        <w:rPr>
          <w:rFonts w:asciiTheme="minorHAnsi" w:hAnsiTheme="minorHAnsi" w:cstheme="minorHAnsi"/>
          <w:color w:val="404040" w:themeColor="text1" w:themeTint="BF"/>
          <w:szCs w:val="20"/>
        </w:rPr>
        <w:t>Transportation: Promote accessibility and affordability of multimodal transportation.</w:t>
      </w:r>
    </w:p>
    <w:p w14:paraId="148F9A4E" w14:textId="77777777" w:rsidR="0020194F" w:rsidRPr="00BA7F25" w:rsidRDefault="0020194F" w:rsidP="0020194F">
      <w:pPr>
        <w:pStyle w:val="ListParagraph"/>
        <w:numPr>
          <w:ilvl w:val="0"/>
          <w:numId w:val="28"/>
        </w:numPr>
        <w:spacing w:line="360" w:lineRule="auto"/>
        <w:rPr>
          <w:rFonts w:asciiTheme="minorHAnsi" w:hAnsiTheme="minorHAnsi" w:cstheme="minorHAnsi"/>
          <w:color w:val="404040" w:themeColor="text1" w:themeTint="BF"/>
          <w:szCs w:val="20"/>
        </w:rPr>
      </w:pPr>
      <w:r w:rsidRPr="00BA7F25">
        <w:rPr>
          <w:rFonts w:asciiTheme="minorHAnsi" w:hAnsiTheme="minorHAnsi" w:cstheme="minorHAnsi"/>
          <w:color w:val="404040" w:themeColor="text1" w:themeTint="BF"/>
          <w:szCs w:val="20"/>
        </w:rPr>
        <w:t>Economic Development: Expand access to economic mobility and vibrant neighborhood business nodes.</w:t>
      </w:r>
    </w:p>
    <w:p w14:paraId="641F65C5" w14:textId="77777777" w:rsidR="0020194F" w:rsidRDefault="0020194F" w:rsidP="0020194F">
      <w:pPr>
        <w:spacing w:line="360" w:lineRule="auto"/>
        <w:rPr>
          <w:rFonts w:asciiTheme="minorHAnsi" w:hAnsiTheme="minorHAnsi" w:cstheme="minorHAnsi"/>
          <w:color w:val="404040" w:themeColor="text1" w:themeTint="BF"/>
          <w:szCs w:val="20"/>
        </w:rPr>
      </w:pPr>
    </w:p>
    <w:p w14:paraId="239022B1" w14:textId="77777777" w:rsidR="0020194F" w:rsidRDefault="0020194F" w:rsidP="0020194F">
      <w:pPr>
        <w:spacing w:line="336" w:lineRule="auto"/>
        <w:rPr>
          <w:rFonts w:asciiTheme="minorHAnsi" w:hAnsiTheme="minorHAnsi" w:cstheme="minorHAnsi"/>
          <w:color w:val="404040" w:themeColor="text1" w:themeTint="BF"/>
          <w:szCs w:val="20"/>
        </w:rPr>
      </w:pPr>
      <w:r w:rsidRPr="00AC6799">
        <w:rPr>
          <w:rFonts w:asciiTheme="minorHAnsi" w:hAnsiTheme="minorHAnsi" w:cstheme="minorHAnsi"/>
          <w:color w:val="404040" w:themeColor="text1" w:themeTint="BF"/>
          <w:szCs w:val="20"/>
        </w:rPr>
        <w:t>HAND is working to leverage added investment Salt Lake City’s Redevelopment Agency, which committed $17 million from its budget to be designated for affordable housing throughout the city, and an additional $4 million specifically for housing on the east side of the city in neighborhoods of high opportunity. HAND is working closely with RDA to structure this additional funding.</w:t>
      </w:r>
    </w:p>
    <w:p w14:paraId="6B8F97E5" w14:textId="77777777" w:rsidR="0020194F" w:rsidRDefault="0020194F" w:rsidP="0020194F">
      <w:pPr>
        <w:spacing w:line="336" w:lineRule="auto"/>
        <w:rPr>
          <w:rFonts w:asciiTheme="minorHAnsi" w:hAnsiTheme="minorHAnsi" w:cstheme="minorHAnsi"/>
          <w:color w:val="404040" w:themeColor="text1" w:themeTint="BF"/>
          <w:szCs w:val="20"/>
        </w:rPr>
      </w:pPr>
    </w:p>
    <w:p w14:paraId="7EC323D9" w14:textId="77777777" w:rsidR="0020194F" w:rsidRPr="00BC4542" w:rsidRDefault="0020194F" w:rsidP="0020194F">
      <w:pPr>
        <w:spacing w:line="336" w:lineRule="auto"/>
        <w:rPr>
          <w:rFonts w:asciiTheme="minorHAnsi" w:hAnsiTheme="minorHAnsi" w:cstheme="minorHAnsi"/>
          <w:color w:val="404040" w:themeColor="text1" w:themeTint="BF"/>
          <w:szCs w:val="20"/>
        </w:rPr>
      </w:pPr>
      <w:r>
        <w:rPr>
          <w:rFonts w:asciiTheme="minorHAnsi" w:hAnsiTheme="minorHAnsi" w:cstheme="minorHAnsi"/>
          <w:color w:val="404040" w:themeColor="text1" w:themeTint="BF"/>
          <w:szCs w:val="20"/>
        </w:rPr>
        <w:t xml:space="preserve">Salt Lake City Council recently passed a sales tax increase to fund several efforts in the City. A portion of this increased revenue will be leveraged by HAND to help increase affordable housing opportunities within the City. It is estimated that HAND will have an additional annual amount of $5.2 million in funding for these efforts. </w:t>
      </w:r>
    </w:p>
    <w:p w14:paraId="1F433F2F" w14:textId="77777777" w:rsidR="0020194F" w:rsidRPr="00BC4542" w:rsidRDefault="0020194F" w:rsidP="0020194F">
      <w:pPr>
        <w:spacing w:line="336" w:lineRule="auto"/>
        <w:rPr>
          <w:rFonts w:ascii="Gotham Book" w:hAnsi="Gotham Book"/>
          <w:color w:val="404040" w:themeColor="text1" w:themeTint="BF"/>
          <w:sz w:val="18"/>
          <w:szCs w:val="18"/>
        </w:rPr>
      </w:pPr>
    </w:p>
    <w:p w14:paraId="71DBB195" w14:textId="62429FEA" w:rsidR="0020194F" w:rsidRPr="00BC4542" w:rsidRDefault="0020194F" w:rsidP="0020194F">
      <w:pPr>
        <w:spacing w:line="336" w:lineRule="auto"/>
        <w:rPr>
          <w:rFonts w:asciiTheme="minorHAnsi" w:hAnsiTheme="minorHAnsi" w:cstheme="minorHAnsi"/>
          <w:color w:val="404040" w:themeColor="text1" w:themeTint="BF"/>
          <w:szCs w:val="20"/>
        </w:rPr>
      </w:pPr>
      <w:r>
        <w:rPr>
          <w:rFonts w:asciiTheme="minorHAnsi" w:hAnsiTheme="minorHAnsi" w:cstheme="minorHAnsi"/>
          <w:color w:val="404040" w:themeColor="text1" w:themeTint="BF"/>
          <w:szCs w:val="20"/>
        </w:rPr>
        <w:t>HAND</w:t>
      </w:r>
      <w:r w:rsidRPr="00BC4542">
        <w:rPr>
          <w:rFonts w:asciiTheme="minorHAnsi" w:hAnsiTheme="minorHAnsi" w:cstheme="minorHAnsi"/>
          <w:color w:val="404040" w:themeColor="text1" w:themeTint="BF"/>
          <w:szCs w:val="20"/>
        </w:rPr>
        <w:t xml:space="preserve"> drafted</w:t>
      </w:r>
      <w:r>
        <w:rPr>
          <w:rFonts w:asciiTheme="minorHAnsi" w:hAnsiTheme="minorHAnsi" w:cstheme="minorHAnsi"/>
          <w:color w:val="404040" w:themeColor="text1" w:themeTint="BF"/>
          <w:szCs w:val="20"/>
        </w:rPr>
        <w:t xml:space="preserve"> and Council approved</w:t>
      </w:r>
      <w:r w:rsidRPr="00BC4542">
        <w:rPr>
          <w:rFonts w:asciiTheme="minorHAnsi" w:hAnsiTheme="minorHAnsi" w:cstheme="minorHAnsi"/>
          <w:color w:val="404040" w:themeColor="text1" w:themeTint="BF"/>
          <w:szCs w:val="20"/>
        </w:rPr>
        <w:t xml:space="preserve"> a new citywide housing master plan, Growing SLC, which provides a framework and strategy to increase both the total housing stock available in the city and the availability of affordable housing units through new development, acquisition, and p</w:t>
      </w:r>
      <w:r>
        <w:rPr>
          <w:rFonts w:asciiTheme="minorHAnsi" w:hAnsiTheme="minorHAnsi" w:cstheme="minorHAnsi"/>
          <w:color w:val="404040" w:themeColor="text1" w:themeTint="BF"/>
          <w:szCs w:val="20"/>
        </w:rPr>
        <w:t>reservation. Growing SLC relied</w:t>
      </w:r>
      <w:r w:rsidRPr="00BC4542">
        <w:rPr>
          <w:rFonts w:asciiTheme="minorHAnsi" w:hAnsiTheme="minorHAnsi" w:cstheme="minorHAnsi"/>
          <w:color w:val="404040" w:themeColor="text1" w:themeTint="BF"/>
          <w:szCs w:val="20"/>
        </w:rPr>
        <w:t xml:space="preserve"> on a robust public outreach effort and the detailed research conducted over the last several years that has also guided the City’s federal funding allocations. </w:t>
      </w:r>
    </w:p>
    <w:p w14:paraId="14389439" w14:textId="77777777" w:rsidR="0020194F" w:rsidRDefault="0020194F" w:rsidP="005068B5">
      <w:pPr>
        <w:spacing w:line="360" w:lineRule="auto"/>
        <w:ind w:right="360"/>
        <w:rPr>
          <w:rFonts w:asciiTheme="minorHAnsi" w:hAnsiTheme="minorHAnsi" w:cstheme="minorHAnsi"/>
          <w:color w:val="404040" w:themeColor="text1" w:themeTint="BF"/>
          <w:szCs w:val="20"/>
        </w:rPr>
      </w:pPr>
    </w:p>
    <w:p w14:paraId="6898EAC7" w14:textId="77777777" w:rsidR="005068B5" w:rsidRDefault="005068B5" w:rsidP="005068B5">
      <w:pPr>
        <w:spacing w:line="360" w:lineRule="auto"/>
        <w:ind w:right="360"/>
        <w:rPr>
          <w:rFonts w:asciiTheme="minorHAnsi" w:hAnsiTheme="minorHAnsi" w:cstheme="minorHAnsi"/>
          <w:color w:val="404040" w:themeColor="text1" w:themeTint="BF"/>
          <w:szCs w:val="20"/>
        </w:rPr>
      </w:pPr>
    </w:p>
    <w:p w14:paraId="6D83F6A3" w14:textId="625A02C6" w:rsidR="005068B5" w:rsidRDefault="005068B5" w:rsidP="005068B5">
      <w:pPr>
        <w:spacing w:line="360" w:lineRule="auto"/>
        <w:ind w:right="360"/>
        <w:rPr>
          <w:rFonts w:asciiTheme="minorHAnsi" w:hAnsiTheme="minorHAnsi" w:cstheme="minorHAnsi"/>
          <w:color w:val="404040" w:themeColor="text1" w:themeTint="BF"/>
          <w:szCs w:val="20"/>
        </w:rPr>
      </w:pPr>
      <w:r w:rsidRPr="00B516E3">
        <w:rPr>
          <w:rFonts w:asciiTheme="minorHAnsi" w:hAnsiTheme="minorHAnsi" w:cstheme="minorHAnsi"/>
          <w:color w:val="404040" w:themeColor="text1" w:themeTint="BF"/>
          <w:szCs w:val="20"/>
        </w:rPr>
        <w:t>The Blue Ribbon Housing Commission</w:t>
      </w:r>
      <w:r>
        <w:rPr>
          <w:rFonts w:asciiTheme="minorHAnsi" w:hAnsiTheme="minorHAnsi" w:cstheme="minorHAnsi"/>
          <w:color w:val="404040" w:themeColor="text1" w:themeTint="BF"/>
          <w:szCs w:val="20"/>
        </w:rPr>
        <w:t xml:space="preserve"> (BRC)</w:t>
      </w:r>
      <w:r w:rsidRPr="00B516E3">
        <w:rPr>
          <w:rFonts w:asciiTheme="minorHAnsi" w:hAnsiTheme="minorHAnsi" w:cstheme="minorHAnsi"/>
          <w:color w:val="404040" w:themeColor="text1" w:themeTint="BF"/>
          <w:szCs w:val="20"/>
        </w:rPr>
        <w:t xml:space="preserve"> is a body o</w:t>
      </w:r>
      <w:r>
        <w:rPr>
          <w:rFonts w:asciiTheme="minorHAnsi" w:hAnsiTheme="minorHAnsi" w:cstheme="minorHAnsi"/>
          <w:color w:val="404040" w:themeColor="text1" w:themeTint="BF"/>
          <w:szCs w:val="20"/>
        </w:rPr>
        <w:t xml:space="preserve">f local developers, financiers, </w:t>
      </w:r>
      <w:r w:rsidRPr="00B516E3">
        <w:rPr>
          <w:rFonts w:asciiTheme="minorHAnsi" w:hAnsiTheme="minorHAnsi" w:cstheme="minorHAnsi"/>
          <w:color w:val="404040" w:themeColor="text1" w:themeTint="BF"/>
          <w:szCs w:val="20"/>
        </w:rPr>
        <w:t>insurers, and elected officials committed to ide</w:t>
      </w:r>
      <w:r>
        <w:rPr>
          <w:rFonts w:asciiTheme="minorHAnsi" w:hAnsiTheme="minorHAnsi" w:cstheme="minorHAnsi"/>
          <w:color w:val="404040" w:themeColor="text1" w:themeTint="BF"/>
          <w:szCs w:val="20"/>
        </w:rPr>
        <w:t xml:space="preserve">ntifying a funding strategy and </w:t>
      </w:r>
      <w:r w:rsidRPr="00B516E3">
        <w:rPr>
          <w:rFonts w:asciiTheme="minorHAnsi" w:hAnsiTheme="minorHAnsi" w:cstheme="minorHAnsi"/>
          <w:color w:val="404040" w:themeColor="text1" w:themeTint="BF"/>
          <w:szCs w:val="20"/>
        </w:rPr>
        <w:t>locations to create 1,000 new housing uni</w:t>
      </w:r>
      <w:r>
        <w:rPr>
          <w:rFonts w:asciiTheme="minorHAnsi" w:hAnsiTheme="minorHAnsi" w:cstheme="minorHAnsi"/>
          <w:color w:val="404040" w:themeColor="text1" w:themeTint="BF"/>
          <w:szCs w:val="20"/>
        </w:rPr>
        <w:t>ts by June 20</w:t>
      </w:r>
      <w:r w:rsidR="001D3395">
        <w:rPr>
          <w:rFonts w:asciiTheme="minorHAnsi" w:hAnsiTheme="minorHAnsi" w:cstheme="minorHAnsi"/>
          <w:color w:val="404040" w:themeColor="text1" w:themeTint="BF"/>
          <w:szCs w:val="20"/>
        </w:rPr>
        <w:t xml:space="preserve">19. The BRC was convened by </w:t>
      </w:r>
      <w:r>
        <w:rPr>
          <w:rFonts w:asciiTheme="minorHAnsi" w:hAnsiTheme="minorHAnsi" w:cstheme="minorHAnsi"/>
          <w:color w:val="404040" w:themeColor="text1" w:themeTint="BF"/>
          <w:szCs w:val="20"/>
        </w:rPr>
        <w:t>Mayor</w:t>
      </w:r>
      <w:r w:rsidR="001D3395">
        <w:rPr>
          <w:rFonts w:asciiTheme="minorHAnsi" w:hAnsiTheme="minorHAnsi" w:cstheme="minorHAnsi"/>
          <w:color w:val="404040" w:themeColor="text1" w:themeTint="BF"/>
          <w:szCs w:val="20"/>
        </w:rPr>
        <w:t xml:space="preserve"> Biskupski</w:t>
      </w:r>
      <w:r>
        <w:rPr>
          <w:rFonts w:asciiTheme="minorHAnsi" w:hAnsiTheme="minorHAnsi" w:cstheme="minorHAnsi"/>
          <w:color w:val="404040" w:themeColor="text1" w:themeTint="BF"/>
          <w:szCs w:val="20"/>
        </w:rPr>
        <w:t xml:space="preserve"> and has recently finished making its recommendations</w:t>
      </w:r>
      <w:r w:rsidRPr="00B516E3">
        <w:rPr>
          <w:rFonts w:asciiTheme="minorHAnsi" w:hAnsiTheme="minorHAnsi" w:cstheme="minorHAnsi"/>
          <w:color w:val="404040" w:themeColor="text1" w:themeTint="BF"/>
          <w:szCs w:val="20"/>
        </w:rPr>
        <w:t>.</w:t>
      </w:r>
      <w:r>
        <w:rPr>
          <w:rFonts w:asciiTheme="minorHAnsi" w:hAnsiTheme="minorHAnsi" w:cstheme="minorHAnsi"/>
          <w:color w:val="404040" w:themeColor="text1" w:themeTint="BF"/>
          <w:szCs w:val="20"/>
        </w:rPr>
        <w:t xml:space="preserve"> This group </w:t>
      </w:r>
      <w:r w:rsidRPr="00B516E3">
        <w:rPr>
          <w:rFonts w:asciiTheme="minorHAnsi" w:hAnsiTheme="minorHAnsi" w:cstheme="minorHAnsi"/>
          <w:color w:val="404040" w:themeColor="text1" w:themeTint="BF"/>
          <w:szCs w:val="20"/>
        </w:rPr>
        <w:t>provide</w:t>
      </w:r>
      <w:r>
        <w:rPr>
          <w:rFonts w:asciiTheme="minorHAnsi" w:hAnsiTheme="minorHAnsi" w:cstheme="minorHAnsi"/>
          <w:color w:val="404040" w:themeColor="text1" w:themeTint="BF"/>
          <w:szCs w:val="20"/>
        </w:rPr>
        <w:t>d</w:t>
      </w:r>
      <w:r w:rsidRPr="00B516E3">
        <w:rPr>
          <w:rFonts w:asciiTheme="minorHAnsi" w:hAnsiTheme="minorHAnsi" w:cstheme="minorHAnsi"/>
          <w:color w:val="404040" w:themeColor="text1" w:themeTint="BF"/>
          <w:szCs w:val="20"/>
        </w:rPr>
        <w:t xml:space="preserve"> gui</w:t>
      </w:r>
      <w:r w:rsidR="001D3395">
        <w:rPr>
          <w:rFonts w:asciiTheme="minorHAnsi" w:hAnsiTheme="minorHAnsi" w:cstheme="minorHAnsi"/>
          <w:color w:val="404040" w:themeColor="text1" w:themeTint="BF"/>
          <w:szCs w:val="20"/>
        </w:rPr>
        <w:t xml:space="preserve">dance for </w:t>
      </w:r>
      <w:r>
        <w:rPr>
          <w:rFonts w:asciiTheme="minorHAnsi" w:hAnsiTheme="minorHAnsi" w:cstheme="minorHAnsi"/>
          <w:color w:val="404040" w:themeColor="text1" w:themeTint="BF"/>
          <w:szCs w:val="20"/>
        </w:rPr>
        <w:t xml:space="preserve">implementing long-term </w:t>
      </w:r>
      <w:r w:rsidRPr="00B516E3">
        <w:rPr>
          <w:rFonts w:asciiTheme="minorHAnsi" w:hAnsiTheme="minorHAnsi" w:cstheme="minorHAnsi"/>
          <w:color w:val="404040" w:themeColor="text1" w:themeTint="BF"/>
          <w:szCs w:val="20"/>
        </w:rPr>
        <w:t>solutions to creating and preserving affordable housing in Salt Lake</w:t>
      </w:r>
      <w:r>
        <w:rPr>
          <w:rFonts w:asciiTheme="minorHAnsi" w:hAnsiTheme="minorHAnsi" w:cstheme="minorHAnsi"/>
          <w:color w:val="404040" w:themeColor="text1" w:themeTint="BF"/>
          <w:szCs w:val="20"/>
        </w:rPr>
        <w:t xml:space="preserve">. HAND </w:t>
      </w:r>
      <w:r w:rsidRPr="00B516E3">
        <w:rPr>
          <w:rFonts w:asciiTheme="minorHAnsi" w:hAnsiTheme="minorHAnsi" w:cstheme="minorHAnsi"/>
          <w:color w:val="404040" w:themeColor="text1" w:themeTint="BF"/>
          <w:szCs w:val="20"/>
        </w:rPr>
        <w:t xml:space="preserve">will </w:t>
      </w:r>
      <w:r>
        <w:rPr>
          <w:rFonts w:asciiTheme="minorHAnsi" w:hAnsiTheme="minorHAnsi" w:cstheme="minorHAnsi"/>
          <w:color w:val="404040" w:themeColor="text1" w:themeTint="BF"/>
          <w:szCs w:val="20"/>
        </w:rPr>
        <w:t xml:space="preserve">continue the </w:t>
      </w:r>
      <w:r w:rsidRPr="00B516E3">
        <w:rPr>
          <w:rFonts w:asciiTheme="minorHAnsi" w:hAnsiTheme="minorHAnsi" w:cstheme="minorHAnsi"/>
          <w:color w:val="404040" w:themeColor="text1" w:themeTint="BF"/>
          <w:szCs w:val="20"/>
        </w:rPr>
        <w:t xml:space="preserve">work </w:t>
      </w:r>
      <w:r>
        <w:rPr>
          <w:rFonts w:asciiTheme="minorHAnsi" w:hAnsiTheme="minorHAnsi" w:cstheme="minorHAnsi"/>
          <w:color w:val="404040" w:themeColor="text1" w:themeTint="BF"/>
          <w:szCs w:val="20"/>
        </w:rPr>
        <w:t xml:space="preserve">of the Commission to continue </w:t>
      </w:r>
      <w:r w:rsidRPr="00B516E3">
        <w:rPr>
          <w:rFonts w:asciiTheme="minorHAnsi" w:hAnsiTheme="minorHAnsi" w:cstheme="minorHAnsi"/>
          <w:color w:val="404040" w:themeColor="text1" w:themeTint="BF"/>
          <w:szCs w:val="20"/>
        </w:rPr>
        <w:t>implement</w:t>
      </w:r>
      <w:r>
        <w:rPr>
          <w:rFonts w:asciiTheme="minorHAnsi" w:hAnsiTheme="minorHAnsi" w:cstheme="minorHAnsi"/>
          <w:color w:val="404040" w:themeColor="text1" w:themeTint="BF"/>
          <w:szCs w:val="20"/>
        </w:rPr>
        <w:t>ing</w:t>
      </w:r>
      <w:r w:rsidRPr="00B516E3">
        <w:rPr>
          <w:rFonts w:asciiTheme="minorHAnsi" w:hAnsiTheme="minorHAnsi" w:cstheme="minorHAnsi"/>
          <w:color w:val="404040" w:themeColor="text1" w:themeTint="BF"/>
          <w:szCs w:val="20"/>
        </w:rPr>
        <w:t xml:space="preserve"> its recommendations.</w:t>
      </w:r>
      <w:r>
        <w:rPr>
          <w:rFonts w:asciiTheme="minorHAnsi" w:hAnsiTheme="minorHAnsi" w:cstheme="minorHAnsi"/>
          <w:color w:val="404040" w:themeColor="text1" w:themeTint="BF"/>
          <w:szCs w:val="20"/>
        </w:rPr>
        <w:t xml:space="preserve"> During the two years in which the BRC met, the City helped </w:t>
      </w:r>
      <w:r w:rsidR="00527BF5">
        <w:rPr>
          <w:rFonts w:asciiTheme="minorHAnsi" w:hAnsiTheme="minorHAnsi" w:cstheme="minorHAnsi"/>
          <w:color w:val="404040" w:themeColor="text1" w:themeTint="BF"/>
          <w:szCs w:val="20"/>
        </w:rPr>
        <w:t xml:space="preserve">facilitate the creation of </w:t>
      </w:r>
      <w:r>
        <w:rPr>
          <w:rFonts w:asciiTheme="minorHAnsi" w:hAnsiTheme="minorHAnsi" w:cstheme="minorHAnsi"/>
          <w:color w:val="404040" w:themeColor="text1" w:themeTint="BF"/>
          <w:szCs w:val="20"/>
        </w:rPr>
        <w:t>approximately 1,500 units of new affordable housing. This includes 242 units of permanent supportive housing from three separate projects.</w:t>
      </w:r>
      <w:r w:rsidR="00527BF5" w:rsidRPr="00527BF5">
        <w:rPr>
          <w:rFonts w:asciiTheme="minorHAnsi" w:hAnsiTheme="minorHAnsi" w:cstheme="minorHAnsi"/>
          <w:color w:val="404040" w:themeColor="text1" w:themeTint="BF"/>
          <w:szCs w:val="20"/>
        </w:rPr>
        <w:t xml:space="preserve"> </w:t>
      </w:r>
      <w:r w:rsidR="00527BF5">
        <w:rPr>
          <w:rFonts w:asciiTheme="minorHAnsi" w:hAnsiTheme="minorHAnsi" w:cstheme="minorHAnsi"/>
          <w:color w:val="404040" w:themeColor="text1" w:themeTint="BF"/>
          <w:szCs w:val="20"/>
        </w:rPr>
        <w:t xml:space="preserve">Many of these projects remain in development. </w:t>
      </w:r>
      <w:r>
        <w:rPr>
          <w:rFonts w:asciiTheme="minorHAnsi" w:hAnsiTheme="minorHAnsi" w:cstheme="minorHAnsi"/>
          <w:color w:val="404040" w:themeColor="text1" w:themeTint="BF"/>
          <w:szCs w:val="20"/>
        </w:rPr>
        <w:t xml:space="preserve"> HAND is committed to building on the progre</w:t>
      </w:r>
      <w:r w:rsidR="0020194F">
        <w:rPr>
          <w:rFonts w:asciiTheme="minorHAnsi" w:hAnsiTheme="minorHAnsi" w:cstheme="minorHAnsi"/>
          <w:color w:val="404040" w:themeColor="text1" w:themeTint="BF"/>
          <w:szCs w:val="20"/>
        </w:rPr>
        <w:t xml:space="preserve">ss that has already been made. </w:t>
      </w:r>
      <w:r w:rsidR="00527BF5">
        <w:rPr>
          <w:rFonts w:asciiTheme="minorHAnsi" w:hAnsiTheme="minorHAnsi" w:cstheme="minorHAnsi"/>
          <w:color w:val="404040" w:themeColor="text1" w:themeTint="BF"/>
          <w:szCs w:val="20"/>
        </w:rPr>
        <w:t xml:space="preserve"> </w:t>
      </w:r>
    </w:p>
    <w:p w14:paraId="6450931A" w14:textId="77777777" w:rsidR="0020194F" w:rsidRDefault="0020194F" w:rsidP="005068B5">
      <w:pPr>
        <w:spacing w:line="360" w:lineRule="auto"/>
        <w:ind w:right="360"/>
        <w:rPr>
          <w:rFonts w:asciiTheme="minorHAnsi" w:hAnsiTheme="minorHAnsi" w:cstheme="minorHAnsi"/>
          <w:color w:val="404040" w:themeColor="text1" w:themeTint="BF"/>
          <w:szCs w:val="20"/>
        </w:rPr>
      </w:pPr>
    </w:p>
    <w:p w14:paraId="147756CB" w14:textId="77777777" w:rsidR="005068B5" w:rsidRPr="006060B0" w:rsidRDefault="005068B5" w:rsidP="005068B5">
      <w:pPr>
        <w:spacing w:line="276" w:lineRule="auto"/>
        <w:ind w:right="360"/>
        <w:rPr>
          <w:rFonts w:asciiTheme="minorHAnsi" w:hAnsiTheme="minorHAnsi" w:cstheme="minorHAnsi"/>
          <w:b/>
          <w:color w:val="404040" w:themeColor="text1" w:themeTint="BF"/>
          <w:szCs w:val="20"/>
        </w:rPr>
      </w:pPr>
      <w:r w:rsidRPr="006060B0">
        <w:rPr>
          <w:rFonts w:asciiTheme="minorHAnsi" w:hAnsiTheme="minorHAnsi" w:cstheme="minorHAnsi"/>
          <w:b/>
          <w:color w:val="404040" w:themeColor="text1" w:themeTint="BF"/>
          <w:szCs w:val="20"/>
        </w:rPr>
        <w:t>Comparison of the proposed vs the actual outcomes for each outcome measure submitted with the Consolidated Plan and explain, if applicable, why progress was not made toward meeting goals and objectives (91.520 (g))</w:t>
      </w:r>
    </w:p>
    <w:p w14:paraId="41497593" w14:textId="77777777" w:rsidR="005068B5" w:rsidRPr="00C35F2F" w:rsidRDefault="005068B5" w:rsidP="005068B5">
      <w:pPr>
        <w:keepNext/>
        <w:widowControl w:val="0"/>
        <w:rPr>
          <w:rFonts w:asciiTheme="minorHAnsi" w:hAnsiTheme="minorHAnsi"/>
          <w:i/>
          <w:color w:val="404040" w:themeColor="text1" w:themeTint="BF"/>
          <w:sz w:val="18"/>
          <w:szCs w:val="18"/>
        </w:rPr>
      </w:pPr>
      <w:r w:rsidRPr="00C35F2F">
        <w:rPr>
          <w:rFonts w:asciiTheme="minorHAnsi" w:hAnsiTheme="minorHAnsi"/>
          <w:i/>
          <w:color w:val="404040" w:themeColor="text1" w:themeTint="BF"/>
          <w:sz w:val="18"/>
          <w:szCs w:val="18"/>
        </w:rPr>
        <w:t>Categories, priority levels, funding sources and amounts, outcomes/objectives, goal outcome indicators, units of measure, targets, actual outcomes/outputs, and perce</w:t>
      </w:r>
      <w:r>
        <w:rPr>
          <w:rFonts w:asciiTheme="minorHAnsi" w:hAnsiTheme="minorHAnsi"/>
          <w:i/>
          <w:color w:val="404040" w:themeColor="text1" w:themeTint="BF"/>
          <w:sz w:val="18"/>
          <w:szCs w:val="18"/>
        </w:rPr>
        <w:t xml:space="preserve">ntage completed for each of Salt Lake City’s </w:t>
      </w:r>
      <w:r w:rsidRPr="00C35F2F">
        <w:rPr>
          <w:rFonts w:asciiTheme="minorHAnsi" w:hAnsiTheme="minorHAnsi"/>
          <w:i/>
          <w:color w:val="404040" w:themeColor="text1" w:themeTint="BF"/>
          <w:sz w:val="18"/>
          <w:szCs w:val="18"/>
        </w:rPr>
        <w:t>program year goals.</w:t>
      </w:r>
    </w:p>
    <w:p w14:paraId="3A305B59" w14:textId="77777777" w:rsidR="005068B5" w:rsidRDefault="005068B5" w:rsidP="005068B5">
      <w:pPr>
        <w:spacing w:line="276" w:lineRule="auto"/>
        <w:ind w:right="360"/>
        <w:rPr>
          <w:rFonts w:asciiTheme="minorHAnsi" w:hAnsiTheme="minorHAnsi" w:cstheme="minorHAnsi"/>
          <w:b/>
          <w:color w:val="FF0000"/>
          <w:szCs w:val="20"/>
        </w:rPr>
      </w:pPr>
    </w:p>
    <w:p w14:paraId="6C2D4217" w14:textId="77777777" w:rsidR="005068B5" w:rsidRDefault="005068B5" w:rsidP="005068B5">
      <w:pPr>
        <w:spacing w:line="276" w:lineRule="auto"/>
        <w:ind w:right="360"/>
        <w:rPr>
          <w:rFonts w:asciiTheme="minorHAnsi" w:hAnsiTheme="minorHAnsi" w:cstheme="minorHAnsi"/>
          <w:b/>
          <w:color w:val="404040" w:themeColor="text1" w:themeTint="BF"/>
          <w:szCs w:val="20"/>
        </w:rPr>
      </w:pPr>
      <w:r w:rsidRPr="004E77EA">
        <w:rPr>
          <w:rFonts w:asciiTheme="minorHAnsi" w:hAnsiTheme="minorHAnsi" w:cstheme="minorHAnsi"/>
          <w:b/>
          <w:color w:val="404040" w:themeColor="text1" w:themeTint="BF"/>
          <w:szCs w:val="20"/>
        </w:rPr>
        <w:t>Table 1- Goals and Outcomes</w:t>
      </w:r>
    </w:p>
    <w:tbl>
      <w:tblPr>
        <w:tblW w:w="10662" w:type="dxa"/>
        <w:tblInd w:w="-460" w:type="dxa"/>
        <w:tblLook w:val="04A0" w:firstRow="1" w:lastRow="0" w:firstColumn="1" w:lastColumn="0" w:noHBand="0" w:noVBand="1"/>
      </w:tblPr>
      <w:tblGrid>
        <w:gridCol w:w="2251"/>
        <w:gridCol w:w="662"/>
        <w:gridCol w:w="621"/>
        <w:gridCol w:w="2074"/>
        <w:gridCol w:w="788"/>
        <w:gridCol w:w="763"/>
        <w:gridCol w:w="763"/>
        <w:gridCol w:w="698"/>
        <w:gridCol w:w="672"/>
        <w:gridCol w:w="672"/>
        <w:gridCol w:w="698"/>
      </w:tblGrid>
      <w:tr w:rsidR="005068B5" w:rsidRPr="009605B2" w14:paraId="6482C015" w14:textId="77777777" w:rsidTr="00816745">
        <w:trPr>
          <w:trHeight w:val="294"/>
        </w:trPr>
        <w:tc>
          <w:tcPr>
            <w:tcW w:w="2251"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1F4D679D" w14:textId="77777777" w:rsidR="005068B5" w:rsidRPr="009605B2" w:rsidRDefault="005068B5" w:rsidP="00816745">
            <w:pPr>
              <w:jc w:val="center"/>
              <w:rPr>
                <w:rFonts w:ascii="Calibri" w:eastAsia="Times New Roman" w:hAnsi="Calibri"/>
                <w:b/>
                <w:bCs/>
                <w:color w:val="000000"/>
                <w:sz w:val="12"/>
                <w:szCs w:val="12"/>
              </w:rPr>
            </w:pPr>
            <w:r w:rsidRPr="009605B2">
              <w:rPr>
                <w:rFonts w:ascii="Calibri" w:eastAsia="Times New Roman" w:hAnsi="Calibri"/>
                <w:b/>
                <w:bCs/>
                <w:color w:val="000000"/>
                <w:sz w:val="12"/>
                <w:szCs w:val="12"/>
              </w:rPr>
              <w:t>Goal</w:t>
            </w:r>
          </w:p>
        </w:tc>
        <w:tc>
          <w:tcPr>
            <w:tcW w:w="662" w:type="dxa"/>
            <w:tcBorders>
              <w:top w:val="single" w:sz="8" w:space="0" w:color="auto"/>
              <w:left w:val="nil"/>
              <w:bottom w:val="single" w:sz="8" w:space="0" w:color="auto"/>
              <w:right w:val="single" w:sz="8" w:space="0" w:color="auto"/>
            </w:tcBorders>
            <w:shd w:val="clear" w:color="000000" w:fill="BDD7EE"/>
            <w:vAlign w:val="center"/>
            <w:hideMark/>
          </w:tcPr>
          <w:p w14:paraId="778CC43A" w14:textId="77777777" w:rsidR="005068B5" w:rsidRPr="009605B2" w:rsidRDefault="005068B5" w:rsidP="00816745">
            <w:pPr>
              <w:jc w:val="center"/>
              <w:rPr>
                <w:rFonts w:ascii="Calibri" w:eastAsia="Times New Roman" w:hAnsi="Calibri"/>
                <w:b/>
                <w:bCs/>
                <w:color w:val="000000"/>
                <w:sz w:val="12"/>
                <w:szCs w:val="12"/>
              </w:rPr>
            </w:pPr>
            <w:r w:rsidRPr="009605B2">
              <w:rPr>
                <w:rFonts w:ascii="Calibri" w:eastAsia="Times New Roman" w:hAnsi="Calibri"/>
                <w:b/>
                <w:bCs/>
                <w:color w:val="000000"/>
                <w:sz w:val="12"/>
                <w:szCs w:val="12"/>
              </w:rPr>
              <w:t>Category</w:t>
            </w:r>
          </w:p>
        </w:tc>
        <w:tc>
          <w:tcPr>
            <w:tcW w:w="621" w:type="dxa"/>
            <w:tcBorders>
              <w:top w:val="single" w:sz="8" w:space="0" w:color="auto"/>
              <w:left w:val="nil"/>
              <w:bottom w:val="single" w:sz="8" w:space="0" w:color="auto"/>
              <w:right w:val="single" w:sz="8" w:space="0" w:color="auto"/>
            </w:tcBorders>
            <w:shd w:val="clear" w:color="000000" w:fill="BDD7EE"/>
            <w:vAlign w:val="center"/>
            <w:hideMark/>
          </w:tcPr>
          <w:p w14:paraId="6E50EF3C" w14:textId="77777777" w:rsidR="005068B5" w:rsidRPr="009605B2" w:rsidRDefault="005068B5" w:rsidP="00816745">
            <w:pPr>
              <w:jc w:val="center"/>
              <w:rPr>
                <w:rFonts w:ascii="Calibri" w:eastAsia="Times New Roman" w:hAnsi="Calibri"/>
                <w:b/>
                <w:bCs/>
                <w:color w:val="000000"/>
                <w:sz w:val="12"/>
                <w:szCs w:val="12"/>
              </w:rPr>
            </w:pPr>
            <w:r>
              <w:rPr>
                <w:rFonts w:ascii="Calibri" w:eastAsia="Times New Roman" w:hAnsi="Calibri"/>
                <w:b/>
                <w:bCs/>
                <w:color w:val="000000"/>
                <w:sz w:val="12"/>
                <w:szCs w:val="12"/>
              </w:rPr>
              <w:t>Source</w:t>
            </w:r>
          </w:p>
        </w:tc>
        <w:tc>
          <w:tcPr>
            <w:tcW w:w="2074" w:type="dxa"/>
            <w:tcBorders>
              <w:top w:val="single" w:sz="8" w:space="0" w:color="auto"/>
              <w:left w:val="nil"/>
              <w:bottom w:val="single" w:sz="8" w:space="0" w:color="auto"/>
              <w:right w:val="single" w:sz="8" w:space="0" w:color="auto"/>
            </w:tcBorders>
            <w:shd w:val="clear" w:color="000000" w:fill="BDD7EE"/>
            <w:vAlign w:val="center"/>
            <w:hideMark/>
          </w:tcPr>
          <w:p w14:paraId="31F6CEE7" w14:textId="77777777" w:rsidR="005068B5" w:rsidRPr="009605B2" w:rsidRDefault="005068B5" w:rsidP="00816745">
            <w:pPr>
              <w:jc w:val="center"/>
              <w:rPr>
                <w:rFonts w:ascii="Calibri" w:eastAsia="Times New Roman" w:hAnsi="Calibri"/>
                <w:b/>
                <w:bCs/>
                <w:color w:val="000000"/>
                <w:sz w:val="12"/>
                <w:szCs w:val="12"/>
              </w:rPr>
            </w:pPr>
            <w:r w:rsidRPr="009605B2">
              <w:rPr>
                <w:rFonts w:ascii="Calibri" w:eastAsia="Times New Roman" w:hAnsi="Calibri"/>
                <w:b/>
                <w:bCs/>
                <w:color w:val="000000"/>
                <w:sz w:val="12"/>
                <w:szCs w:val="12"/>
              </w:rPr>
              <w:t>Indicator</w:t>
            </w:r>
          </w:p>
        </w:tc>
        <w:tc>
          <w:tcPr>
            <w:tcW w:w="788" w:type="dxa"/>
            <w:tcBorders>
              <w:top w:val="single" w:sz="8" w:space="0" w:color="auto"/>
              <w:left w:val="nil"/>
              <w:bottom w:val="single" w:sz="8" w:space="0" w:color="auto"/>
              <w:right w:val="single" w:sz="8" w:space="0" w:color="auto"/>
            </w:tcBorders>
            <w:shd w:val="clear" w:color="000000" w:fill="BDD7EE"/>
            <w:vAlign w:val="center"/>
            <w:hideMark/>
          </w:tcPr>
          <w:p w14:paraId="646C425E" w14:textId="77777777" w:rsidR="005068B5" w:rsidRPr="009605B2" w:rsidRDefault="005068B5" w:rsidP="00816745">
            <w:pPr>
              <w:jc w:val="center"/>
              <w:rPr>
                <w:rFonts w:ascii="Calibri" w:eastAsia="Times New Roman" w:hAnsi="Calibri"/>
                <w:b/>
                <w:bCs/>
                <w:color w:val="000000"/>
                <w:sz w:val="12"/>
                <w:szCs w:val="12"/>
              </w:rPr>
            </w:pPr>
            <w:r w:rsidRPr="009605B2">
              <w:rPr>
                <w:rFonts w:ascii="Calibri" w:eastAsia="Times New Roman" w:hAnsi="Calibri"/>
                <w:b/>
                <w:bCs/>
                <w:color w:val="000000"/>
                <w:sz w:val="12"/>
                <w:szCs w:val="12"/>
              </w:rPr>
              <w:t>Unit of Measure</w:t>
            </w:r>
          </w:p>
        </w:tc>
        <w:tc>
          <w:tcPr>
            <w:tcW w:w="763" w:type="dxa"/>
            <w:tcBorders>
              <w:top w:val="single" w:sz="8" w:space="0" w:color="auto"/>
              <w:left w:val="nil"/>
              <w:bottom w:val="single" w:sz="8" w:space="0" w:color="auto"/>
              <w:right w:val="single" w:sz="8" w:space="0" w:color="auto"/>
            </w:tcBorders>
            <w:shd w:val="clear" w:color="000000" w:fill="BDD7EE"/>
            <w:vAlign w:val="center"/>
            <w:hideMark/>
          </w:tcPr>
          <w:p w14:paraId="283AF0CF" w14:textId="77777777" w:rsidR="005068B5" w:rsidRPr="009605B2" w:rsidRDefault="005068B5" w:rsidP="00816745">
            <w:pPr>
              <w:jc w:val="center"/>
              <w:rPr>
                <w:rFonts w:ascii="Calibri" w:eastAsia="Times New Roman" w:hAnsi="Calibri"/>
                <w:b/>
                <w:bCs/>
                <w:color w:val="000000"/>
                <w:sz w:val="12"/>
                <w:szCs w:val="12"/>
              </w:rPr>
            </w:pPr>
            <w:r w:rsidRPr="009605B2">
              <w:rPr>
                <w:rFonts w:ascii="Calibri" w:eastAsia="Times New Roman" w:hAnsi="Calibri"/>
                <w:b/>
                <w:bCs/>
                <w:color w:val="000000"/>
                <w:sz w:val="12"/>
                <w:szCs w:val="12"/>
              </w:rPr>
              <w:t xml:space="preserve"> Expected – Strategic Plan </w:t>
            </w:r>
          </w:p>
        </w:tc>
        <w:tc>
          <w:tcPr>
            <w:tcW w:w="763" w:type="dxa"/>
            <w:tcBorders>
              <w:top w:val="single" w:sz="8" w:space="0" w:color="auto"/>
              <w:left w:val="nil"/>
              <w:bottom w:val="single" w:sz="8" w:space="0" w:color="auto"/>
              <w:right w:val="single" w:sz="8" w:space="0" w:color="auto"/>
            </w:tcBorders>
            <w:shd w:val="clear" w:color="000000" w:fill="BDD7EE"/>
            <w:vAlign w:val="center"/>
            <w:hideMark/>
          </w:tcPr>
          <w:p w14:paraId="7834F4CF" w14:textId="77777777" w:rsidR="005068B5" w:rsidRPr="009605B2" w:rsidRDefault="005068B5" w:rsidP="00816745">
            <w:pPr>
              <w:jc w:val="center"/>
              <w:rPr>
                <w:rFonts w:ascii="Calibri" w:eastAsia="Times New Roman" w:hAnsi="Calibri"/>
                <w:b/>
                <w:bCs/>
                <w:color w:val="000000"/>
                <w:sz w:val="12"/>
                <w:szCs w:val="12"/>
              </w:rPr>
            </w:pPr>
            <w:r w:rsidRPr="009605B2">
              <w:rPr>
                <w:rFonts w:ascii="Calibri" w:eastAsia="Times New Roman" w:hAnsi="Calibri"/>
                <w:b/>
                <w:bCs/>
                <w:color w:val="000000"/>
                <w:sz w:val="12"/>
                <w:szCs w:val="12"/>
              </w:rPr>
              <w:t>Actual – Strategic Plan</w:t>
            </w:r>
          </w:p>
        </w:tc>
        <w:tc>
          <w:tcPr>
            <w:tcW w:w="698" w:type="dxa"/>
            <w:tcBorders>
              <w:top w:val="single" w:sz="8" w:space="0" w:color="auto"/>
              <w:left w:val="nil"/>
              <w:bottom w:val="single" w:sz="8" w:space="0" w:color="auto"/>
              <w:right w:val="single" w:sz="8" w:space="0" w:color="auto"/>
            </w:tcBorders>
            <w:shd w:val="clear" w:color="000000" w:fill="BDD7EE"/>
            <w:vAlign w:val="center"/>
            <w:hideMark/>
          </w:tcPr>
          <w:p w14:paraId="22A0B192" w14:textId="77777777" w:rsidR="005068B5" w:rsidRPr="009605B2" w:rsidRDefault="005068B5" w:rsidP="00816745">
            <w:pPr>
              <w:jc w:val="center"/>
              <w:rPr>
                <w:rFonts w:ascii="Calibri" w:eastAsia="Times New Roman" w:hAnsi="Calibri"/>
                <w:b/>
                <w:bCs/>
                <w:color w:val="000000"/>
                <w:sz w:val="12"/>
                <w:szCs w:val="12"/>
              </w:rPr>
            </w:pPr>
            <w:r w:rsidRPr="009605B2">
              <w:rPr>
                <w:rFonts w:ascii="Calibri" w:eastAsia="Times New Roman" w:hAnsi="Calibri"/>
                <w:b/>
                <w:bCs/>
                <w:color w:val="000000"/>
                <w:sz w:val="12"/>
                <w:szCs w:val="12"/>
              </w:rPr>
              <w:t>Percent Complete</w:t>
            </w:r>
          </w:p>
        </w:tc>
        <w:tc>
          <w:tcPr>
            <w:tcW w:w="672" w:type="dxa"/>
            <w:tcBorders>
              <w:top w:val="single" w:sz="8" w:space="0" w:color="auto"/>
              <w:left w:val="nil"/>
              <w:bottom w:val="single" w:sz="8" w:space="0" w:color="auto"/>
              <w:right w:val="single" w:sz="8" w:space="0" w:color="auto"/>
            </w:tcBorders>
            <w:shd w:val="clear" w:color="000000" w:fill="BDD7EE"/>
            <w:vAlign w:val="center"/>
            <w:hideMark/>
          </w:tcPr>
          <w:p w14:paraId="09C8F7FF" w14:textId="77777777" w:rsidR="005068B5" w:rsidRPr="009605B2" w:rsidRDefault="005068B5" w:rsidP="00816745">
            <w:pPr>
              <w:jc w:val="center"/>
              <w:rPr>
                <w:rFonts w:ascii="Calibri" w:eastAsia="Times New Roman" w:hAnsi="Calibri"/>
                <w:b/>
                <w:bCs/>
                <w:color w:val="000000"/>
                <w:sz w:val="12"/>
                <w:szCs w:val="12"/>
              </w:rPr>
            </w:pPr>
            <w:r w:rsidRPr="009605B2">
              <w:rPr>
                <w:rFonts w:ascii="Calibri" w:eastAsia="Times New Roman" w:hAnsi="Calibri"/>
                <w:b/>
                <w:bCs/>
                <w:color w:val="000000"/>
                <w:sz w:val="12"/>
                <w:szCs w:val="12"/>
              </w:rPr>
              <w:t xml:space="preserve"> Expected – Program Year </w:t>
            </w:r>
          </w:p>
        </w:tc>
        <w:tc>
          <w:tcPr>
            <w:tcW w:w="672" w:type="dxa"/>
            <w:tcBorders>
              <w:top w:val="single" w:sz="8" w:space="0" w:color="auto"/>
              <w:left w:val="nil"/>
              <w:bottom w:val="single" w:sz="8" w:space="0" w:color="auto"/>
              <w:right w:val="single" w:sz="8" w:space="0" w:color="auto"/>
            </w:tcBorders>
            <w:shd w:val="clear" w:color="000000" w:fill="BDD7EE"/>
            <w:vAlign w:val="center"/>
            <w:hideMark/>
          </w:tcPr>
          <w:p w14:paraId="7DDEAFD3" w14:textId="77777777" w:rsidR="005068B5" w:rsidRPr="009605B2" w:rsidRDefault="005068B5" w:rsidP="00816745">
            <w:pPr>
              <w:jc w:val="center"/>
              <w:rPr>
                <w:rFonts w:ascii="Calibri" w:eastAsia="Times New Roman" w:hAnsi="Calibri"/>
                <w:b/>
                <w:bCs/>
                <w:color w:val="000000"/>
                <w:sz w:val="12"/>
                <w:szCs w:val="12"/>
              </w:rPr>
            </w:pPr>
            <w:r w:rsidRPr="009605B2">
              <w:rPr>
                <w:rFonts w:ascii="Calibri" w:eastAsia="Times New Roman" w:hAnsi="Calibri"/>
                <w:b/>
                <w:bCs/>
                <w:color w:val="000000"/>
                <w:sz w:val="12"/>
                <w:szCs w:val="12"/>
              </w:rPr>
              <w:t>Actual – Program Year</w:t>
            </w:r>
          </w:p>
        </w:tc>
        <w:tc>
          <w:tcPr>
            <w:tcW w:w="698" w:type="dxa"/>
            <w:tcBorders>
              <w:top w:val="single" w:sz="8" w:space="0" w:color="auto"/>
              <w:left w:val="nil"/>
              <w:bottom w:val="single" w:sz="8" w:space="0" w:color="auto"/>
              <w:right w:val="single" w:sz="8" w:space="0" w:color="auto"/>
            </w:tcBorders>
            <w:shd w:val="clear" w:color="000000" w:fill="BDD7EE"/>
            <w:vAlign w:val="center"/>
            <w:hideMark/>
          </w:tcPr>
          <w:p w14:paraId="630C28B6" w14:textId="77777777" w:rsidR="005068B5" w:rsidRPr="009605B2" w:rsidRDefault="005068B5" w:rsidP="00816745">
            <w:pPr>
              <w:jc w:val="center"/>
              <w:rPr>
                <w:rFonts w:ascii="Calibri" w:eastAsia="Times New Roman" w:hAnsi="Calibri"/>
                <w:b/>
                <w:bCs/>
                <w:color w:val="000000"/>
                <w:sz w:val="12"/>
                <w:szCs w:val="12"/>
              </w:rPr>
            </w:pPr>
            <w:r w:rsidRPr="009605B2">
              <w:rPr>
                <w:rFonts w:ascii="Calibri" w:eastAsia="Times New Roman" w:hAnsi="Calibri"/>
                <w:b/>
                <w:bCs/>
                <w:color w:val="000000"/>
                <w:sz w:val="12"/>
                <w:szCs w:val="12"/>
              </w:rPr>
              <w:t>Percent Complete</w:t>
            </w:r>
          </w:p>
        </w:tc>
      </w:tr>
      <w:tr w:rsidR="005068B5" w:rsidRPr="009605B2" w14:paraId="2075C600" w14:textId="77777777" w:rsidTr="00816745">
        <w:trPr>
          <w:trHeight w:val="342"/>
        </w:trPr>
        <w:tc>
          <w:tcPr>
            <w:tcW w:w="2251" w:type="dxa"/>
            <w:tcBorders>
              <w:top w:val="nil"/>
              <w:left w:val="single" w:sz="8" w:space="0" w:color="auto"/>
              <w:bottom w:val="single" w:sz="8" w:space="0" w:color="auto"/>
              <w:right w:val="single" w:sz="8" w:space="0" w:color="auto"/>
            </w:tcBorders>
            <w:shd w:val="clear" w:color="auto" w:fill="auto"/>
            <w:vAlign w:val="center"/>
            <w:hideMark/>
          </w:tcPr>
          <w:p w14:paraId="070FCA09"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Administration</w:t>
            </w:r>
          </w:p>
        </w:tc>
        <w:tc>
          <w:tcPr>
            <w:tcW w:w="662" w:type="dxa"/>
            <w:tcBorders>
              <w:top w:val="nil"/>
              <w:left w:val="nil"/>
              <w:bottom w:val="single" w:sz="8" w:space="0" w:color="auto"/>
              <w:right w:val="single" w:sz="8" w:space="0" w:color="auto"/>
            </w:tcBorders>
            <w:shd w:val="clear" w:color="auto" w:fill="auto"/>
            <w:vAlign w:val="center"/>
            <w:hideMark/>
          </w:tcPr>
          <w:p w14:paraId="03C67E09"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Admin</w:t>
            </w:r>
          </w:p>
        </w:tc>
        <w:tc>
          <w:tcPr>
            <w:tcW w:w="621" w:type="dxa"/>
            <w:tcBorders>
              <w:top w:val="nil"/>
              <w:left w:val="nil"/>
              <w:bottom w:val="single" w:sz="8" w:space="0" w:color="auto"/>
              <w:right w:val="single" w:sz="8" w:space="0" w:color="auto"/>
            </w:tcBorders>
            <w:shd w:val="clear" w:color="auto" w:fill="auto"/>
            <w:vAlign w:val="center"/>
            <w:hideMark/>
          </w:tcPr>
          <w:p w14:paraId="70DDCCAC"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 xml:space="preserve">CDBG </w:t>
            </w:r>
            <w:r w:rsidRPr="009605B2">
              <w:rPr>
                <w:rFonts w:ascii="Calibri" w:eastAsia="Times New Roman" w:hAnsi="Calibri"/>
                <w:color w:val="000000"/>
                <w:sz w:val="12"/>
                <w:szCs w:val="12"/>
              </w:rPr>
              <w:br/>
              <w:t>ESG</w:t>
            </w:r>
            <w:r w:rsidRPr="009605B2">
              <w:rPr>
                <w:rFonts w:ascii="Calibri" w:eastAsia="Times New Roman" w:hAnsi="Calibri"/>
                <w:color w:val="000000"/>
                <w:sz w:val="12"/>
                <w:szCs w:val="12"/>
              </w:rPr>
              <w:br/>
              <w:t>HOME</w:t>
            </w:r>
            <w:r w:rsidRPr="009605B2">
              <w:rPr>
                <w:rFonts w:ascii="Calibri" w:eastAsia="Times New Roman" w:hAnsi="Calibri"/>
                <w:color w:val="000000"/>
                <w:sz w:val="12"/>
                <w:szCs w:val="12"/>
              </w:rPr>
              <w:br/>
              <w:t>HOPWA</w:t>
            </w:r>
          </w:p>
        </w:tc>
        <w:tc>
          <w:tcPr>
            <w:tcW w:w="2074" w:type="dxa"/>
            <w:tcBorders>
              <w:top w:val="nil"/>
              <w:left w:val="nil"/>
              <w:bottom w:val="single" w:sz="8" w:space="0" w:color="auto"/>
              <w:right w:val="single" w:sz="8" w:space="0" w:color="auto"/>
            </w:tcBorders>
            <w:shd w:val="clear" w:color="auto" w:fill="auto"/>
            <w:vAlign w:val="center"/>
            <w:hideMark/>
          </w:tcPr>
          <w:p w14:paraId="0801E58A"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Other</w:t>
            </w:r>
          </w:p>
        </w:tc>
        <w:tc>
          <w:tcPr>
            <w:tcW w:w="788" w:type="dxa"/>
            <w:tcBorders>
              <w:top w:val="nil"/>
              <w:left w:val="nil"/>
              <w:bottom w:val="single" w:sz="8" w:space="0" w:color="auto"/>
              <w:right w:val="single" w:sz="8" w:space="0" w:color="auto"/>
            </w:tcBorders>
            <w:shd w:val="clear" w:color="auto" w:fill="auto"/>
            <w:vAlign w:val="center"/>
            <w:hideMark/>
          </w:tcPr>
          <w:p w14:paraId="4BCF86C5" w14:textId="77777777" w:rsidR="005068B5" w:rsidRPr="00A60631" w:rsidRDefault="005068B5" w:rsidP="00816745">
            <w:pPr>
              <w:jc w:val="center"/>
              <w:rPr>
                <w:rFonts w:ascii="Calibri" w:eastAsia="Times New Roman" w:hAnsi="Calibri"/>
                <w:color w:val="000000"/>
                <w:sz w:val="12"/>
                <w:szCs w:val="12"/>
              </w:rPr>
            </w:pPr>
            <w:r w:rsidRPr="00A60631">
              <w:rPr>
                <w:rFonts w:ascii="Calibri" w:eastAsia="Times New Roman" w:hAnsi="Calibri"/>
                <w:color w:val="000000"/>
                <w:sz w:val="12"/>
                <w:szCs w:val="12"/>
              </w:rPr>
              <w:t>Other</w:t>
            </w:r>
          </w:p>
        </w:tc>
        <w:tc>
          <w:tcPr>
            <w:tcW w:w="763" w:type="dxa"/>
            <w:tcBorders>
              <w:top w:val="nil"/>
              <w:left w:val="nil"/>
              <w:bottom w:val="single" w:sz="8" w:space="0" w:color="auto"/>
              <w:right w:val="single" w:sz="8" w:space="0" w:color="auto"/>
            </w:tcBorders>
            <w:shd w:val="clear" w:color="auto" w:fill="auto"/>
            <w:vAlign w:val="center"/>
            <w:hideMark/>
          </w:tcPr>
          <w:p w14:paraId="737210C6" w14:textId="77777777" w:rsidR="005068B5" w:rsidRPr="00EE1920" w:rsidRDefault="005068B5" w:rsidP="00816745">
            <w:pPr>
              <w:jc w:val="center"/>
              <w:rPr>
                <w:rFonts w:ascii="Calibri" w:eastAsia="Times New Roman" w:hAnsi="Calibri"/>
                <w:color w:val="000000"/>
                <w:sz w:val="12"/>
                <w:szCs w:val="12"/>
              </w:rPr>
            </w:pPr>
            <w:r>
              <w:rPr>
                <w:rFonts w:ascii="Calibri" w:eastAsia="Times New Roman" w:hAnsi="Calibri"/>
                <w:color w:val="000000"/>
                <w:sz w:val="12"/>
                <w:szCs w:val="12"/>
              </w:rPr>
              <w:t>$2,491,080</w:t>
            </w:r>
          </w:p>
        </w:tc>
        <w:tc>
          <w:tcPr>
            <w:tcW w:w="763" w:type="dxa"/>
            <w:tcBorders>
              <w:top w:val="nil"/>
              <w:left w:val="nil"/>
              <w:bottom w:val="single" w:sz="8" w:space="0" w:color="auto"/>
              <w:right w:val="single" w:sz="8" w:space="0" w:color="auto"/>
            </w:tcBorders>
            <w:shd w:val="clear" w:color="auto" w:fill="auto"/>
            <w:vAlign w:val="center"/>
            <w:hideMark/>
          </w:tcPr>
          <w:p w14:paraId="79FA7AA1" w14:textId="77777777" w:rsidR="005068B5" w:rsidRPr="00EE1920" w:rsidRDefault="005068B5" w:rsidP="00816745">
            <w:pPr>
              <w:jc w:val="center"/>
              <w:rPr>
                <w:rFonts w:ascii="Calibri" w:eastAsia="Times New Roman" w:hAnsi="Calibri"/>
                <w:color w:val="000000"/>
                <w:sz w:val="12"/>
                <w:szCs w:val="12"/>
              </w:rPr>
            </w:pPr>
            <w:r>
              <w:rPr>
                <w:rFonts w:ascii="Calibri" w:eastAsia="Times New Roman" w:hAnsi="Calibri"/>
                <w:color w:val="000000"/>
                <w:sz w:val="12"/>
                <w:szCs w:val="12"/>
              </w:rPr>
              <w:t>$2,344,327</w:t>
            </w:r>
            <w:r w:rsidRPr="00EE1920">
              <w:rPr>
                <w:rFonts w:ascii="Calibri" w:eastAsia="Times New Roman" w:hAnsi="Calibri"/>
                <w:color w:val="000000"/>
                <w:sz w:val="12"/>
                <w:szCs w:val="12"/>
              </w:rPr>
              <w:t xml:space="preserve"> </w:t>
            </w:r>
          </w:p>
        </w:tc>
        <w:tc>
          <w:tcPr>
            <w:tcW w:w="698" w:type="dxa"/>
            <w:tcBorders>
              <w:top w:val="nil"/>
              <w:left w:val="nil"/>
              <w:bottom w:val="single" w:sz="8" w:space="0" w:color="auto"/>
              <w:right w:val="single" w:sz="8" w:space="0" w:color="auto"/>
            </w:tcBorders>
            <w:shd w:val="clear" w:color="auto" w:fill="auto"/>
            <w:vAlign w:val="center"/>
            <w:hideMark/>
          </w:tcPr>
          <w:p w14:paraId="193F78B0" w14:textId="77777777" w:rsidR="005068B5" w:rsidRPr="00EE1920" w:rsidRDefault="005068B5" w:rsidP="00816745">
            <w:pPr>
              <w:jc w:val="center"/>
              <w:rPr>
                <w:rFonts w:ascii="Calibri" w:eastAsia="Times New Roman" w:hAnsi="Calibri"/>
                <w:color w:val="000000"/>
                <w:sz w:val="12"/>
                <w:szCs w:val="12"/>
              </w:rPr>
            </w:pPr>
            <w:r w:rsidRPr="00EE1920">
              <w:rPr>
                <w:rFonts w:ascii="Calibri" w:eastAsia="Times New Roman" w:hAnsi="Calibri"/>
                <w:color w:val="000000"/>
                <w:sz w:val="12"/>
                <w:szCs w:val="12"/>
              </w:rPr>
              <w:t>60%</w:t>
            </w:r>
          </w:p>
        </w:tc>
        <w:tc>
          <w:tcPr>
            <w:tcW w:w="672" w:type="dxa"/>
            <w:tcBorders>
              <w:top w:val="nil"/>
              <w:left w:val="nil"/>
              <w:bottom w:val="single" w:sz="8" w:space="0" w:color="auto"/>
              <w:right w:val="single" w:sz="8" w:space="0" w:color="auto"/>
            </w:tcBorders>
            <w:shd w:val="clear" w:color="auto" w:fill="auto"/>
            <w:vAlign w:val="center"/>
            <w:hideMark/>
          </w:tcPr>
          <w:p w14:paraId="3305B7B4" w14:textId="77777777" w:rsidR="005068B5" w:rsidRPr="00EE1920" w:rsidRDefault="005068B5" w:rsidP="00816745">
            <w:pPr>
              <w:jc w:val="center"/>
              <w:rPr>
                <w:rFonts w:ascii="Calibri" w:eastAsia="Times New Roman" w:hAnsi="Calibri"/>
                <w:color w:val="000000"/>
                <w:sz w:val="12"/>
                <w:szCs w:val="12"/>
              </w:rPr>
            </w:pPr>
            <w:r w:rsidRPr="00EE1920">
              <w:rPr>
                <w:rFonts w:ascii="Calibri" w:eastAsia="Times New Roman" w:hAnsi="Calibri"/>
                <w:color w:val="000000"/>
                <w:sz w:val="12"/>
                <w:szCs w:val="12"/>
              </w:rPr>
              <w:t>$748,345</w:t>
            </w:r>
          </w:p>
        </w:tc>
        <w:tc>
          <w:tcPr>
            <w:tcW w:w="672" w:type="dxa"/>
            <w:tcBorders>
              <w:top w:val="nil"/>
              <w:left w:val="nil"/>
              <w:bottom w:val="single" w:sz="8" w:space="0" w:color="auto"/>
              <w:right w:val="single" w:sz="8" w:space="0" w:color="auto"/>
            </w:tcBorders>
            <w:shd w:val="clear" w:color="auto" w:fill="auto"/>
            <w:vAlign w:val="center"/>
            <w:hideMark/>
          </w:tcPr>
          <w:p w14:paraId="7D653DF7" w14:textId="77777777" w:rsidR="005068B5" w:rsidRPr="00EE1920" w:rsidRDefault="005068B5" w:rsidP="00816745">
            <w:pPr>
              <w:jc w:val="center"/>
              <w:rPr>
                <w:rFonts w:ascii="Calibri" w:eastAsia="Times New Roman" w:hAnsi="Calibri"/>
                <w:color w:val="000000"/>
                <w:sz w:val="12"/>
                <w:szCs w:val="12"/>
              </w:rPr>
            </w:pPr>
            <w:r w:rsidRPr="00EE1920">
              <w:rPr>
                <w:rFonts w:ascii="Calibri" w:eastAsia="Times New Roman" w:hAnsi="Calibri"/>
                <w:color w:val="000000"/>
                <w:sz w:val="12"/>
                <w:szCs w:val="12"/>
              </w:rPr>
              <w:t>$</w:t>
            </w:r>
            <w:r>
              <w:rPr>
                <w:rFonts w:ascii="Calibri" w:eastAsia="Times New Roman" w:hAnsi="Calibri"/>
                <w:color w:val="000000"/>
                <w:sz w:val="12"/>
                <w:szCs w:val="12"/>
              </w:rPr>
              <w:t>752,553</w:t>
            </w:r>
          </w:p>
        </w:tc>
        <w:tc>
          <w:tcPr>
            <w:tcW w:w="698" w:type="dxa"/>
            <w:tcBorders>
              <w:top w:val="nil"/>
              <w:left w:val="nil"/>
              <w:bottom w:val="single" w:sz="8" w:space="0" w:color="auto"/>
              <w:right w:val="single" w:sz="8" w:space="0" w:color="auto"/>
            </w:tcBorders>
            <w:shd w:val="clear" w:color="auto" w:fill="auto"/>
            <w:vAlign w:val="center"/>
            <w:hideMark/>
          </w:tcPr>
          <w:p w14:paraId="30073B2C" w14:textId="77777777" w:rsidR="005068B5" w:rsidRPr="00EE1920" w:rsidRDefault="005068B5" w:rsidP="00816745">
            <w:pPr>
              <w:jc w:val="center"/>
              <w:rPr>
                <w:rFonts w:ascii="Calibri" w:eastAsia="Times New Roman" w:hAnsi="Calibri"/>
                <w:color w:val="000000"/>
                <w:sz w:val="12"/>
                <w:szCs w:val="12"/>
              </w:rPr>
            </w:pPr>
            <w:r w:rsidRPr="00EE1920">
              <w:rPr>
                <w:rFonts w:ascii="Calibri" w:eastAsia="Times New Roman" w:hAnsi="Calibri"/>
                <w:color w:val="000000"/>
                <w:sz w:val="12"/>
                <w:szCs w:val="12"/>
              </w:rPr>
              <w:t>100%</w:t>
            </w:r>
          </w:p>
        </w:tc>
      </w:tr>
      <w:tr w:rsidR="005068B5" w:rsidRPr="009605B2" w14:paraId="467C07C7" w14:textId="77777777" w:rsidTr="00816745">
        <w:trPr>
          <w:trHeight w:val="294"/>
        </w:trPr>
        <w:tc>
          <w:tcPr>
            <w:tcW w:w="2251" w:type="dxa"/>
            <w:tcBorders>
              <w:top w:val="nil"/>
              <w:left w:val="single" w:sz="8" w:space="0" w:color="auto"/>
              <w:bottom w:val="single" w:sz="8" w:space="0" w:color="auto"/>
              <w:right w:val="single" w:sz="8" w:space="0" w:color="auto"/>
            </w:tcBorders>
            <w:shd w:val="clear" w:color="auto" w:fill="auto"/>
            <w:vAlign w:val="center"/>
            <w:hideMark/>
          </w:tcPr>
          <w:p w14:paraId="6139BE9F"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Expand Home Ownership Opportunities</w:t>
            </w:r>
          </w:p>
        </w:tc>
        <w:tc>
          <w:tcPr>
            <w:tcW w:w="662" w:type="dxa"/>
            <w:tcBorders>
              <w:top w:val="nil"/>
              <w:left w:val="nil"/>
              <w:bottom w:val="single" w:sz="8" w:space="0" w:color="auto"/>
              <w:right w:val="single" w:sz="8" w:space="0" w:color="auto"/>
            </w:tcBorders>
            <w:shd w:val="clear" w:color="auto" w:fill="auto"/>
            <w:vAlign w:val="center"/>
            <w:hideMark/>
          </w:tcPr>
          <w:p w14:paraId="7F52C4AE"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AH</w:t>
            </w:r>
          </w:p>
        </w:tc>
        <w:tc>
          <w:tcPr>
            <w:tcW w:w="621" w:type="dxa"/>
            <w:tcBorders>
              <w:top w:val="nil"/>
              <w:left w:val="nil"/>
              <w:bottom w:val="single" w:sz="8" w:space="0" w:color="auto"/>
              <w:right w:val="single" w:sz="8" w:space="0" w:color="auto"/>
            </w:tcBorders>
            <w:shd w:val="clear" w:color="auto" w:fill="auto"/>
            <w:vAlign w:val="center"/>
            <w:hideMark/>
          </w:tcPr>
          <w:p w14:paraId="25504F22"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CDBG</w:t>
            </w:r>
            <w:r w:rsidRPr="009605B2">
              <w:rPr>
                <w:rFonts w:ascii="Calibri" w:eastAsia="Times New Roman" w:hAnsi="Calibri"/>
                <w:color w:val="000000"/>
                <w:sz w:val="12"/>
                <w:szCs w:val="12"/>
              </w:rPr>
              <w:br/>
              <w:t>HOME</w:t>
            </w:r>
          </w:p>
        </w:tc>
        <w:tc>
          <w:tcPr>
            <w:tcW w:w="2074" w:type="dxa"/>
            <w:tcBorders>
              <w:top w:val="nil"/>
              <w:left w:val="nil"/>
              <w:bottom w:val="single" w:sz="8" w:space="0" w:color="auto"/>
              <w:right w:val="single" w:sz="8" w:space="0" w:color="auto"/>
            </w:tcBorders>
            <w:shd w:val="clear" w:color="auto" w:fill="auto"/>
            <w:vAlign w:val="center"/>
            <w:hideMark/>
          </w:tcPr>
          <w:p w14:paraId="14F89203"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Direct Financial Assistance to Homebuyers</w:t>
            </w:r>
          </w:p>
        </w:tc>
        <w:tc>
          <w:tcPr>
            <w:tcW w:w="788" w:type="dxa"/>
            <w:tcBorders>
              <w:top w:val="nil"/>
              <w:left w:val="nil"/>
              <w:bottom w:val="single" w:sz="8" w:space="0" w:color="auto"/>
              <w:right w:val="single" w:sz="8" w:space="0" w:color="auto"/>
            </w:tcBorders>
            <w:shd w:val="clear" w:color="auto" w:fill="auto"/>
            <w:vAlign w:val="center"/>
            <w:hideMark/>
          </w:tcPr>
          <w:p w14:paraId="1F063B95" w14:textId="77777777" w:rsidR="005068B5" w:rsidRPr="00A60631" w:rsidRDefault="005068B5" w:rsidP="00816745">
            <w:pPr>
              <w:jc w:val="center"/>
              <w:rPr>
                <w:rFonts w:ascii="Calibri" w:eastAsia="Times New Roman" w:hAnsi="Calibri"/>
                <w:color w:val="000000"/>
                <w:sz w:val="12"/>
                <w:szCs w:val="12"/>
              </w:rPr>
            </w:pPr>
            <w:r w:rsidRPr="00A60631">
              <w:rPr>
                <w:rFonts w:ascii="Calibri" w:eastAsia="Times New Roman" w:hAnsi="Calibri"/>
                <w:color w:val="000000"/>
                <w:sz w:val="12"/>
                <w:szCs w:val="12"/>
              </w:rPr>
              <w:t>Households Assisted</w:t>
            </w:r>
          </w:p>
        </w:tc>
        <w:tc>
          <w:tcPr>
            <w:tcW w:w="763" w:type="dxa"/>
            <w:tcBorders>
              <w:top w:val="nil"/>
              <w:left w:val="nil"/>
              <w:bottom w:val="single" w:sz="8" w:space="0" w:color="auto"/>
              <w:right w:val="single" w:sz="8" w:space="0" w:color="auto"/>
            </w:tcBorders>
            <w:shd w:val="clear" w:color="auto" w:fill="auto"/>
            <w:vAlign w:val="center"/>
            <w:hideMark/>
          </w:tcPr>
          <w:p w14:paraId="4D288956" w14:textId="77777777" w:rsidR="005068B5" w:rsidRPr="00A60631" w:rsidRDefault="005068B5" w:rsidP="00816745">
            <w:pPr>
              <w:jc w:val="center"/>
              <w:rPr>
                <w:rFonts w:ascii="Calibri" w:eastAsia="Times New Roman" w:hAnsi="Calibri"/>
                <w:color w:val="000000"/>
                <w:sz w:val="12"/>
                <w:szCs w:val="12"/>
              </w:rPr>
            </w:pPr>
            <w:r w:rsidRPr="00A60631">
              <w:rPr>
                <w:rFonts w:ascii="Calibri" w:eastAsia="Times New Roman" w:hAnsi="Calibri"/>
                <w:color w:val="000000"/>
                <w:sz w:val="12"/>
                <w:szCs w:val="12"/>
              </w:rPr>
              <w:t>110</w:t>
            </w:r>
          </w:p>
        </w:tc>
        <w:tc>
          <w:tcPr>
            <w:tcW w:w="763" w:type="dxa"/>
            <w:tcBorders>
              <w:top w:val="nil"/>
              <w:left w:val="nil"/>
              <w:bottom w:val="single" w:sz="8" w:space="0" w:color="auto"/>
              <w:right w:val="single" w:sz="8" w:space="0" w:color="auto"/>
            </w:tcBorders>
            <w:shd w:val="clear" w:color="auto" w:fill="auto"/>
            <w:vAlign w:val="center"/>
            <w:hideMark/>
          </w:tcPr>
          <w:p w14:paraId="272989A7" w14:textId="77777777" w:rsidR="005068B5" w:rsidRPr="00A60631" w:rsidRDefault="005068B5" w:rsidP="00816745">
            <w:pPr>
              <w:jc w:val="center"/>
              <w:rPr>
                <w:rFonts w:ascii="Calibri" w:eastAsia="Times New Roman" w:hAnsi="Calibri"/>
                <w:color w:val="000000"/>
                <w:sz w:val="12"/>
                <w:szCs w:val="12"/>
              </w:rPr>
            </w:pPr>
            <w:r>
              <w:rPr>
                <w:rFonts w:ascii="Calibri" w:eastAsia="Times New Roman" w:hAnsi="Calibri"/>
                <w:color w:val="000000"/>
                <w:sz w:val="12"/>
                <w:szCs w:val="12"/>
              </w:rPr>
              <w:t>38</w:t>
            </w:r>
          </w:p>
        </w:tc>
        <w:tc>
          <w:tcPr>
            <w:tcW w:w="698" w:type="dxa"/>
            <w:tcBorders>
              <w:top w:val="nil"/>
              <w:left w:val="nil"/>
              <w:bottom w:val="single" w:sz="8" w:space="0" w:color="auto"/>
              <w:right w:val="single" w:sz="8" w:space="0" w:color="auto"/>
            </w:tcBorders>
            <w:shd w:val="clear" w:color="auto" w:fill="auto"/>
            <w:vAlign w:val="center"/>
            <w:hideMark/>
          </w:tcPr>
          <w:p w14:paraId="7F92843C" w14:textId="77777777" w:rsidR="005068B5" w:rsidRPr="00A60631" w:rsidRDefault="005068B5" w:rsidP="00816745">
            <w:pPr>
              <w:jc w:val="center"/>
              <w:rPr>
                <w:rFonts w:ascii="Calibri" w:eastAsia="Times New Roman" w:hAnsi="Calibri"/>
                <w:color w:val="000000"/>
                <w:sz w:val="12"/>
                <w:szCs w:val="12"/>
              </w:rPr>
            </w:pPr>
            <w:r>
              <w:rPr>
                <w:rFonts w:ascii="Calibri" w:eastAsia="Times New Roman" w:hAnsi="Calibri"/>
                <w:color w:val="000000"/>
                <w:sz w:val="12"/>
                <w:szCs w:val="12"/>
              </w:rPr>
              <w:t>35</w:t>
            </w:r>
            <w:r w:rsidRPr="00A60631">
              <w:rPr>
                <w:rFonts w:ascii="Calibri" w:eastAsia="Times New Roman" w:hAnsi="Calibri"/>
                <w:color w:val="000000"/>
                <w:sz w:val="12"/>
                <w:szCs w:val="12"/>
              </w:rPr>
              <w:t>%</w:t>
            </w:r>
          </w:p>
        </w:tc>
        <w:tc>
          <w:tcPr>
            <w:tcW w:w="672" w:type="dxa"/>
            <w:tcBorders>
              <w:top w:val="nil"/>
              <w:left w:val="nil"/>
              <w:bottom w:val="single" w:sz="8" w:space="0" w:color="auto"/>
              <w:right w:val="single" w:sz="8" w:space="0" w:color="auto"/>
            </w:tcBorders>
            <w:shd w:val="clear" w:color="auto" w:fill="auto"/>
            <w:vAlign w:val="center"/>
            <w:hideMark/>
          </w:tcPr>
          <w:p w14:paraId="32E7F752" w14:textId="77777777" w:rsidR="005068B5" w:rsidRPr="009605B2" w:rsidRDefault="005068B5" w:rsidP="00816745">
            <w:pPr>
              <w:jc w:val="center"/>
              <w:rPr>
                <w:rFonts w:ascii="Calibri" w:eastAsia="Times New Roman" w:hAnsi="Calibri"/>
                <w:color w:val="000000"/>
                <w:sz w:val="12"/>
                <w:szCs w:val="12"/>
              </w:rPr>
            </w:pPr>
            <w:r>
              <w:rPr>
                <w:rFonts w:ascii="Calibri" w:eastAsia="Times New Roman" w:hAnsi="Calibri"/>
                <w:color w:val="000000"/>
                <w:sz w:val="12"/>
                <w:szCs w:val="12"/>
              </w:rPr>
              <w:t>22</w:t>
            </w:r>
          </w:p>
        </w:tc>
        <w:tc>
          <w:tcPr>
            <w:tcW w:w="672" w:type="dxa"/>
            <w:tcBorders>
              <w:top w:val="nil"/>
              <w:left w:val="nil"/>
              <w:bottom w:val="single" w:sz="8" w:space="0" w:color="auto"/>
              <w:right w:val="single" w:sz="8" w:space="0" w:color="auto"/>
            </w:tcBorders>
            <w:shd w:val="clear" w:color="auto" w:fill="auto"/>
            <w:vAlign w:val="center"/>
            <w:hideMark/>
          </w:tcPr>
          <w:p w14:paraId="0807D2A5" w14:textId="77777777" w:rsidR="005068B5" w:rsidRPr="009605B2" w:rsidRDefault="005068B5" w:rsidP="00816745">
            <w:pPr>
              <w:jc w:val="center"/>
              <w:rPr>
                <w:rFonts w:ascii="Calibri" w:eastAsia="Times New Roman" w:hAnsi="Calibri"/>
                <w:color w:val="000000"/>
                <w:sz w:val="12"/>
                <w:szCs w:val="12"/>
              </w:rPr>
            </w:pPr>
            <w:r>
              <w:rPr>
                <w:rFonts w:ascii="Calibri" w:eastAsia="Times New Roman" w:hAnsi="Calibri"/>
                <w:color w:val="000000"/>
                <w:sz w:val="12"/>
                <w:szCs w:val="12"/>
              </w:rPr>
              <w:t>9</w:t>
            </w:r>
          </w:p>
        </w:tc>
        <w:tc>
          <w:tcPr>
            <w:tcW w:w="698" w:type="dxa"/>
            <w:tcBorders>
              <w:top w:val="nil"/>
              <w:left w:val="nil"/>
              <w:bottom w:val="single" w:sz="8" w:space="0" w:color="auto"/>
              <w:right w:val="single" w:sz="8" w:space="0" w:color="auto"/>
            </w:tcBorders>
            <w:shd w:val="clear" w:color="auto" w:fill="auto"/>
            <w:vAlign w:val="center"/>
            <w:hideMark/>
          </w:tcPr>
          <w:p w14:paraId="2F28ACDB" w14:textId="77777777" w:rsidR="005068B5" w:rsidRPr="009605B2" w:rsidRDefault="005068B5" w:rsidP="00816745">
            <w:pPr>
              <w:jc w:val="center"/>
              <w:rPr>
                <w:rFonts w:ascii="Calibri" w:eastAsia="Times New Roman" w:hAnsi="Calibri"/>
                <w:color w:val="000000"/>
                <w:sz w:val="12"/>
                <w:szCs w:val="12"/>
              </w:rPr>
            </w:pPr>
            <w:r>
              <w:rPr>
                <w:rFonts w:ascii="Calibri" w:eastAsia="Times New Roman" w:hAnsi="Calibri"/>
                <w:color w:val="000000"/>
                <w:sz w:val="12"/>
                <w:szCs w:val="12"/>
              </w:rPr>
              <w:t>41</w:t>
            </w:r>
            <w:r w:rsidRPr="009605B2">
              <w:rPr>
                <w:rFonts w:ascii="Calibri" w:eastAsia="Times New Roman" w:hAnsi="Calibri"/>
                <w:color w:val="000000"/>
                <w:sz w:val="12"/>
                <w:szCs w:val="12"/>
              </w:rPr>
              <w:t>%</w:t>
            </w:r>
          </w:p>
        </w:tc>
      </w:tr>
      <w:tr w:rsidR="005068B5" w:rsidRPr="009605B2" w14:paraId="7EEE02CD" w14:textId="77777777" w:rsidTr="00816745">
        <w:trPr>
          <w:trHeight w:val="294"/>
        </w:trPr>
        <w:tc>
          <w:tcPr>
            <w:tcW w:w="2251" w:type="dxa"/>
            <w:tcBorders>
              <w:top w:val="nil"/>
              <w:left w:val="single" w:sz="8" w:space="0" w:color="auto"/>
              <w:bottom w:val="single" w:sz="8" w:space="0" w:color="auto"/>
              <w:right w:val="single" w:sz="8" w:space="0" w:color="auto"/>
            </w:tcBorders>
            <w:shd w:val="clear" w:color="auto" w:fill="auto"/>
            <w:vAlign w:val="center"/>
            <w:hideMark/>
          </w:tcPr>
          <w:p w14:paraId="1F433C4E"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Improve and Expand Affordable Housing Stock</w:t>
            </w:r>
          </w:p>
        </w:tc>
        <w:tc>
          <w:tcPr>
            <w:tcW w:w="662" w:type="dxa"/>
            <w:tcBorders>
              <w:top w:val="nil"/>
              <w:left w:val="nil"/>
              <w:bottom w:val="single" w:sz="8" w:space="0" w:color="auto"/>
              <w:right w:val="single" w:sz="8" w:space="0" w:color="auto"/>
            </w:tcBorders>
            <w:shd w:val="clear" w:color="auto" w:fill="auto"/>
            <w:vAlign w:val="center"/>
            <w:hideMark/>
          </w:tcPr>
          <w:p w14:paraId="716D3C19"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AH</w:t>
            </w:r>
          </w:p>
        </w:tc>
        <w:tc>
          <w:tcPr>
            <w:tcW w:w="621" w:type="dxa"/>
            <w:tcBorders>
              <w:top w:val="nil"/>
              <w:left w:val="nil"/>
              <w:bottom w:val="single" w:sz="8" w:space="0" w:color="auto"/>
              <w:right w:val="single" w:sz="8" w:space="0" w:color="auto"/>
            </w:tcBorders>
            <w:shd w:val="clear" w:color="auto" w:fill="auto"/>
            <w:vAlign w:val="center"/>
            <w:hideMark/>
          </w:tcPr>
          <w:p w14:paraId="06A77B07"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CDBG</w:t>
            </w:r>
          </w:p>
        </w:tc>
        <w:tc>
          <w:tcPr>
            <w:tcW w:w="2074" w:type="dxa"/>
            <w:tcBorders>
              <w:top w:val="nil"/>
              <w:left w:val="nil"/>
              <w:bottom w:val="single" w:sz="8" w:space="0" w:color="auto"/>
              <w:right w:val="single" w:sz="8" w:space="0" w:color="auto"/>
            </w:tcBorders>
            <w:shd w:val="clear" w:color="auto" w:fill="auto"/>
            <w:vAlign w:val="center"/>
            <w:hideMark/>
          </w:tcPr>
          <w:p w14:paraId="62277D67"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Homeowner Housing Rehabilitated</w:t>
            </w:r>
          </w:p>
        </w:tc>
        <w:tc>
          <w:tcPr>
            <w:tcW w:w="788" w:type="dxa"/>
            <w:tcBorders>
              <w:top w:val="nil"/>
              <w:left w:val="nil"/>
              <w:bottom w:val="single" w:sz="8" w:space="0" w:color="auto"/>
              <w:right w:val="single" w:sz="8" w:space="0" w:color="auto"/>
            </w:tcBorders>
            <w:shd w:val="clear" w:color="auto" w:fill="auto"/>
            <w:vAlign w:val="center"/>
            <w:hideMark/>
          </w:tcPr>
          <w:p w14:paraId="2002CBA9" w14:textId="77777777" w:rsidR="005068B5" w:rsidRPr="009605B2" w:rsidRDefault="005068B5" w:rsidP="00816745">
            <w:pPr>
              <w:jc w:val="center"/>
              <w:rPr>
                <w:rFonts w:ascii="Calibri" w:eastAsia="Times New Roman" w:hAnsi="Calibri"/>
                <w:color w:val="000000"/>
                <w:sz w:val="12"/>
                <w:szCs w:val="12"/>
              </w:rPr>
            </w:pPr>
            <w:r w:rsidRPr="009605B2">
              <w:rPr>
                <w:rFonts w:ascii="Calibri" w:eastAsia="Times New Roman" w:hAnsi="Calibri"/>
                <w:color w:val="000000"/>
                <w:sz w:val="12"/>
                <w:szCs w:val="12"/>
              </w:rPr>
              <w:t>Household Housing Unit</w:t>
            </w:r>
          </w:p>
        </w:tc>
        <w:tc>
          <w:tcPr>
            <w:tcW w:w="763" w:type="dxa"/>
            <w:tcBorders>
              <w:top w:val="nil"/>
              <w:left w:val="nil"/>
              <w:bottom w:val="single" w:sz="8" w:space="0" w:color="auto"/>
              <w:right w:val="single" w:sz="8" w:space="0" w:color="auto"/>
            </w:tcBorders>
            <w:shd w:val="clear" w:color="auto" w:fill="auto"/>
            <w:vAlign w:val="center"/>
            <w:hideMark/>
          </w:tcPr>
          <w:p w14:paraId="264BD3CF" w14:textId="77777777" w:rsidR="005068B5" w:rsidRPr="00A60631" w:rsidRDefault="005068B5" w:rsidP="00816745">
            <w:pPr>
              <w:jc w:val="center"/>
              <w:rPr>
                <w:rFonts w:ascii="Calibri" w:eastAsia="Times New Roman" w:hAnsi="Calibri"/>
                <w:color w:val="000000"/>
                <w:sz w:val="12"/>
                <w:szCs w:val="12"/>
              </w:rPr>
            </w:pPr>
            <w:r w:rsidRPr="00A60631">
              <w:rPr>
                <w:rFonts w:ascii="Calibri" w:eastAsia="Times New Roman" w:hAnsi="Calibri"/>
                <w:color w:val="000000"/>
                <w:sz w:val="12"/>
                <w:szCs w:val="12"/>
              </w:rPr>
              <w:t>1325</w:t>
            </w:r>
          </w:p>
        </w:tc>
        <w:tc>
          <w:tcPr>
            <w:tcW w:w="763" w:type="dxa"/>
            <w:tcBorders>
              <w:top w:val="nil"/>
              <w:left w:val="nil"/>
              <w:bottom w:val="single" w:sz="8" w:space="0" w:color="auto"/>
              <w:right w:val="single" w:sz="8" w:space="0" w:color="auto"/>
            </w:tcBorders>
            <w:shd w:val="clear" w:color="auto" w:fill="auto"/>
            <w:vAlign w:val="center"/>
            <w:hideMark/>
          </w:tcPr>
          <w:p w14:paraId="460975A1" w14:textId="77777777" w:rsidR="005068B5" w:rsidRDefault="005068B5" w:rsidP="00816745">
            <w:pPr>
              <w:jc w:val="center"/>
              <w:rPr>
                <w:rFonts w:ascii="Calibri" w:eastAsia="Times New Roman" w:hAnsi="Calibri"/>
                <w:color w:val="000000"/>
                <w:sz w:val="12"/>
                <w:szCs w:val="12"/>
              </w:rPr>
            </w:pPr>
          </w:p>
          <w:p w14:paraId="73F27BA0" w14:textId="77777777" w:rsidR="005068B5" w:rsidRDefault="005068B5" w:rsidP="00816745">
            <w:pPr>
              <w:jc w:val="center"/>
              <w:rPr>
                <w:rFonts w:ascii="Calibri" w:eastAsia="Times New Roman" w:hAnsi="Calibri"/>
                <w:color w:val="000000"/>
                <w:sz w:val="12"/>
                <w:szCs w:val="12"/>
              </w:rPr>
            </w:pPr>
            <w:r>
              <w:rPr>
                <w:rFonts w:ascii="Calibri" w:eastAsia="Times New Roman" w:hAnsi="Calibri"/>
                <w:color w:val="000000"/>
                <w:sz w:val="12"/>
                <w:szCs w:val="12"/>
              </w:rPr>
              <w:t>837</w:t>
            </w:r>
          </w:p>
          <w:p w14:paraId="387D96AC" w14:textId="77777777" w:rsidR="005068B5" w:rsidRPr="00A60631" w:rsidRDefault="005068B5" w:rsidP="00816745">
            <w:pPr>
              <w:jc w:val="center"/>
              <w:rPr>
                <w:rFonts w:ascii="Calibri" w:eastAsia="Times New Roman" w:hAnsi="Calibri"/>
                <w:color w:val="000000"/>
                <w:sz w:val="12"/>
                <w:szCs w:val="12"/>
              </w:rPr>
            </w:pPr>
          </w:p>
        </w:tc>
        <w:tc>
          <w:tcPr>
            <w:tcW w:w="698" w:type="dxa"/>
            <w:tcBorders>
              <w:top w:val="nil"/>
              <w:left w:val="nil"/>
              <w:bottom w:val="single" w:sz="8" w:space="0" w:color="auto"/>
              <w:right w:val="single" w:sz="8" w:space="0" w:color="auto"/>
            </w:tcBorders>
            <w:shd w:val="clear" w:color="auto" w:fill="auto"/>
            <w:vAlign w:val="center"/>
            <w:hideMark/>
          </w:tcPr>
          <w:p w14:paraId="450A0D8A" w14:textId="77777777" w:rsidR="005068B5" w:rsidRPr="00A60631" w:rsidRDefault="005068B5" w:rsidP="00816745">
            <w:pPr>
              <w:jc w:val="center"/>
              <w:rPr>
                <w:rFonts w:ascii="Calibri" w:eastAsia="Times New Roman" w:hAnsi="Calibri"/>
                <w:color w:val="000000"/>
                <w:sz w:val="12"/>
                <w:szCs w:val="12"/>
              </w:rPr>
            </w:pPr>
            <w:r>
              <w:rPr>
                <w:rFonts w:ascii="Calibri" w:eastAsia="Times New Roman" w:hAnsi="Calibri"/>
                <w:color w:val="000000"/>
                <w:sz w:val="12"/>
                <w:szCs w:val="12"/>
              </w:rPr>
              <w:t>63</w:t>
            </w:r>
            <w:r w:rsidRPr="00A60631">
              <w:rPr>
                <w:rFonts w:ascii="Calibri" w:eastAsia="Times New Roman" w:hAnsi="Calibri"/>
                <w:color w:val="000000"/>
                <w:sz w:val="12"/>
                <w:szCs w:val="12"/>
              </w:rPr>
              <w:t>%</w:t>
            </w:r>
          </w:p>
        </w:tc>
        <w:tc>
          <w:tcPr>
            <w:tcW w:w="672" w:type="dxa"/>
            <w:tcBorders>
              <w:top w:val="nil"/>
              <w:left w:val="nil"/>
              <w:bottom w:val="single" w:sz="8" w:space="0" w:color="auto"/>
              <w:right w:val="single" w:sz="8" w:space="0" w:color="auto"/>
            </w:tcBorders>
            <w:shd w:val="clear" w:color="auto" w:fill="auto"/>
            <w:vAlign w:val="center"/>
            <w:hideMark/>
          </w:tcPr>
          <w:p w14:paraId="2DB644CB" w14:textId="77777777" w:rsidR="005068B5" w:rsidRPr="009605B2" w:rsidRDefault="005068B5" w:rsidP="00816745">
            <w:pPr>
              <w:jc w:val="center"/>
              <w:rPr>
                <w:rFonts w:ascii="Calibri" w:eastAsia="Times New Roman" w:hAnsi="Calibri"/>
                <w:color w:val="000000"/>
                <w:sz w:val="12"/>
                <w:szCs w:val="12"/>
              </w:rPr>
            </w:pPr>
            <w:r>
              <w:rPr>
                <w:rFonts w:ascii="Calibri" w:eastAsia="Times New Roman" w:hAnsi="Calibri"/>
                <w:color w:val="000000"/>
                <w:sz w:val="12"/>
                <w:szCs w:val="12"/>
              </w:rPr>
              <w:t>265</w:t>
            </w:r>
          </w:p>
        </w:tc>
        <w:tc>
          <w:tcPr>
            <w:tcW w:w="672" w:type="dxa"/>
            <w:tcBorders>
              <w:top w:val="nil"/>
              <w:left w:val="nil"/>
              <w:bottom w:val="single" w:sz="8" w:space="0" w:color="auto"/>
              <w:right w:val="single" w:sz="8" w:space="0" w:color="auto"/>
            </w:tcBorders>
            <w:shd w:val="clear" w:color="auto" w:fill="auto"/>
            <w:vAlign w:val="center"/>
            <w:hideMark/>
          </w:tcPr>
          <w:p w14:paraId="4479FB89" w14:textId="77777777" w:rsidR="005068B5" w:rsidRPr="009605B2" w:rsidRDefault="005068B5" w:rsidP="00816745">
            <w:pPr>
              <w:jc w:val="center"/>
              <w:rPr>
                <w:rFonts w:ascii="Calibri" w:eastAsia="Times New Roman" w:hAnsi="Calibri"/>
                <w:color w:val="000000"/>
                <w:sz w:val="12"/>
                <w:szCs w:val="12"/>
              </w:rPr>
            </w:pPr>
            <w:r>
              <w:rPr>
                <w:rFonts w:ascii="Calibri" w:eastAsia="Times New Roman" w:hAnsi="Calibri"/>
                <w:color w:val="000000"/>
                <w:sz w:val="12"/>
                <w:szCs w:val="12"/>
              </w:rPr>
              <w:t>237</w:t>
            </w:r>
          </w:p>
        </w:tc>
        <w:tc>
          <w:tcPr>
            <w:tcW w:w="698" w:type="dxa"/>
            <w:tcBorders>
              <w:top w:val="nil"/>
              <w:left w:val="nil"/>
              <w:bottom w:val="single" w:sz="8" w:space="0" w:color="auto"/>
              <w:right w:val="single" w:sz="8" w:space="0" w:color="auto"/>
            </w:tcBorders>
            <w:shd w:val="clear" w:color="auto" w:fill="auto"/>
            <w:vAlign w:val="center"/>
            <w:hideMark/>
          </w:tcPr>
          <w:p w14:paraId="16B37DCE" w14:textId="77777777" w:rsidR="005068B5" w:rsidRPr="009605B2" w:rsidRDefault="005068B5" w:rsidP="00816745">
            <w:pPr>
              <w:jc w:val="center"/>
              <w:rPr>
                <w:rFonts w:ascii="Calibri" w:eastAsia="Times New Roman" w:hAnsi="Calibri"/>
                <w:color w:val="000000"/>
                <w:sz w:val="12"/>
                <w:szCs w:val="12"/>
              </w:rPr>
            </w:pPr>
            <w:r>
              <w:rPr>
                <w:rFonts w:ascii="Calibri" w:eastAsia="Times New Roman" w:hAnsi="Calibri"/>
                <w:color w:val="000000"/>
                <w:sz w:val="12"/>
                <w:szCs w:val="12"/>
              </w:rPr>
              <w:t>89</w:t>
            </w:r>
            <w:r w:rsidRPr="009605B2">
              <w:rPr>
                <w:rFonts w:ascii="Calibri" w:eastAsia="Times New Roman" w:hAnsi="Calibri"/>
                <w:color w:val="000000"/>
                <w:sz w:val="12"/>
                <w:szCs w:val="12"/>
              </w:rPr>
              <w:t>%</w:t>
            </w:r>
          </w:p>
        </w:tc>
      </w:tr>
      <w:tr w:rsidR="005068B5" w:rsidRPr="009605B2" w14:paraId="6B56EE6F" w14:textId="77777777" w:rsidTr="00816745">
        <w:trPr>
          <w:trHeight w:val="342"/>
        </w:trPr>
        <w:tc>
          <w:tcPr>
            <w:tcW w:w="2251" w:type="dxa"/>
            <w:tcBorders>
              <w:top w:val="nil"/>
              <w:left w:val="single" w:sz="8" w:space="0" w:color="auto"/>
              <w:bottom w:val="single" w:sz="8" w:space="0" w:color="auto"/>
              <w:right w:val="single" w:sz="8" w:space="0" w:color="auto"/>
            </w:tcBorders>
            <w:shd w:val="clear" w:color="auto" w:fill="auto"/>
            <w:vAlign w:val="center"/>
            <w:hideMark/>
          </w:tcPr>
          <w:p w14:paraId="0BEE70CE"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Improve Infrastructure in Distressed Neighborhoods</w:t>
            </w:r>
          </w:p>
        </w:tc>
        <w:tc>
          <w:tcPr>
            <w:tcW w:w="662" w:type="dxa"/>
            <w:tcBorders>
              <w:top w:val="nil"/>
              <w:left w:val="nil"/>
              <w:bottom w:val="single" w:sz="8" w:space="0" w:color="auto"/>
              <w:right w:val="single" w:sz="8" w:space="0" w:color="auto"/>
            </w:tcBorders>
            <w:shd w:val="clear" w:color="auto" w:fill="auto"/>
            <w:vAlign w:val="center"/>
            <w:hideMark/>
          </w:tcPr>
          <w:p w14:paraId="556A4BE7"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NHCD</w:t>
            </w:r>
          </w:p>
        </w:tc>
        <w:tc>
          <w:tcPr>
            <w:tcW w:w="621" w:type="dxa"/>
            <w:tcBorders>
              <w:top w:val="nil"/>
              <w:left w:val="nil"/>
              <w:bottom w:val="single" w:sz="8" w:space="0" w:color="auto"/>
              <w:right w:val="single" w:sz="8" w:space="0" w:color="auto"/>
            </w:tcBorders>
            <w:shd w:val="clear" w:color="auto" w:fill="auto"/>
            <w:vAlign w:val="center"/>
            <w:hideMark/>
          </w:tcPr>
          <w:p w14:paraId="69EEB82E"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CDBG</w:t>
            </w:r>
          </w:p>
        </w:tc>
        <w:tc>
          <w:tcPr>
            <w:tcW w:w="2074" w:type="dxa"/>
            <w:tcBorders>
              <w:top w:val="nil"/>
              <w:left w:val="nil"/>
              <w:bottom w:val="single" w:sz="8" w:space="0" w:color="auto"/>
              <w:right w:val="single" w:sz="8" w:space="0" w:color="auto"/>
            </w:tcBorders>
            <w:shd w:val="clear" w:color="auto" w:fill="auto"/>
            <w:vAlign w:val="center"/>
            <w:hideMark/>
          </w:tcPr>
          <w:p w14:paraId="061C9FB2"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Public Facility or Infrastructure Activities other than Low/Moderate Income Housing Benefit</w:t>
            </w:r>
          </w:p>
        </w:tc>
        <w:tc>
          <w:tcPr>
            <w:tcW w:w="788" w:type="dxa"/>
            <w:tcBorders>
              <w:top w:val="nil"/>
              <w:left w:val="nil"/>
              <w:bottom w:val="single" w:sz="8" w:space="0" w:color="auto"/>
              <w:right w:val="single" w:sz="8" w:space="0" w:color="auto"/>
            </w:tcBorders>
            <w:shd w:val="clear" w:color="auto" w:fill="auto"/>
            <w:vAlign w:val="center"/>
            <w:hideMark/>
          </w:tcPr>
          <w:p w14:paraId="1327211F" w14:textId="77777777" w:rsidR="005068B5" w:rsidRPr="009605B2" w:rsidRDefault="005068B5" w:rsidP="00816745">
            <w:pPr>
              <w:jc w:val="center"/>
              <w:rPr>
                <w:rFonts w:ascii="Calibri" w:eastAsia="Times New Roman" w:hAnsi="Calibri"/>
                <w:color w:val="000000"/>
                <w:sz w:val="12"/>
                <w:szCs w:val="12"/>
              </w:rPr>
            </w:pPr>
            <w:r w:rsidRPr="009605B2">
              <w:rPr>
                <w:rFonts w:ascii="Calibri" w:eastAsia="Times New Roman" w:hAnsi="Calibri"/>
                <w:color w:val="000000"/>
                <w:sz w:val="12"/>
                <w:szCs w:val="12"/>
              </w:rPr>
              <w:t>Persons Assisted</w:t>
            </w:r>
          </w:p>
        </w:tc>
        <w:tc>
          <w:tcPr>
            <w:tcW w:w="763" w:type="dxa"/>
            <w:tcBorders>
              <w:top w:val="nil"/>
              <w:left w:val="nil"/>
              <w:bottom w:val="single" w:sz="8" w:space="0" w:color="auto"/>
              <w:right w:val="single" w:sz="8" w:space="0" w:color="auto"/>
            </w:tcBorders>
            <w:shd w:val="clear" w:color="auto" w:fill="auto"/>
            <w:vAlign w:val="center"/>
            <w:hideMark/>
          </w:tcPr>
          <w:p w14:paraId="5F2E513D" w14:textId="77777777" w:rsidR="005068B5" w:rsidRPr="00A60631" w:rsidRDefault="005068B5" w:rsidP="00816745">
            <w:pPr>
              <w:jc w:val="center"/>
              <w:rPr>
                <w:rFonts w:ascii="Calibri" w:eastAsia="Times New Roman" w:hAnsi="Calibri"/>
                <w:color w:val="000000"/>
                <w:sz w:val="12"/>
                <w:szCs w:val="12"/>
              </w:rPr>
            </w:pPr>
            <w:r w:rsidRPr="00A60631">
              <w:rPr>
                <w:rFonts w:ascii="Calibri" w:eastAsia="Times New Roman" w:hAnsi="Calibri"/>
                <w:color w:val="000000"/>
                <w:sz w:val="12"/>
                <w:szCs w:val="12"/>
              </w:rPr>
              <w:t>100000</w:t>
            </w:r>
          </w:p>
        </w:tc>
        <w:tc>
          <w:tcPr>
            <w:tcW w:w="763" w:type="dxa"/>
            <w:tcBorders>
              <w:top w:val="nil"/>
              <w:left w:val="nil"/>
              <w:bottom w:val="single" w:sz="8" w:space="0" w:color="auto"/>
              <w:right w:val="single" w:sz="8" w:space="0" w:color="auto"/>
            </w:tcBorders>
            <w:shd w:val="clear" w:color="auto" w:fill="auto"/>
            <w:vAlign w:val="center"/>
            <w:hideMark/>
          </w:tcPr>
          <w:p w14:paraId="0EEF8D18" w14:textId="77777777" w:rsidR="005068B5" w:rsidRPr="00A60631" w:rsidRDefault="005068B5" w:rsidP="00816745">
            <w:pPr>
              <w:jc w:val="center"/>
              <w:rPr>
                <w:rFonts w:ascii="Calibri" w:eastAsia="Times New Roman" w:hAnsi="Calibri"/>
                <w:color w:val="000000"/>
                <w:sz w:val="12"/>
                <w:szCs w:val="12"/>
              </w:rPr>
            </w:pPr>
            <w:r w:rsidRPr="00A60631">
              <w:rPr>
                <w:rFonts w:ascii="Calibri" w:eastAsia="Times New Roman" w:hAnsi="Calibri"/>
                <w:color w:val="000000"/>
                <w:sz w:val="12"/>
                <w:szCs w:val="12"/>
              </w:rPr>
              <w:t>0</w:t>
            </w:r>
          </w:p>
        </w:tc>
        <w:tc>
          <w:tcPr>
            <w:tcW w:w="698" w:type="dxa"/>
            <w:tcBorders>
              <w:top w:val="nil"/>
              <w:left w:val="nil"/>
              <w:bottom w:val="single" w:sz="8" w:space="0" w:color="auto"/>
              <w:right w:val="single" w:sz="8" w:space="0" w:color="auto"/>
            </w:tcBorders>
            <w:shd w:val="clear" w:color="auto" w:fill="auto"/>
            <w:vAlign w:val="center"/>
            <w:hideMark/>
          </w:tcPr>
          <w:p w14:paraId="170495D5" w14:textId="77777777" w:rsidR="005068B5" w:rsidRPr="00A60631" w:rsidRDefault="005068B5" w:rsidP="00816745">
            <w:pPr>
              <w:jc w:val="center"/>
              <w:rPr>
                <w:rFonts w:ascii="Calibri" w:eastAsia="Times New Roman" w:hAnsi="Calibri"/>
                <w:color w:val="000000"/>
                <w:sz w:val="12"/>
                <w:szCs w:val="12"/>
              </w:rPr>
            </w:pPr>
            <w:r w:rsidRPr="00A60631">
              <w:rPr>
                <w:rFonts w:ascii="Calibri" w:eastAsia="Times New Roman" w:hAnsi="Calibri"/>
                <w:color w:val="000000"/>
                <w:sz w:val="12"/>
                <w:szCs w:val="12"/>
              </w:rPr>
              <w:t>0%</w:t>
            </w:r>
          </w:p>
        </w:tc>
        <w:tc>
          <w:tcPr>
            <w:tcW w:w="672" w:type="dxa"/>
            <w:tcBorders>
              <w:top w:val="nil"/>
              <w:left w:val="nil"/>
              <w:bottom w:val="single" w:sz="8" w:space="0" w:color="auto"/>
              <w:right w:val="single" w:sz="8" w:space="0" w:color="auto"/>
            </w:tcBorders>
            <w:shd w:val="clear" w:color="auto" w:fill="auto"/>
            <w:vAlign w:val="center"/>
            <w:hideMark/>
          </w:tcPr>
          <w:p w14:paraId="25F4C421" w14:textId="77777777" w:rsidR="005068B5" w:rsidRPr="009605B2" w:rsidRDefault="005068B5" w:rsidP="00816745">
            <w:pPr>
              <w:jc w:val="center"/>
              <w:rPr>
                <w:rFonts w:ascii="Calibri" w:eastAsia="Times New Roman" w:hAnsi="Calibri"/>
                <w:color w:val="000000"/>
                <w:sz w:val="12"/>
                <w:szCs w:val="12"/>
              </w:rPr>
            </w:pPr>
            <w:r w:rsidRPr="009605B2">
              <w:rPr>
                <w:rFonts w:ascii="Calibri" w:eastAsia="Times New Roman" w:hAnsi="Calibri"/>
                <w:color w:val="000000"/>
                <w:sz w:val="12"/>
                <w:szCs w:val="12"/>
              </w:rPr>
              <w:t>20000</w:t>
            </w:r>
          </w:p>
        </w:tc>
        <w:tc>
          <w:tcPr>
            <w:tcW w:w="672" w:type="dxa"/>
            <w:tcBorders>
              <w:top w:val="nil"/>
              <w:left w:val="nil"/>
              <w:bottom w:val="single" w:sz="8" w:space="0" w:color="auto"/>
              <w:right w:val="single" w:sz="8" w:space="0" w:color="auto"/>
            </w:tcBorders>
            <w:shd w:val="clear" w:color="auto" w:fill="auto"/>
            <w:vAlign w:val="center"/>
            <w:hideMark/>
          </w:tcPr>
          <w:p w14:paraId="3A14DEDC" w14:textId="77777777" w:rsidR="005068B5" w:rsidRPr="009605B2" w:rsidRDefault="005068B5" w:rsidP="00816745">
            <w:pPr>
              <w:jc w:val="center"/>
              <w:rPr>
                <w:rFonts w:ascii="Calibri" w:eastAsia="Times New Roman" w:hAnsi="Calibri"/>
                <w:color w:val="000000"/>
                <w:sz w:val="12"/>
                <w:szCs w:val="12"/>
              </w:rPr>
            </w:pPr>
            <w:r>
              <w:rPr>
                <w:rFonts w:ascii="Calibri" w:eastAsia="Times New Roman" w:hAnsi="Calibri"/>
                <w:color w:val="000000"/>
                <w:sz w:val="12"/>
                <w:szCs w:val="12"/>
              </w:rPr>
              <w:t>N/A</w:t>
            </w:r>
          </w:p>
        </w:tc>
        <w:tc>
          <w:tcPr>
            <w:tcW w:w="698" w:type="dxa"/>
            <w:tcBorders>
              <w:top w:val="nil"/>
              <w:left w:val="nil"/>
              <w:bottom w:val="single" w:sz="8" w:space="0" w:color="auto"/>
              <w:right w:val="single" w:sz="8" w:space="0" w:color="auto"/>
            </w:tcBorders>
            <w:shd w:val="clear" w:color="auto" w:fill="auto"/>
            <w:vAlign w:val="center"/>
            <w:hideMark/>
          </w:tcPr>
          <w:p w14:paraId="4DB67297" w14:textId="77777777" w:rsidR="005068B5" w:rsidRPr="009605B2" w:rsidRDefault="005068B5" w:rsidP="00816745">
            <w:pPr>
              <w:jc w:val="center"/>
              <w:rPr>
                <w:rFonts w:ascii="Calibri" w:eastAsia="Times New Roman" w:hAnsi="Calibri"/>
                <w:color w:val="000000"/>
                <w:sz w:val="12"/>
                <w:szCs w:val="12"/>
              </w:rPr>
            </w:pPr>
            <w:r>
              <w:rPr>
                <w:rFonts w:ascii="Calibri" w:eastAsia="Times New Roman" w:hAnsi="Calibri"/>
                <w:color w:val="000000"/>
                <w:sz w:val="12"/>
                <w:szCs w:val="12"/>
              </w:rPr>
              <w:t>N/A</w:t>
            </w:r>
          </w:p>
        </w:tc>
      </w:tr>
      <w:tr w:rsidR="005068B5" w:rsidRPr="009605B2" w14:paraId="41540687" w14:textId="77777777" w:rsidTr="00816745">
        <w:trPr>
          <w:trHeight w:val="294"/>
        </w:trPr>
        <w:tc>
          <w:tcPr>
            <w:tcW w:w="2251" w:type="dxa"/>
            <w:tcBorders>
              <w:top w:val="nil"/>
              <w:left w:val="single" w:sz="8" w:space="0" w:color="auto"/>
              <w:bottom w:val="single" w:sz="8" w:space="0" w:color="auto"/>
              <w:right w:val="single" w:sz="8" w:space="0" w:color="auto"/>
            </w:tcBorders>
            <w:shd w:val="clear" w:color="auto" w:fill="auto"/>
            <w:vAlign w:val="center"/>
            <w:hideMark/>
          </w:tcPr>
          <w:p w14:paraId="01060187"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Improve Infrastructure in Distressed Neighborhoods</w:t>
            </w:r>
          </w:p>
        </w:tc>
        <w:tc>
          <w:tcPr>
            <w:tcW w:w="662" w:type="dxa"/>
            <w:tcBorders>
              <w:top w:val="nil"/>
              <w:left w:val="nil"/>
              <w:bottom w:val="single" w:sz="8" w:space="0" w:color="auto"/>
              <w:right w:val="single" w:sz="8" w:space="0" w:color="auto"/>
            </w:tcBorders>
            <w:shd w:val="clear" w:color="auto" w:fill="auto"/>
            <w:vAlign w:val="center"/>
            <w:hideMark/>
          </w:tcPr>
          <w:p w14:paraId="5E754C6B"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NHCD</w:t>
            </w:r>
          </w:p>
        </w:tc>
        <w:tc>
          <w:tcPr>
            <w:tcW w:w="621" w:type="dxa"/>
            <w:tcBorders>
              <w:top w:val="nil"/>
              <w:left w:val="nil"/>
              <w:bottom w:val="single" w:sz="8" w:space="0" w:color="auto"/>
              <w:right w:val="single" w:sz="8" w:space="0" w:color="auto"/>
            </w:tcBorders>
            <w:shd w:val="clear" w:color="auto" w:fill="auto"/>
            <w:vAlign w:val="center"/>
            <w:hideMark/>
          </w:tcPr>
          <w:p w14:paraId="55017D70"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CDBG</w:t>
            </w:r>
          </w:p>
        </w:tc>
        <w:tc>
          <w:tcPr>
            <w:tcW w:w="2074" w:type="dxa"/>
            <w:tcBorders>
              <w:top w:val="nil"/>
              <w:left w:val="nil"/>
              <w:bottom w:val="single" w:sz="8" w:space="0" w:color="auto"/>
              <w:right w:val="single" w:sz="8" w:space="0" w:color="auto"/>
            </w:tcBorders>
            <w:shd w:val="clear" w:color="auto" w:fill="auto"/>
            <w:vAlign w:val="center"/>
            <w:hideMark/>
          </w:tcPr>
          <w:p w14:paraId="35360B74"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Homeless Person Overnight Shelter</w:t>
            </w:r>
          </w:p>
        </w:tc>
        <w:tc>
          <w:tcPr>
            <w:tcW w:w="788" w:type="dxa"/>
            <w:tcBorders>
              <w:top w:val="nil"/>
              <w:left w:val="nil"/>
              <w:bottom w:val="single" w:sz="8" w:space="0" w:color="auto"/>
              <w:right w:val="single" w:sz="8" w:space="0" w:color="auto"/>
            </w:tcBorders>
            <w:shd w:val="clear" w:color="auto" w:fill="auto"/>
            <w:vAlign w:val="center"/>
            <w:hideMark/>
          </w:tcPr>
          <w:p w14:paraId="75622BD7" w14:textId="77777777" w:rsidR="005068B5" w:rsidRPr="009605B2" w:rsidRDefault="005068B5" w:rsidP="00816745">
            <w:pPr>
              <w:jc w:val="center"/>
              <w:rPr>
                <w:rFonts w:ascii="Calibri" w:eastAsia="Times New Roman" w:hAnsi="Calibri"/>
                <w:color w:val="000000"/>
                <w:sz w:val="12"/>
                <w:szCs w:val="12"/>
              </w:rPr>
            </w:pPr>
            <w:r w:rsidRPr="009605B2">
              <w:rPr>
                <w:rFonts w:ascii="Calibri" w:eastAsia="Times New Roman" w:hAnsi="Calibri"/>
                <w:color w:val="000000"/>
                <w:sz w:val="12"/>
                <w:szCs w:val="12"/>
              </w:rPr>
              <w:t>Persons Assisted</w:t>
            </w:r>
          </w:p>
        </w:tc>
        <w:tc>
          <w:tcPr>
            <w:tcW w:w="763" w:type="dxa"/>
            <w:tcBorders>
              <w:top w:val="nil"/>
              <w:left w:val="nil"/>
              <w:bottom w:val="single" w:sz="8" w:space="0" w:color="auto"/>
              <w:right w:val="single" w:sz="8" w:space="0" w:color="auto"/>
            </w:tcBorders>
            <w:shd w:val="clear" w:color="auto" w:fill="auto"/>
            <w:vAlign w:val="center"/>
            <w:hideMark/>
          </w:tcPr>
          <w:p w14:paraId="5238DAFA" w14:textId="77777777" w:rsidR="005068B5" w:rsidRPr="00A60631" w:rsidRDefault="005068B5" w:rsidP="00816745">
            <w:pPr>
              <w:jc w:val="center"/>
              <w:rPr>
                <w:rFonts w:ascii="Calibri" w:eastAsia="Times New Roman" w:hAnsi="Calibri"/>
                <w:color w:val="000000"/>
                <w:sz w:val="12"/>
                <w:szCs w:val="12"/>
              </w:rPr>
            </w:pPr>
            <w:r w:rsidRPr="00A60631">
              <w:rPr>
                <w:rFonts w:ascii="Calibri" w:eastAsia="Times New Roman" w:hAnsi="Calibri"/>
                <w:color w:val="000000"/>
                <w:sz w:val="12"/>
                <w:szCs w:val="12"/>
              </w:rPr>
              <w:t>0</w:t>
            </w:r>
          </w:p>
        </w:tc>
        <w:tc>
          <w:tcPr>
            <w:tcW w:w="763" w:type="dxa"/>
            <w:tcBorders>
              <w:top w:val="nil"/>
              <w:left w:val="nil"/>
              <w:bottom w:val="single" w:sz="8" w:space="0" w:color="auto"/>
              <w:right w:val="single" w:sz="8" w:space="0" w:color="auto"/>
            </w:tcBorders>
            <w:shd w:val="clear" w:color="auto" w:fill="auto"/>
            <w:vAlign w:val="center"/>
            <w:hideMark/>
          </w:tcPr>
          <w:p w14:paraId="6A359D08" w14:textId="77777777" w:rsidR="005068B5" w:rsidRPr="00A60631" w:rsidRDefault="005068B5" w:rsidP="00816745">
            <w:pPr>
              <w:jc w:val="center"/>
              <w:rPr>
                <w:rFonts w:ascii="Calibri" w:eastAsia="Times New Roman" w:hAnsi="Calibri"/>
                <w:color w:val="000000"/>
                <w:sz w:val="12"/>
                <w:szCs w:val="12"/>
              </w:rPr>
            </w:pPr>
            <w:r w:rsidRPr="00A60631">
              <w:rPr>
                <w:rFonts w:ascii="Calibri" w:eastAsia="Times New Roman" w:hAnsi="Calibri"/>
                <w:color w:val="000000"/>
                <w:sz w:val="12"/>
                <w:szCs w:val="12"/>
              </w:rPr>
              <w:t>N/A</w:t>
            </w:r>
          </w:p>
        </w:tc>
        <w:tc>
          <w:tcPr>
            <w:tcW w:w="698" w:type="dxa"/>
            <w:tcBorders>
              <w:top w:val="nil"/>
              <w:left w:val="nil"/>
              <w:bottom w:val="single" w:sz="8" w:space="0" w:color="auto"/>
              <w:right w:val="single" w:sz="8" w:space="0" w:color="auto"/>
            </w:tcBorders>
            <w:shd w:val="clear" w:color="auto" w:fill="auto"/>
            <w:vAlign w:val="center"/>
            <w:hideMark/>
          </w:tcPr>
          <w:p w14:paraId="25D6318C" w14:textId="77777777" w:rsidR="005068B5" w:rsidRPr="00A60631" w:rsidRDefault="005068B5" w:rsidP="00816745">
            <w:pPr>
              <w:jc w:val="center"/>
              <w:rPr>
                <w:rFonts w:ascii="Calibri" w:eastAsia="Times New Roman" w:hAnsi="Calibri"/>
                <w:color w:val="000000"/>
                <w:sz w:val="12"/>
                <w:szCs w:val="12"/>
              </w:rPr>
            </w:pPr>
            <w:r w:rsidRPr="00A60631">
              <w:rPr>
                <w:rFonts w:ascii="Calibri" w:eastAsia="Times New Roman" w:hAnsi="Calibri"/>
                <w:color w:val="000000"/>
                <w:sz w:val="12"/>
                <w:szCs w:val="12"/>
              </w:rPr>
              <w:t>N/A</w:t>
            </w:r>
          </w:p>
        </w:tc>
        <w:tc>
          <w:tcPr>
            <w:tcW w:w="672" w:type="dxa"/>
            <w:tcBorders>
              <w:top w:val="nil"/>
              <w:left w:val="nil"/>
              <w:bottom w:val="single" w:sz="8" w:space="0" w:color="auto"/>
              <w:right w:val="single" w:sz="8" w:space="0" w:color="auto"/>
            </w:tcBorders>
            <w:shd w:val="clear" w:color="auto" w:fill="auto"/>
            <w:vAlign w:val="center"/>
            <w:hideMark/>
          </w:tcPr>
          <w:p w14:paraId="25378215" w14:textId="77777777" w:rsidR="005068B5" w:rsidRPr="009605B2" w:rsidRDefault="005068B5" w:rsidP="00816745">
            <w:pPr>
              <w:jc w:val="center"/>
              <w:rPr>
                <w:rFonts w:ascii="Calibri" w:eastAsia="Times New Roman" w:hAnsi="Calibri"/>
                <w:color w:val="000000"/>
                <w:sz w:val="12"/>
                <w:szCs w:val="12"/>
              </w:rPr>
            </w:pPr>
            <w:r w:rsidRPr="009605B2">
              <w:rPr>
                <w:rFonts w:ascii="Calibri" w:eastAsia="Times New Roman" w:hAnsi="Calibri"/>
                <w:color w:val="000000"/>
                <w:sz w:val="12"/>
                <w:szCs w:val="12"/>
              </w:rPr>
              <w:t>0</w:t>
            </w:r>
          </w:p>
        </w:tc>
        <w:tc>
          <w:tcPr>
            <w:tcW w:w="672" w:type="dxa"/>
            <w:tcBorders>
              <w:top w:val="nil"/>
              <w:left w:val="nil"/>
              <w:bottom w:val="single" w:sz="8" w:space="0" w:color="auto"/>
              <w:right w:val="single" w:sz="8" w:space="0" w:color="auto"/>
            </w:tcBorders>
            <w:shd w:val="clear" w:color="auto" w:fill="auto"/>
            <w:vAlign w:val="center"/>
            <w:hideMark/>
          </w:tcPr>
          <w:p w14:paraId="5D861846" w14:textId="77777777" w:rsidR="005068B5" w:rsidRPr="009605B2" w:rsidRDefault="005068B5" w:rsidP="00816745">
            <w:pPr>
              <w:jc w:val="center"/>
              <w:rPr>
                <w:rFonts w:ascii="Calibri" w:eastAsia="Times New Roman" w:hAnsi="Calibri"/>
                <w:color w:val="000000"/>
                <w:sz w:val="12"/>
                <w:szCs w:val="12"/>
              </w:rPr>
            </w:pPr>
            <w:r w:rsidRPr="009605B2">
              <w:rPr>
                <w:rFonts w:ascii="Calibri" w:eastAsia="Times New Roman" w:hAnsi="Calibri"/>
                <w:color w:val="000000"/>
                <w:sz w:val="12"/>
                <w:szCs w:val="12"/>
              </w:rPr>
              <w:t>N/A</w:t>
            </w:r>
          </w:p>
        </w:tc>
        <w:tc>
          <w:tcPr>
            <w:tcW w:w="698" w:type="dxa"/>
            <w:tcBorders>
              <w:top w:val="nil"/>
              <w:left w:val="nil"/>
              <w:bottom w:val="single" w:sz="8" w:space="0" w:color="auto"/>
              <w:right w:val="single" w:sz="8" w:space="0" w:color="auto"/>
            </w:tcBorders>
            <w:shd w:val="clear" w:color="auto" w:fill="auto"/>
            <w:vAlign w:val="center"/>
            <w:hideMark/>
          </w:tcPr>
          <w:p w14:paraId="7C5E1B8E" w14:textId="77777777" w:rsidR="005068B5" w:rsidRPr="009605B2" w:rsidRDefault="005068B5" w:rsidP="00816745">
            <w:pPr>
              <w:jc w:val="center"/>
              <w:rPr>
                <w:rFonts w:ascii="Calibri" w:eastAsia="Times New Roman" w:hAnsi="Calibri"/>
                <w:color w:val="000000"/>
                <w:sz w:val="12"/>
                <w:szCs w:val="12"/>
              </w:rPr>
            </w:pPr>
            <w:r w:rsidRPr="009605B2">
              <w:rPr>
                <w:rFonts w:ascii="Calibri" w:eastAsia="Times New Roman" w:hAnsi="Calibri"/>
                <w:color w:val="000000"/>
                <w:sz w:val="12"/>
                <w:szCs w:val="12"/>
              </w:rPr>
              <w:t>N/A</w:t>
            </w:r>
          </w:p>
        </w:tc>
      </w:tr>
      <w:tr w:rsidR="005068B5" w:rsidRPr="009605B2" w14:paraId="53B52101" w14:textId="77777777" w:rsidTr="00816745">
        <w:trPr>
          <w:trHeight w:val="294"/>
        </w:trPr>
        <w:tc>
          <w:tcPr>
            <w:tcW w:w="2251" w:type="dxa"/>
            <w:tcBorders>
              <w:top w:val="nil"/>
              <w:left w:val="single" w:sz="8" w:space="0" w:color="auto"/>
              <w:bottom w:val="single" w:sz="8" w:space="0" w:color="auto"/>
              <w:right w:val="single" w:sz="8" w:space="0" w:color="auto"/>
            </w:tcBorders>
            <w:shd w:val="clear" w:color="auto" w:fill="auto"/>
            <w:vAlign w:val="center"/>
            <w:hideMark/>
          </w:tcPr>
          <w:p w14:paraId="4F8B5145"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Improve Infrastructure in Distressed Neighborhoods</w:t>
            </w:r>
          </w:p>
        </w:tc>
        <w:tc>
          <w:tcPr>
            <w:tcW w:w="662" w:type="dxa"/>
            <w:tcBorders>
              <w:top w:val="nil"/>
              <w:left w:val="nil"/>
              <w:bottom w:val="single" w:sz="8" w:space="0" w:color="auto"/>
              <w:right w:val="single" w:sz="8" w:space="0" w:color="auto"/>
            </w:tcBorders>
            <w:shd w:val="clear" w:color="auto" w:fill="auto"/>
            <w:vAlign w:val="center"/>
            <w:hideMark/>
          </w:tcPr>
          <w:p w14:paraId="2EB990F2"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NHCD</w:t>
            </w:r>
          </w:p>
        </w:tc>
        <w:tc>
          <w:tcPr>
            <w:tcW w:w="621" w:type="dxa"/>
            <w:tcBorders>
              <w:top w:val="nil"/>
              <w:left w:val="nil"/>
              <w:bottom w:val="single" w:sz="8" w:space="0" w:color="auto"/>
              <w:right w:val="single" w:sz="8" w:space="0" w:color="auto"/>
            </w:tcBorders>
            <w:shd w:val="clear" w:color="auto" w:fill="auto"/>
            <w:vAlign w:val="center"/>
            <w:hideMark/>
          </w:tcPr>
          <w:p w14:paraId="1FFA5554"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CDBG</w:t>
            </w:r>
          </w:p>
        </w:tc>
        <w:tc>
          <w:tcPr>
            <w:tcW w:w="2074" w:type="dxa"/>
            <w:tcBorders>
              <w:top w:val="nil"/>
              <w:left w:val="nil"/>
              <w:bottom w:val="single" w:sz="8" w:space="0" w:color="auto"/>
              <w:right w:val="single" w:sz="8" w:space="0" w:color="auto"/>
            </w:tcBorders>
            <w:shd w:val="clear" w:color="auto" w:fill="auto"/>
            <w:vAlign w:val="center"/>
            <w:hideMark/>
          </w:tcPr>
          <w:p w14:paraId="61A840F2"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Overnight/Emergency Shelter/Transitional Housing Beds added</w:t>
            </w:r>
          </w:p>
        </w:tc>
        <w:tc>
          <w:tcPr>
            <w:tcW w:w="788" w:type="dxa"/>
            <w:tcBorders>
              <w:top w:val="nil"/>
              <w:left w:val="nil"/>
              <w:bottom w:val="single" w:sz="8" w:space="0" w:color="auto"/>
              <w:right w:val="single" w:sz="8" w:space="0" w:color="auto"/>
            </w:tcBorders>
            <w:shd w:val="clear" w:color="auto" w:fill="auto"/>
            <w:vAlign w:val="center"/>
            <w:hideMark/>
          </w:tcPr>
          <w:p w14:paraId="0ED05E0E" w14:textId="77777777" w:rsidR="005068B5" w:rsidRPr="009605B2" w:rsidRDefault="005068B5" w:rsidP="00816745">
            <w:pPr>
              <w:jc w:val="center"/>
              <w:rPr>
                <w:rFonts w:ascii="Calibri" w:eastAsia="Times New Roman" w:hAnsi="Calibri"/>
                <w:color w:val="000000"/>
                <w:sz w:val="12"/>
                <w:szCs w:val="12"/>
              </w:rPr>
            </w:pPr>
            <w:r w:rsidRPr="009605B2">
              <w:rPr>
                <w:rFonts w:ascii="Calibri" w:eastAsia="Times New Roman" w:hAnsi="Calibri"/>
                <w:color w:val="000000"/>
                <w:sz w:val="12"/>
                <w:szCs w:val="12"/>
              </w:rPr>
              <w:t>Beds</w:t>
            </w:r>
          </w:p>
        </w:tc>
        <w:tc>
          <w:tcPr>
            <w:tcW w:w="763" w:type="dxa"/>
            <w:tcBorders>
              <w:top w:val="nil"/>
              <w:left w:val="nil"/>
              <w:bottom w:val="single" w:sz="8" w:space="0" w:color="auto"/>
              <w:right w:val="single" w:sz="8" w:space="0" w:color="auto"/>
            </w:tcBorders>
            <w:shd w:val="clear" w:color="auto" w:fill="auto"/>
            <w:vAlign w:val="center"/>
            <w:hideMark/>
          </w:tcPr>
          <w:p w14:paraId="6AB50644" w14:textId="77777777" w:rsidR="005068B5" w:rsidRPr="00A60631" w:rsidRDefault="005068B5" w:rsidP="00816745">
            <w:pPr>
              <w:jc w:val="center"/>
              <w:rPr>
                <w:rFonts w:ascii="Calibri" w:eastAsia="Times New Roman" w:hAnsi="Calibri"/>
                <w:color w:val="000000"/>
                <w:sz w:val="12"/>
                <w:szCs w:val="12"/>
              </w:rPr>
            </w:pPr>
            <w:r w:rsidRPr="00A60631">
              <w:rPr>
                <w:rFonts w:ascii="Calibri" w:eastAsia="Times New Roman" w:hAnsi="Calibri"/>
                <w:color w:val="000000"/>
                <w:sz w:val="12"/>
                <w:szCs w:val="12"/>
              </w:rPr>
              <w:t>0</w:t>
            </w:r>
          </w:p>
        </w:tc>
        <w:tc>
          <w:tcPr>
            <w:tcW w:w="763" w:type="dxa"/>
            <w:tcBorders>
              <w:top w:val="nil"/>
              <w:left w:val="nil"/>
              <w:bottom w:val="single" w:sz="8" w:space="0" w:color="auto"/>
              <w:right w:val="single" w:sz="8" w:space="0" w:color="auto"/>
            </w:tcBorders>
            <w:shd w:val="clear" w:color="auto" w:fill="auto"/>
            <w:vAlign w:val="center"/>
            <w:hideMark/>
          </w:tcPr>
          <w:p w14:paraId="3DBE4DF9" w14:textId="77777777" w:rsidR="005068B5" w:rsidRPr="00A60631" w:rsidRDefault="005068B5" w:rsidP="00816745">
            <w:pPr>
              <w:jc w:val="center"/>
              <w:rPr>
                <w:rFonts w:ascii="Calibri" w:eastAsia="Times New Roman" w:hAnsi="Calibri"/>
                <w:color w:val="000000"/>
                <w:sz w:val="12"/>
                <w:szCs w:val="12"/>
              </w:rPr>
            </w:pPr>
            <w:r w:rsidRPr="00A60631">
              <w:rPr>
                <w:rFonts w:ascii="Calibri" w:eastAsia="Times New Roman" w:hAnsi="Calibri"/>
                <w:color w:val="000000"/>
                <w:sz w:val="12"/>
                <w:szCs w:val="12"/>
              </w:rPr>
              <w:t>N/A</w:t>
            </w:r>
          </w:p>
        </w:tc>
        <w:tc>
          <w:tcPr>
            <w:tcW w:w="698" w:type="dxa"/>
            <w:tcBorders>
              <w:top w:val="nil"/>
              <w:left w:val="nil"/>
              <w:bottom w:val="single" w:sz="8" w:space="0" w:color="auto"/>
              <w:right w:val="single" w:sz="8" w:space="0" w:color="auto"/>
            </w:tcBorders>
            <w:shd w:val="clear" w:color="auto" w:fill="auto"/>
            <w:vAlign w:val="center"/>
            <w:hideMark/>
          </w:tcPr>
          <w:p w14:paraId="48C2192E" w14:textId="77777777" w:rsidR="005068B5" w:rsidRPr="00A60631" w:rsidRDefault="005068B5" w:rsidP="00816745">
            <w:pPr>
              <w:jc w:val="center"/>
              <w:rPr>
                <w:rFonts w:ascii="Calibri" w:eastAsia="Times New Roman" w:hAnsi="Calibri"/>
                <w:color w:val="000000"/>
                <w:sz w:val="12"/>
                <w:szCs w:val="12"/>
              </w:rPr>
            </w:pPr>
            <w:r w:rsidRPr="00A60631">
              <w:rPr>
                <w:rFonts w:ascii="Calibri" w:eastAsia="Times New Roman" w:hAnsi="Calibri"/>
                <w:color w:val="000000"/>
                <w:sz w:val="12"/>
                <w:szCs w:val="12"/>
              </w:rPr>
              <w:t>N/A</w:t>
            </w:r>
          </w:p>
        </w:tc>
        <w:tc>
          <w:tcPr>
            <w:tcW w:w="672" w:type="dxa"/>
            <w:tcBorders>
              <w:top w:val="nil"/>
              <w:left w:val="nil"/>
              <w:bottom w:val="single" w:sz="8" w:space="0" w:color="auto"/>
              <w:right w:val="single" w:sz="8" w:space="0" w:color="auto"/>
            </w:tcBorders>
            <w:shd w:val="clear" w:color="auto" w:fill="auto"/>
            <w:vAlign w:val="center"/>
            <w:hideMark/>
          </w:tcPr>
          <w:p w14:paraId="594CDDBD" w14:textId="77777777" w:rsidR="005068B5" w:rsidRPr="009605B2" w:rsidRDefault="005068B5" w:rsidP="00816745">
            <w:pPr>
              <w:jc w:val="center"/>
              <w:rPr>
                <w:rFonts w:ascii="Calibri" w:eastAsia="Times New Roman" w:hAnsi="Calibri"/>
                <w:color w:val="000000"/>
                <w:sz w:val="12"/>
                <w:szCs w:val="12"/>
              </w:rPr>
            </w:pPr>
            <w:r w:rsidRPr="009605B2">
              <w:rPr>
                <w:rFonts w:ascii="Calibri" w:eastAsia="Times New Roman" w:hAnsi="Calibri"/>
                <w:color w:val="000000"/>
                <w:sz w:val="12"/>
                <w:szCs w:val="12"/>
              </w:rPr>
              <w:t>0</w:t>
            </w:r>
          </w:p>
        </w:tc>
        <w:tc>
          <w:tcPr>
            <w:tcW w:w="672" w:type="dxa"/>
            <w:tcBorders>
              <w:top w:val="nil"/>
              <w:left w:val="nil"/>
              <w:bottom w:val="single" w:sz="8" w:space="0" w:color="auto"/>
              <w:right w:val="single" w:sz="8" w:space="0" w:color="auto"/>
            </w:tcBorders>
            <w:shd w:val="clear" w:color="auto" w:fill="auto"/>
            <w:vAlign w:val="center"/>
            <w:hideMark/>
          </w:tcPr>
          <w:p w14:paraId="74E3884E" w14:textId="77777777" w:rsidR="005068B5" w:rsidRPr="009605B2" w:rsidRDefault="005068B5" w:rsidP="00816745">
            <w:pPr>
              <w:jc w:val="center"/>
              <w:rPr>
                <w:rFonts w:ascii="Calibri" w:eastAsia="Times New Roman" w:hAnsi="Calibri"/>
                <w:color w:val="000000"/>
                <w:sz w:val="12"/>
                <w:szCs w:val="12"/>
              </w:rPr>
            </w:pPr>
            <w:r w:rsidRPr="009605B2">
              <w:rPr>
                <w:rFonts w:ascii="Calibri" w:eastAsia="Times New Roman" w:hAnsi="Calibri"/>
                <w:color w:val="000000"/>
                <w:sz w:val="12"/>
                <w:szCs w:val="12"/>
              </w:rPr>
              <w:t>N/A</w:t>
            </w:r>
          </w:p>
        </w:tc>
        <w:tc>
          <w:tcPr>
            <w:tcW w:w="698" w:type="dxa"/>
            <w:tcBorders>
              <w:top w:val="nil"/>
              <w:left w:val="nil"/>
              <w:bottom w:val="single" w:sz="8" w:space="0" w:color="auto"/>
              <w:right w:val="single" w:sz="8" w:space="0" w:color="auto"/>
            </w:tcBorders>
            <w:shd w:val="clear" w:color="auto" w:fill="auto"/>
            <w:vAlign w:val="center"/>
            <w:hideMark/>
          </w:tcPr>
          <w:p w14:paraId="57F100B6" w14:textId="77777777" w:rsidR="005068B5" w:rsidRPr="009605B2" w:rsidRDefault="005068B5" w:rsidP="00816745">
            <w:pPr>
              <w:jc w:val="center"/>
              <w:rPr>
                <w:rFonts w:ascii="Calibri" w:eastAsia="Times New Roman" w:hAnsi="Calibri"/>
                <w:color w:val="000000"/>
                <w:sz w:val="12"/>
                <w:szCs w:val="12"/>
              </w:rPr>
            </w:pPr>
            <w:r w:rsidRPr="009605B2">
              <w:rPr>
                <w:rFonts w:ascii="Calibri" w:eastAsia="Times New Roman" w:hAnsi="Calibri"/>
                <w:color w:val="000000"/>
                <w:sz w:val="12"/>
                <w:szCs w:val="12"/>
              </w:rPr>
              <w:t>N/A</w:t>
            </w:r>
          </w:p>
        </w:tc>
      </w:tr>
      <w:tr w:rsidR="005068B5" w:rsidRPr="0020194F" w14:paraId="30094660" w14:textId="77777777" w:rsidTr="00816745">
        <w:trPr>
          <w:trHeight w:val="342"/>
        </w:trPr>
        <w:tc>
          <w:tcPr>
            <w:tcW w:w="2298" w:type="dxa"/>
            <w:tcBorders>
              <w:top w:val="nil"/>
              <w:left w:val="single" w:sz="8" w:space="0" w:color="auto"/>
              <w:bottom w:val="single" w:sz="8" w:space="0" w:color="auto"/>
              <w:right w:val="single" w:sz="8" w:space="0" w:color="auto"/>
            </w:tcBorders>
            <w:shd w:val="clear" w:color="auto" w:fill="auto"/>
            <w:vAlign w:val="center"/>
            <w:hideMark/>
          </w:tcPr>
          <w:p w14:paraId="66C009DD"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Improve the Quality of Public Facilities</w:t>
            </w:r>
          </w:p>
        </w:tc>
        <w:tc>
          <w:tcPr>
            <w:tcW w:w="662" w:type="dxa"/>
            <w:tcBorders>
              <w:top w:val="nil"/>
              <w:left w:val="nil"/>
              <w:bottom w:val="single" w:sz="8" w:space="0" w:color="auto"/>
              <w:right w:val="single" w:sz="8" w:space="0" w:color="auto"/>
            </w:tcBorders>
            <w:shd w:val="clear" w:color="auto" w:fill="auto"/>
            <w:vAlign w:val="center"/>
            <w:hideMark/>
          </w:tcPr>
          <w:p w14:paraId="70474FB4"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NHSN</w:t>
            </w:r>
          </w:p>
        </w:tc>
        <w:tc>
          <w:tcPr>
            <w:tcW w:w="622" w:type="dxa"/>
            <w:tcBorders>
              <w:top w:val="nil"/>
              <w:left w:val="nil"/>
              <w:bottom w:val="single" w:sz="8" w:space="0" w:color="auto"/>
              <w:right w:val="single" w:sz="8" w:space="0" w:color="auto"/>
            </w:tcBorders>
            <w:shd w:val="clear" w:color="auto" w:fill="auto"/>
            <w:vAlign w:val="center"/>
            <w:hideMark/>
          </w:tcPr>
          <w:p w14:paraId="7AC9A639"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CDBG</w:t>
            </w:r>
          </w:p>
        </w:tc>
        <w:tc>
          <w:tcPr>
            <w:tcW w:w="2117" w:type="dxa"/>
            <w:tcBorders>
              <w:top w:val="nil"/>
              <w:left w:val="nil"/>
              <w:bottom w:val="single" w:sz="8" w:space="0" w:color="auto"/>
              <w:right w:val="single" w:sz="8" w:space="0" w:color="auto"/>
            </w:tcBorders>
            <w:shd w:val="clear" w:color="auto" w:fill="auto"/>
            <w:vAlign w:val="center"/>
            <w:hideMark/>
          </w:tcPr>
          <w:p w14:paraId="24FAC009"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Public Facility or Infrastructure Activities other than Low/Moderate Income Housing Benefit</w:t>
            </w:r>
          </w:p>
        </w:tc>
        <w:tc>
          <w:tcPr>
            <w:tcW w:w="788" w:type="dxa"/>
            <w:tcBorders>
              <w:top w:val="nil"/>
              <w:left w:val="nil"/>
              <w:bottom w:val="single" w:sz="8" w:space="0" w:color="auto"/>
              <w:right w:val="single" w:sz="8" w:space="0" w:color="auto"/>
            </w:tcBorders>
            <w:shd w:val="clear" w:color="auto" w:fill="auto"/>
            <w:vAlign w:val="center"/>
            <w:hideMark/>
          </w:tcPr>
          <w:p w14:paraId="42A5DF54"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Persons Assisted</w:t>
            </w:r>
          </w:p>
        </w:tc>
        <w:tc>
          <w:tcPr>
            <w:tcW w:w="763" w:type="dxa"/>
            <w:tcBorders>
              <w:top w:val="nil"/>
              <w:left w:val="nil"/>
              <w:bottom w:val="single" w:sz="8" w:space="0" w:color="auto"/>
              <w:right w:val="single" w:sz="8" w:space="0" w:color="auto"/>
            </w:tcBorders>
            <w:shd w:val="clear" w:color="auto" w:fill="auto"/>
            <w:vAlign w:val="center"/>
            <w:hideMark/>
          </w:tcPr>
          <w:p w14:paraId="70756CFC"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1093</w:t>
            </w:r>
          </w:p>
        </w:tc>
        <w:tc>
          <w:tcPr>
            <w:tcW w:w="672" w:type="dxa"/>
            <w:tcBorders>
              <w:top w:val="nil"/>
              <w:left w:val="nil"/>
              <w:bottom w:val="single" w:sz="8" w:space="0" w:color="auto"/>
              <w:right w:val="single" w:sz="8" w:space="0" w:color="auto"/>
            </w:tcBorders>
            <w:shd w:val="clear" w:color="auto" w:fill="auto"/>
            <w:vAlign w:val="center"/>
            <w:hideMark/>
          </w:tcPr>
          <w:p w14:paraId="63E2E6B9"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2665</w:t>
            </w:r>
          </w:p>
        </w:tc>
        <w:tc>
          <w:tcPr>
            <w:tcW w:w="698" w:type="dxa"/>
            <w:tcBorders>
              <w:top w:val="nil"/>
              <w:left w:val="nil"/>
              <w:bottom w:val="single" w:sz="8" w:space="0" w:color="auto"/>
              <w:right w:val="single" w:sz="8" w:space="0" w:color="auto"/>
            </w:tcBorders>
            <w:shd w:val="clear" w:color="auto" w:fill="auto"/>
            <w:vAlign w:val="center"/>
            <w:hideMark/>
          </w:tcPr>
          <w:p w14:paraId="12BA25B2"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244%</w:t>
            </w:r>
          </w:p>
        </w:tc>
        <w:tc>
          <w:tcPr>
            <w:tcW w:w="672" w:type="dxa"/>
            <w:tcBorders>
              <w:top w:val="nil"/>
              <w:left w:val="nil"/>
              <w:bottom w:val="single" w:sz="8" w:space="0" w:color="auto"/>
              <w:right w:val="single" w:sz="8" w:space="0" w:color="auto"/>
            </w:tcBorders>
            <w:shd w:val="clear" w:color="auto" w:fill="auto"/>
            <w:vAlign w:val="center"/>
            <w:hideMark/>
          </w:tcPr>
          <w:p w14:paraId="0A44D304"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72" w:type="dxa"/>
            <w:tcBorders>
              <w:top w:val="nil"/>
              <w:left w:val="nil"/>
              <w:bottom w:val="single" w:sz="8" w:space="0" w:color="auto"/>
              <w:right w:val="single" w:sz="8" w:space="0" w:color="auto"/>
            </w:tcBorders>
            <w:shd w:val="clear" w:color="auto" w:fill="auto"/>
            <w:vAlign w:val="center"/>
            <w:hideMark/>
          </w:tcPr>
          <w:p w14:paraId="0D600085"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98" w:type="dxa"/>
            <w:tcBorders>
              <w:top w:val="nil"/>
              <w:left w:val="nil"/>
              <w:bottom w:val="single" w:sz="8" w:space="0" w:color="auto"/>
              <w:right w:val="single" w:sz="8" w:space="0" w:color="auto"/>
            </w:tcBorders>
            <w:shd w:val="clear" w:color="auto" w:fill="auto"/>
            <w:vAlign w:val="center"/>
            <w:hideMark/>
          </w:tcPr>
          <w:p w14:paraId="3700AD68"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267%</w:t>
            </w:r>
          </w:p>
        </w:tc>
      </w:tr>
      <w:tr w:rsidR="005068B5" w:rsidRPr="0020194F" w14:paraId="02FA13D0" w14:textId="77777777" w:rsidTr="00816745">
        <w:trPr>
          <w:trHeight w:val="294"/>
        </w:trPr>
        <w:tc>
          <w:tcPr>
            <w:tcW w:w="2298" w:type="dxa"/>
            <w:tcBorders>
              <w:top w:val="nil"/>
              <w:left w:val="single" w:sz="8" w:space="0" w:color="auto"/>
              <w:bottom w:val="single" w:sz="8" w:space="0" w:color="auto"/>
              <w:right w:val="single" w:sz="8" w:space="0" w:color="auto"/>
            </w:tcBorders>
            <w:shd w:val="clear" w:color="auto" w:fill="auto"/>
            <w:vAlign w:val="center"/>
            <w:hideMark/>
          </w:tcPr>
          <w:p w14:paraId="6EDD9150"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Improve the Quality of Public Facilities</w:t>
            </w:r>
          </w:p>
        </w:tc>
        <w:tc>
          <w:tcPr>
            <w:tcW w:w="662" w:type="dxa"/>
            <w:tcBorders>
              <w:top w:val="nil"/>
              <w:left w:val="nil"/>
              <w:bottom w:val="single" w:sz="8" w:space="0" w:color="auto"/>
              <w:right w:val="single" w:sz="8" w:space="0" w:color="auto"/>
            </w:tcBorders>
            <w:shd w:val="clear" w:color="auto" w:fill="auto"/>
            <w:vAlign w:val="center"/>
            <w:hideMark/>
          </w:tcPr>
          <w:p w14:paraId="451C8BFE"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NHSN</w:t>
            </w:r>
          </w:p>
        </w:tc>
        <w:tc>
          <w:tcPr>
            <w:tcW w:w="622" w:type="dxa"/>
            <w:tcBorders>
              <w:top w:val="nil"/>
              <w:left w:val="nil"/>
              <w:bottom w:val="single" w:sz="8" w:space="0" w:color="auto"/>
              <w:right w:val="single" w:sz="8" w:space="0" w:color="auto"/>
            </w:tcBorders>
            <w:shd w:val="clear" w:color="auto" w:fill="auto"/>
            <w:vAlign w:val="center"/>
            <w:hideMark/>
          </w:tcPr>
          <w:p w14:paraId="733378B2"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CDBG</w:t>
            </w:r>
          </w:p>
        </w:tc>
        <w:tc>
          <w:tcPr>
            <w:tcW w:w="2117" w:type="dxa"/>
            <w:tcBorders>
              <w:top w:val="nil"/>
              <w:left w:val="nil"/>
              <w:bottom w:val="single" w:sz="8" w:space="0" w:color="auto"/>
              <w:right w:val="single" w:sz="8" w:space="0" w:color="auto"/>
            </w:tcBorders>
            <w:shd w:val="clear" w:color="auto" w:fill="auto"/>
            <w:vAlign w:val="center"/>
            <w:hideMark/>
          </w:tcPr>
          <w:p w14:paraId="18AA344F"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Public Facility or Infrastructure Activities for Low/Moderate Income Housing Benefit</w:t>
            </w:r>
          </w:p>
        </w:tc>
        <w:tc>
          <w:tcPr>
            <w:tcW w:w="788" w:type="dxa"/>
            <w:tcBorders>
              <w:top w:val="nil"/>
              <w:left w:val="nil"/>
              <w:bottom w:val="single" w:sz="8" w:space="0" w:color="auto"/>
              <w:right w:val="single" w:sz="8" w:space="0" w:color="auto"/>
            </w:tcBorders>
            <w:shd w:val="clear" w:color="auto" w:fill="auto"/>
            <w:vAlign w:val="center"/>
            <w:hideMark/>
          </w:tcPr>
          <w:p w14:paraId="54A5870D"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Households Assisted</w:t>
            </w:r>
          </w:p>
        </w:tc>
        <w:tc>
          <w:tcPr>
            <w:tcW w:w="763" w:type="dxa"/>
            <w:tcBorders>
              <w:top w:val="nil"/>
              <w:left w:val="nil"/>
              <w:bottom w:val="single" w:sz="8" w:space="0" w:color="auto"/>
              <w:right w:val="single" w:sz="8" w:space="0" w:color="auto"/>
            </w:tcBorders>
            <w:shd w:val="clear" w:color="auto" w:fill="auto"/>
            <w:vAlign w:val="center"/>
            <w:hideMark/>
          </w:tcPr>
          <w:p w14:paraId="6D3ADB15"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0</w:t>
            </w:r>
          </w:p>
        </w:tc>
        <w:tc>
          <w:tcPr>
            <w:tcW w:w="672" w:type="dxa"/>
            <w:tcBorders>
              <w:top w:val="nil"/>
              <w:left w:val="nil"/>
              <w:bottom w:val="single" w:sz="8" w:space="0" w:color="auto"/>
              <w:right w:val="single" w:sz="8" w:space="0" w:color="auto"/>
            </w:tcBorders>
            <w:shd w:val="clear" w:color="auto" w:fill="auto"/>
            <w:vAlign w:val="center"/>
            <w:hideMark/>
          </w:tcPr>
          <w:p w14:paraId="05F39AE9"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98" w:type="dxa"/>
            <w:tcBorders>
              <w:top w:val="nil"/>
              <w:left w:val="nil"/>
              <w:bottom w:val="single" w:sz="8" w:space="0" w:color="auto"/>
              <w:right w:val="single" w:sz="8" w:space="0" w:color="auto"/>
            </w:tcBorders>
            <w:shd w:val="clear" w:color="auto" w:fill="auto"/>
            <w:vAlign w:val="center"/>
            <w:hideMark/>
          </w:tcPr>
          <w:p w14:paraId="6D8A8DDF"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72" w:type="dxa"/>
            <w:tcBorders>
              <w:top w:val="nil"/>
              <w:left w:val="nil"/>
              <w:bottom w:val="single" w:sz="8" w:space="0" w:color="auto"/>
              <w:right w:val="single" w:sz="8" w:space="0" w:color="auto"/>
            </w:tcBorders>
            <w:shd w:val="clear" w:color="auto" w:fill="auto"/>
            <w:vAlign w:val="center"/>
            <w:hideMark/>
          </w:tcPr>
          <w:p w14:paraId="77718ACF"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72" w:type="dxa"/>
            <w:tcBorders>
              <w:top w:val="nil"/>
              <w:left w:val="nil"/>
              <w:bottom w:val="single" w:sz="8" w:space="0" w:color="auto"/>
              <w:right w:val="single" w:sz="8" w:space="0" w:color="auto"/>
            </w:tcBorders>
            <w:shd w:val="clear" w:color="auto" w:fill="auto"/>
            <w:vAlign w:val="center"/>
            <w:hideMark/>
          </w:tcPr>
          <w:p w14:paraId="59E72F7E"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98" w:type="dxa"/>
            <w:tcBorders>
              <w:top w:val="nil"/>
              <w:left w:val="nil"/>
              <w:bottom w:val="single" w:sz="8" w:space="0" w:color="auto"/>
              <w:right w:val="single" w:sz="8" w:space="0" w:color="auto"/>
            </w:tcBorders>
            <w:shd w:val="clear" w:color="auto" w:fill="auto"/>
            <w:vAlign w:val="center"/>
            <w:hideMark/>
          </w:tcPr>
          <w:p w14:paraId="1515DE33"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r>
      <w:tr w:rsidR="005068B5" w:rsidRPr="0020194F" w14:paraId="12DC7728" w14:textId="77777777" w:rsidTr="00816745">
        <w:trPr>
          <w:trHeight w:val="294"/>
        </w:trPr>
        <w:tc>
          <w:tcPr>
            <w:tcW w:w="2251" w:type="dxa"/>
            <w:tcBorders>
              <w:top w:val="nil"/>
              <w:left w:val="single" w:sz="8" w:space="0" w:color="auto"/>
              <w:bottom w:val="single" w:sz="8" w:space="0" w:color="auto"/>
              <w:right w:val="single" w:sz="8" w:space="0" w:color="auto"/>
            </w:tcBorders>
            <w:shd w:val="clear" w:color="auto" w:fill="auto"/>
            <w:vAlign w:val="center"/>
            <w:hideMark/>
          </w:tcPr>
          <w:p w14:paraId="4ED6B867"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Improve the Quality of Public Facilities</w:t>
            </w:r>
          </w:p>
        </w:tc>
        <w:tc>
          <w:tcPr>
            <w:tcW w:w="662" w:type="dxa"/>
            <w:tcBorders>
              <w:top w:val="nil"/>
              <w:left w:val="nil"/>
              <w:bottom w:val="single" w:sz="8" w:space="0" w:color="auto"/>
              <w:right w:val="single" w:sz="8" w:space="0" w:color="auto"/>
            </w:tcBorders>
            <w:shd w:val="clear" w:color="auto" w:fill="auto"/>
            <w:vAlign w:val="center"/>
            <w:hideMark/>
          </w:tcPr>
          <w:p w14:paraId="1E6D16D9"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NHSN</w:t>
            </w:r>
          </w:p>
        </w:tc>
        <w:tc>
          <w:tcPr>
            <w:tcW w:w="621" w:type="dxa"/>
            <w:tcBorders>
              <w:top w:val="nil"/>
              <w:left w:val="nil"/>
              <w:bottom w:val="single" w:sz="8" w:space="0" w:color="auto"/>
              <w:right w:val="single" w:sz="8" w:space="0" w:color="auto"/>
            </w:tcBorders>
            <w:shd w:val="clear" w:color="auto" w:fill="auto"/>
            <w:vAlign w:val="center"/>
            <w:hideMark/>
          </w:tcPr>
          <w:p w14:paraId="5A123BA0"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CDBG</w:t>
            </w:r>
          </w:p>
        </w:tc>
        <w:tc>
          <w:tcPr>
            <w:tcW w:w="2074" w:type="dxa"/>
            <w:tcBorders>
              <w:top w:val="nil"/>
              <w:left w:val="nil"/>
              <w:bottom w:val="single" w:sz="8" w:space="0" w:color="auto"/>
              <w:right w:val="single" w:sz="8" w:space="0" w:color="auto"/>
            </w:tcBorders>
            <w:shd w:val="clear" w:color="auto" w:fill="auto"/>
            <w:vAlign w:val="center"/>
            <w:hideMark/>
          </w:tcPr>
          <w:p w14:paraId="08865D31"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Homeless Person Overnight Shelter</w:t>
            </w:r>
          </w:p>
        </w:tc>
        <w:tc>
          <w:tcPr>
            <w:tcW w:w="788" w:type="dxa"/>
            <w:tcBorders>
              <w:top w:val="nil"/>
              <w:left w:val="nil"/>
              <w:bottom w:val="single" w:sz="8" w:space="0" w:color="auto"/>
              <w:right w:val="single" w:sz="8" w:space="0" w:color="auto"/>
            </w:tcBorders>
            <w:shd w:val="clear" w:color="auto" w:fill="auto"/>
            <w:vAlign w:val="center"/>
            <w:hideMark/>
          </w:tcPr>
          <w:p w14:paraId="25B1E224"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Persons Assisted</w:t>
            </w:r>
          </w:p>
        </w:tc>
        <w:tc>
          <w:tcPr>
            <w:tcW w:w="763" w:type="dxa"/>
            <w:tcBorders>
              <w:top w:val="nil"/>
              <w:left w:val="nil"/>
              <w:bottom w:val="single" w:sz="8" w:space="0" w:color="auto"/>
              <w:right w:val="single" w:sz="8" w:space="0" w:color="auto"/>
            </w:tcBorders>
            <w:shd w:val="clear" w:color="auto" w:fill="auto"/>
            <w:vAlign w:val="center"/>
            <w:hideMark/>
          </w:tcPr>
          <w:p w14:paraId="343D418A"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0</w:t>
            </w:r>
          </w:p>
        </w:tc>
        <w:tc>
          <w:tcPr>
            <w:tcW w:w="763" w:type="dxa"/>
            <w:tcBorders>
              <w:top w:val="nil"/>
              <w:left w:val="nil"/>
              <w:bottom w:val="single" w:sz="8" w:space="0" w:color="auto"/>
              <w:right w:val="single" w:sz="8" w:space="0" w:color="auto"/>
            </w:tcBorders>
            <w:shd w:val="clear" w:color="auto" w:fill="auto"/>
            <w:vAlign w:val="center"/>
            <w:hideMark/>
          </w:tcPr>
          <w:p w14:paraId="2D082965"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98" w:type="dxa"/>
            <w:tcBorders>
              <w:top w:val="nil"/>
              <w:left w:val="nil"/>
              <w:bottom w:val="single" w:sz="8" w:space="0" w:color="auto"/>
              <w:right w:val="single" w:sz="8" w:space="0" w:color="auto"/>
            </w:tcBorders>
            <w:shd w:val="clear" w:color="auto" w:fill="auto"/>
            <w:vAlign w:val="center"/>
            <w:hideMark/>
          </w:tcPr>
          <w:p w14:paraId="2D28CE80"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72" w:type="dxa"/>
            <w:tcBorders>
              <w:top w:val="nil"/>
              <w:left w:val="nil"/>
              <w:bottom w:val="single" w:sz="8" w:space="0" w:color="auto"/>
              <w:right w:val="single" w:sz="8" w:space="0" w:color="auto"/>
            </w:tcBorders>
            <w:shd w:val="clear" w:color="auto" w:fill="auto"/>
            <w:vAlign w:val="center"/>
            <w:hideMark/>
          </w:tcPr>
          <w:p w14:paraId="1186D0EE"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72" w:type="dxa"/>
            <w:tcBorders>
              <w:top w:val="nil"/>
              <w:left w:val="nil"/>
              <w:bottom w:val="single" w:sz="8" w:space="0" w:color="auto"/>
              <w:right w:val="single" w:sz="8" w:space="0" w:color="auto"/>
            </w:tcBorders>
            <w:shd w:val="clear" w:color="auto" w:fill="auto"/>
            <w:vAlign w:val="center"/>
            <w:hideMark/>
          </w:tcPr>
          <w:p w14:paraId="7C09F86C"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98" w:type="dxa"/>
            <w:tcBorders>
              <w:top w:val="nil"/>
              <w:left w:val="nil"/>
              <w:bottom w:val="single" w:sz="8" w:space="0" w:color="auto"/>
              <w:right w:val="single" w:sz="8" w:space="0" w:color="auto"/>
            </w:tcBorders>
            <w:shd w:val="clear" w:color="auto" w:fill="auto"/>
            <w:vAlign w:val="center"/>
            <w:hideMark/>
          </w:tcPr>
          <w:p w14:paraId="258C4FC1"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r>
      <w:tr w:rsidR="005068B5" w:rsidRPr="0020194F" w14:paraId="4C1EBB66" w14:textId="77777777" w:rsidTr="00816745">
        <w:trPr>
          <w:trHeight w:val="294"/>
        </w:trPr>
        <w:tc>
          <w:tcPr>
            <w:tcW w:w="2251" w:type="dxa"/>
            <w:tcBorders>
              <w:top w:val="nil"/>
              <w:left w:val="single" w:sz="8" w:space="0" w:color="auto"/>
              <w:bottom w:val="single" w:sz="8" w:space="0" w:color="auto"/>
              <w:right w:val="single" w:sz="8" w:space="0" w:color="auto"/>
            </w:tcBorders>
            <w:shd w:val="clear" w:color="auto" w:fill="auto"/>
            <w:vAlign w:val="center"/>
            <w:hideMark/>
          </w:tcPr>
          <w:p w14:paraId="2ED3FD6B"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Improve the Quality of Public Facilities</w:t>
            </w:r>
          </w:p>
        </w:tc>
        <w:tc>
          <w:tcPr>
            <w:tcW w:w="662" w:type="dxa"/>
            <w:tcBorders>
              <w:top w:val="nil"/>
              <w:left w:val="nil"/>
              <w:bottom w:val="single" w:sz="8" w:space="0" w:color="auto"/>
              <w:right w:val="single" w:sz="8" w:space="0" w:color="auto"/>
            </w:tcBorders>
            <w:shd w:val="clear" w:color="auto" w:fill="auto"/>
            <w:vAlign w:val="center"/>
            <w:hideMark/>
          </w:tcPr>
          <w:p w14:paraId="15ADBB14"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NHSN</w:t>
            </w:r>
          </w:p>
        </w:tc>
        <w:tc>
          <w:tcPr>
            <w:tcW w:w="621" w:type="dxa"/>
            <w:tcBorders>
              <w:top w:val="nil"/>
              <w:left w:val="nil"/>
              <w:bottom w:val="single" w:sz="8" w:space="0" w:color="auto"/>
              <w:right w:val="single" w:sz="8" w:space="0" w:color="auto"/>
            </w:tcBorders>
            <w:shd w:val="clear" w:color="auto" w:fill="auto"/>
            <w:vAlign w:val="center"/>
            <w:hideMark/>
          </w:tcPr>
          <w:p w14:paraId="44EEB380"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CDBG</w:t>
            </w:r>
          </w:p>
        </w:tc>
        <w:tc>
          <w:tcPr>
            <w:tcW w:w="2074" w:type="dxa"/>
            <w:tcBorders>
              <w:top w:val="nil"/>
              <w:left w:val="nil"/>
              <w:bottom w:val="single" w:sz="8" w:space="0" w:color="auto"/>
              <w:right w:val="single" w:sz="8" w:space="0" w:color="auto"/>
            </w:tcBorders>
            <w:shd w:val="clear" w:color="auto" w:fill="auto"/>
            <w:vAlign w:val="center"/>
            <w:hideMark/>
          </w:tcPr>
          <w:p w14:paraId="1469090C"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Overnight/Emergency Shelter/Transitional Housing Beds added</w:t>
            </w:r>
          </w:p>
        </w:tc>
        <w:tc>
          <w:tcPr>
            <w:tcW w:w="788" w:type="dxa"/>
            <w:tcBorders>
              <w:top w:val="nil"/>
              <w:left w:val="nil"/>
              <w:bottom w:val="single" w:sz="8" w:space="0" w:color="auto"/>
              <w:right w:val="single" w:sz="8" w:space="0" w:color="auto"/>
            </w:tcBorders>
            <w:shd w:val="clear" w:color="auto" w:fill="auto"/>
            <w:vAlign w:val="center"/>
            <w:hideMark/>
          </w:tcPr>
          <w:p w14:paraId="1C8CD925"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Beds</w:t>
            </w:r>
          </w:p>
        </w:tc>
        <w:tc>
          <w:tcPr>
            <w:tcW w:w="763" w:type="dxa"/>
            <w:tcBorders>
              <w:top w:val="nil"/>
              <w:left w:val="nil"/>
              <w:bottom w:val="single" w:sz="8" w:space="0" w:color="auto"/>
              <w:right w:val="single" w:sz="8" w:space="0" w:color="auto"/>
            </w:tcBorders>
            <w:shd w:val="clear" w:color="auto" w:fill="auto"/>
            <w:vAlign w:val="center"/>
            <w:hideMark/>
          </w:tcPr>
          <w:p w14:paraId="6273145D"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0</w:t>
            </w:r>
          </w:p>
        </w:tc>
        <w:tc>
          <w:tcPr>
            <w:tcW w:w="763" w:type="dxa"/>
            <w:tcBorders>
              <w:top w:val="nil"/>
              <w:left w:val="nil"/>
              <w:bottom w:val="single" w:sz="8" w:space="0" w:color="auto"/>
              <w:right w:val="single" w:sz="8" w:space="0" w:color="auto"/>
            </w:tcBorders>
            <w:shd w:val="clear" w:color="auto" w:fill="auto"/>
            <w:vAlign w:val="center"/>
            <w:hideMark/>
          </w:tcPr>
          <w:p w14:paraId="73E12F44"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98" w:type="dxa"/>
            <w:tcBorders>
              <w:top w:val="nil"/>
              <w:left w:val="nil"/>
              <w:bottom w:val="single" w:sz="8" w:space="0" w:color="auto"/>
              <w:right w:val="single" w:sz="8" w:space="0" w:color="auto"/>
            </w:tcBorders>
            <w:shd w:val="clear" w:color="auto" w:fill="auto"/>
            <w:vAlign w:val="center"/>
            <w:hideMark/>
          </w:tcPr>
          <w:p w14:paraId="20DF2ABB"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72" w:type="dxa"/>
            <w:tcBorders>
              <w:top w:val="nil"/>
              <w:left w:val="nil"/>
              <w:bottom w:val="single" w:sz="8" w:space="0" w:color="auto"/>
              <w:right w:val="single" w:sz="8" w:space="0" w:color="auto"/>
            </w:tcBorders>
            <w:shd w:val="clear" w:color="auto" w:fill="auto"/>
            <w:vAlign w:val="center"/>
            <w:hideMark/>
          </w:tcPr>
          <w:p w14:paraId="2C77187C"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72" w:type="dxa"/>
            <w:tcBorders>
              <w:top w:val="nil"/>
              <w:left w:val="nil"/>
              <w:bottom w:val="single" w:sz="8" w:space="0" w:color="auto"/>
              <w:right w:val="single" w:sz="8" w:space="0" w:color="auto"/>
            </w:tcBorders>
            <w:shd w:val="clear" w:color="auto" w:fill="auto"/>
            <w:vAlign w:val="center"/>
            <w:hideMark/>
          </w:tcPr>
          <w:p w14:paraId="6FF30AA3"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98" w:type="dxa"/>
            <w:tcBorders>
              <w:top w:val="nil"/>
              <w:left w:val="nil"/>
              <w:bottom w:val="single" w:sz="8" w:space="0" w:color="auto"/>
              <w:right w:val="single" w:sz="8" w:space="0" w:color="auto"/>
            </w:tcBorders>
            <w:shd w:val="clear" w:color="auto" w:fill="auto"/>
            <w:vAlign w:val="center"/>
            <w:hideMark/>
          </w:tcPr>
          <w:p w14:paraId="59EBF4E4"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r>
      <w:tr w:rsidR="005068B5" w:rsidRPr="0020194F" w14:paraId="457F6D7E" w14:textId="77777777" w:rsidTr="00816745">
        <w:trPr>
          <w:trHeight w:val="294"/>
        </w:trPr>
        <w:tc>
          <w:tcPr>
            <w:tcW w:w="2251" w:type="dxa"/>
            <w:tcBorders>
              <w:top w:val="nil"/>
              <w:left w:val="single" w:sz="8" w:space="0" w:color="auto"/>
              <w:bottom w:val="single" w:sz="8" w:space="0" w:color="auto"/>
              <w:right w:val="single" w:sz="8" w:space="0" w:color="auto"/>
            </w:tcBorders>
            <w:shd w:val="clear" w:color="auto" w:fill="auto"/>
            <w:vAlign w:val="center"/>
            <w:hideMark/>
          </w:tcPr>
          <w:p w14:paraId="52081976"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Provide Day-to-Day Services for the Homeless</w:t>
            </w:r>
          </w:p>
        </w:tc>
        <w:tc>
          <w:tcPr>
            <w:tcW w:w="662" w:type="dxa"/>
            <w:tcBorders>
              <w:top w:val="nil"/>
              <w:left w:val="nil"/>
              <w:bottom w:val="single" w:sz="8" w:space="0" w:color="auto"/>
              <w:right w:val="single" w:sz="8" w:space="0" w:color="auto"/>
            </w:tcBorders>
            <w:shd w:val="clear" w:color="auto" w:fill="auto"/>
            <w:vAlign w:val="center"/>
            <w:hideMark/>
          </w:tcPr>
          <w:p w14:paraId="1BC5A2CE"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 xml:space="preserve">H </w:t>
            </w:r>
          </w:p>
        </w:tc>
        <w:tc>
          <w:tcPr>
            <w:tcW w:w="621" w:type="dxa"/>
            <w:tcBorders>
              <w:top w:val="nil"/>
              <w:left w:val="nil"/>
              <w:bottom w:val="single" w:sz="8" w:space="0" w:color="auto"/>
              <w:right w:val="single" w:sz="8" w:space="0" w:color="auto"/>
            </w:tcBorders>
            <w:shd w:val="clear" w:color="auto" w:fill="auto"/>
            <w:vAlign w:val="center"/>
            <w:hideMark/>
          </w:tcPr>
          <w:p w14:paraId="080371A3"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CDBG</w:t>
            </w:r>
            <w:r w:rsidRPr="009605B2">
              <w:rPr>
                <w:rFonts w:ascii="Calibri" w:eastAsia="Times New Roman" w:hAnsi="Calibri"/>
                <w:color w:val="000000"/>
                <w:sz w:val="12"/>
                <w:szCs w:val="12"/>
              </w:rPr>
              <w:br/>
              <w:t>ESG</w:t>
            </w:r>
          </w:p>
        </w:tc>
        <w:tc>
          <w:tcPr>
            <w:tcW w:w="2074" w:type="dxa"/>
            <w:tcBorders>
              <w:top w:val="nil"/>
              <w:left w:val="nil"/>
              <w:bottom w:val="single" w:sz="8" w:space="0" w:color="auto"/>
              <w:right w:val="single" w:sz="8" w:space="0" w:color="auto"/>
            </w:tcBorders>
            <w:shd w:val="clear" w:color="auto" w:fill="auto"/>
            <w:vAlign w:val="center"/>
            <w:hideMark/>
          </w:tcPr>
          <w:p w14:paraId="072B218E"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Public service activities other than Low/Moderate Income Housing Benefit</w:t>
            </w:r>
          </w:p>
        </w:tc>
        <w:tc>
          <w:tcPr>
            <w:tcW w:w="788" w:type="dxa"/>
            <w:tcBorders>
              <w:top w:val="nil"/>
              <w:left w:val="nil"/>
              <w:bottom w:val="single" w:sz="8" w:space="0" w:color="auto"/>
              <w:right w:val="single" w:sz="8" w:space="0" w:color="auto"/>
            </w:tcBorders>
            <w:shd w:val="clear" w:color="auto" w:fill="auto"/>
            <w:vAlign w:val="center"/>
            <w:hideMark/>
          </w:tcPr>
          <w:p w14:paraId="1CB305ED"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Persons Assisted</w:t>
            </w:r>
          </w:p>
        </w:tc>
        <w:tc>
          <w:tcPr>
            <w:tcW w:w="763" w:type="dxa"/>
            <w:tcBorders>
              <w:top w:val="nil"/>
              <w:left w:val="nil"/>
              <w:bottom w:val="single" w:sz="8" w:space="0" w:color="auto"/>
              <w:right w:val="single" w:sz="8" w:space="0" w:color="auto"/>
            </w:tcBorders>
            <w:shd w:val="clear" w:color="auto" w:fill="auto"/>
            <w:vAlign w:val="center"/>
            <w:hideMark/>
          </w:tcPr>
          <w:p w14:paraId="1AF71790"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15000</w:t>
            </w:r>
          </w:p>
        </w:tc>
        <w:tc>
          <w:tcPr>
            <w:tcW w:w="763" w:type="dxa"/>
            <w:tcBorders>
              <w:top w:val="nil"/>
              <w:left w:val="nil"/>
              <w:bottom w:val="single" w:sz="8" w:space="0" w:color="auto"/>
              <w:right w:val="single" w:sz="8" w:space="0" w:color="auto"/>
            </w:tcBorders>
            <w:shd w:val="clear" w:color="auto" w:fill="auto"/>
            <w:vAlign w:val="center"/>
            <w:hideMark/>
          </w:tcPr>
          <w:p w14:paraId="144FA736"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6595</w:t>
            </w:r>
          </w:p>
        </w:tc>
        <w:tc>
          <w:tcPr>
            <w:tcW w:w="698" w:type="dxa"/>
            <w:tcBorders>
              <w:top w:val="nil"/>
              <w:left w:val="nil"/>
              <w:bottom w:val="single" w:sz="8" w:space="0" w:color="auto"/>
              <w:right w:val="single" w:sz="8" w:space="0" w:color="auto"/>
            </w:tcBorders>
            <w:shd w:val="clear" w:color="auto" w:fill="auto"/>
            <w:vAlign w:val="center"/>
            <w:hideMark/>
          </w:tcPr>
          <w:p w14:paraId="4ECE896D"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44%</w:t>
            </w:r>
          </w:p>
        </w:tc>
        <w:tc>
          <w:tcPr>
            <w:tcW w:w="672" w:type="dxa"/>
            <w:tcBorders>
              <w:top w:val="nil"/>
              <w:left w:val="nil"/>
              <w:bottom w:val="single" w:sz="8" w:space="0" w:color="auto"/>
              <w:right w:val="single" w:sz="8" w:space="0" w:color="auto"/>
            </w:tcBorders>
            <w:shd w:val="clear" w:color="auto" w:fill="auto"/>
            <w:vAlign w:val="center"/>
            <w:hideMark/>
          </w:tcPr>
          <w:p w14:paraId="647AE706"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3000</w:t>
            </w:r>
          </w:p>
        </w:tc>
        <w:tc>
          <w:tcPr>
            <w:tcW w:w="672" w:type="dxa"/>
            <w:tcBorders>
              <w:top w:val="nil"/>
              <w:left w:val="nil"/>
              <w:bottom w:val="single" w:sz="8" w:space="0" w:color="auto"/>
              <w:right w:val="single" w:sz="8" w:space="0" w:color="auto"/>
            </w:tcBorders>
            <w:shd w:val="clear" w:color="auto" w:fill="auto"/>
            <w:vAlign w:val="center"/>
            <w:hideMark/>
          </w:tcPr>
          <w:p w14:paraId="59FDB582"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1278</w:t>
            </w:r>
          </w:p>
        </w:tc>
        <w:tc>
          <w:tcPr>
            <w:tcW w:w="698" w:type="dxa"/>
            <w:tcBorders>
              <w:top w:val="nil"/>
              <w:left w:val="nil"/>
              <w:bottom w:val="single" w:sz="8" w:space="0" w:color="auto"/>
              <w:right w:val="single" w:sz="8" w:space="0" w:color="auto"/>
            </w:tcBorders>
            <w:shd w:val="clear" w:color="auto" w:fill="auto"/>
            <w:vAlign w:val="center"/>
            <w:hideMark/>
          </w:tcPr>
          <w:p w14:paraId="75291E61"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43%</w:t>
            </w:r>
          </w:p>
        </w:tc>
      </w:tr>
      <w:tr w:rsidR="005068B5" w:rsidRPr="0020194F" w14:paraId="6F79F591" w14:textId="77777777" w:rsidTr="00816745">
        <w:trPr>
          <w:trHeight w:val="294"/>
        </w:trPr>
        <w:tc>
          <w:tcPr>
            <w:tcW w:w="2251" w:type="dxa"/>
            <w:tcBorders>
              <w:top w:val="nil"/>
              <w:left w:val="single" w:sz="8" w:space="0" w:color="auto"/>
              <w:bottom w:val="single" w:sz="8" w:space="0" w:color="auto"/>
              <w:right w:val="single" w:sz="8" w:space="0" w:color="auto"/>
            </w:tcBorders>
            <w:shd w:val="clear" w:color="auto" w:fill="auto"/>
            <w:vAlign w:val="center"/>
            <w:hideMark/>
          </w:tcPr>
          <w:p w14:paraId="44985729"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Provide Day-to-Day Services for the Homeless</w:t>
            </w:r>
          </w:p>
        </w:tc>
        <w:tc>
          <w:tcPr>
            <w:tcW w:w="662" w:type="dxa"/>
            <w:tcBorders>
              <w:top w:val="nil"/>
              <w:left w:val="nil"/>
              <w:bottom w:val="single" w:sz="8" w:space="0" w:color="auto"/>
              <w:right w:val="single" w:sz="8" w:space="0" w:color="auto"/>
            </w:tcBorders>
            <w:shd w:val="clear" w:color="auto" w:fill="auto"/>
            <w:vAlign w:val="center"/>
            <w:hideMark/>
          </w:tcPr>
          <w:p w14:paraId="23549850"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 xml:space="preserve">H </w:t>
            </w:r>
          </w:p>
        </w:tc>
        <w:tc>
          <w:tcPr>
            <w:tcW w:w="621" w:type="dxa"/>
            <w:tcBorders>
              <w:top w:val="nil"/>
              <w:left w:val="nil"/>
              <w:bottom w:val="single" w:sz="8" w:space="0" w:color="auto"/>
              <w:right w:val="single" w:sz="8" w:space="0" w:color="auto"/>
            </w:tcBorders>
            <w:shd w:val="clear" w:color="auto" w:fill="auto"/>
            <w:vAlign w:val="center"/>
            <w:hideMark/>
          </w:tcPr>
          <w:p w14:paraId="7F63F56C"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CDBG</w:t>
            </w:r>
            <w:r w:rsidRPr="009605B2">
              <w:rPr>
                <w:rFonts w:ascii="Calibri" w:eastAsia="Times New Roman" w:hAnsi="Calibri"/>
                <w:color w:val="000000"/>
                <w:sz w:val="12"/>
                <w:szCs w:val="12"/>
              </w:rPr>
              <w:br/>
              <w:t>ESG</w:t>
            </w:r>
          </w:p>
        </w:tc>
        <w:tc>
          <w:tcPr>
            <w:tcW w:w="2074" w:type="dxa"/>
            <w:tcBorders>
              <w:top w:val="nil"/>
              <w:left w:val="nil"/>
              <w:bottom w:val="single" w:sz="8" w:space="0" w:color="auto"/>
              <w:right w:val="single" w:sz="8" w:space="0" w:color="auto"/>
            </w:tcBorders>
            <w:shd w:val="clear" w:color="auto" w:fill="auto"/>
            <w:vAlign w:val="center"/>
            <w:hideMark/>
          </w:tcPr>
          <w:p w14:paraId="38CB3190"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Homeless Person Overnight Shelter</w:t>
            </w:r>
          </w:p>
        </w:tc>
        <w:tc>
          <w:tcPr>
            <w:tcW w:w="788" w:type="dxa"/>
            <w:tcBorders>
              <w:top w:val="nil"/>
              <w:left w:val="nil"/>
              <w:bottom w:val="single" w:sz="8" w:space="0" w:color="auto"/>
              <w:right w:val="single" w:sz="8" w:space="0" w:color="auto"/>
            </w:tcBorders>
            <w:shd w:val="clear" w:color="auto" w:fill="auto"/>
            <w:vAlign w:val="center"/>
            <w:hideMark/>
          </w:tcPr>
          <w:p w14:paraId="66392891"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Persons Assisted</w:t>
            </w:r>
          </w:p>
        </w:tc>
        <w:tc>
          <w:tcPr>
            <w:tcW w:w="763" w:type="dxa"/>
            <w:tcBorders>
              <w:top w:val="nil"/>
              <w:left w:val="nil"/>
              <w:bottom w:val="single" w:sz="8" w:space="0" w:color="auto"/>
              <w:right w:val="single" w:sz="8" w:space="0" w:color="auto"/>
            </w:tcBorders>
            <w:shd w:val="clear" w:color="auto" w:fill="auto"/>
            <w:vAlign w:val="center"/>
            <w:hideMark/>
          </w:tcPr>
          <w:p w14:paraId="39D638EA"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0</w:t>
            </w:r>
          </w:p>
        </w:tc>
        <w:tc>
          <w:tcPr>
            <w:tcW w:w="763" w:type="dxa"/>
            <w:tcBorders>
              <w:top w:val="nil"/>
              <w:left w:val="nil"/>
              <w:bottom w:val="single" w:sz="8" w:space="0" w:color="auto"/>
              <w:right w:val="single" w:sz="8" w:space="0" w:color="auto"/>
            </w:tcBorders>
            <w:shd w:val="clear" w:color="auto" w:fill="auto"/>
            <w:vAlign w:val="center"/>
            <w:hideMark/>
          </w:tcPr>
          <w:p w14:paraId="6A52349C"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98" w:type="dxa"/>
            <w:tcBorders>
              <w:top w:val="nil"/>
              <w:left w:val="nil"/>
              <w:bottom w:val="single" w:sz="8" w:space="0" w:color="auto"/>
              <w:right w:val="single" w:sz="8" w:space="0" w:color="auto"/>
            </w:tcBorders>
            <w:shd w:val="clear" w:color="auto" w:fill="auto"/>
            <w:vAlign w:val="center"/>
            <w:hideMark/>
          </w:tcPr>
          <w:p w14:paraId="6EB92913"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72" w:type="dxa"/>
            <w:tcBorders>
              <w:top w:val="nil"/>
              <w:left w:val="nil"/>
              <w:bottom w:val="single" w:sz="8" w:space="0" w:color="auto"/>
              <w:right w:val="single" w:sz="8" w:space="0" w:color="auto"/>
            </w:tcBorders>
            <w:shd w:val="clear" w:color="auto" w:fill="auto"/>
            <w:vAlign w:val="center"/>
            <w:hideMark/>
          </w:tcPr>
          <w:p w14:paraId="5069A707"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0</w:t>
            </w:r>
          </w:p>
        </w:tc>
        <w:tc>
          <w:tcPr>
            <w:tcW w:w="672" w:type="dxa"/>
            <w:tcBorders>
              <w:top w:val="nil"/>
              <w:left w:val="nil"/>
              <w:bottom w:val="single" w:sz="8" w:space="0" w:color="auto"/>
              <w:right w:val="single" w:sz="8" w:space="0" w:color="auto"/>
            </w:tcBorders>
            <w:shd w:val="clear" w:color="auto" w:fill="auto"/>
            <w:vAlign w:val="center"/>
            <w:hideMark/>
          </w:tcPr>
          <w:p w14:paraId="00398B64"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98" w:type="dxa"/>
            <w:tcBorders>
              <w:top w:val="nil"/>
              <w:left w:val="nil"/>
              <w:bottom w:val="single" w:sz="8" w:space="0" w:color="auto"/>
              <w:right w:val="single" w:sz="8" w:space="0" w:color="auto"/>
            </w:tcBorders>
            <w:shd w:val="clear" w:color="auto" w:fill="auto"/>
            <w:vAlign w:val="center"/>
            <w:hideMark/>
          </w:tcPr>
          <w:p w14:paraId="3AA5389F"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r>
      <w:tr w:rsidR="005068B5" w:rsidRPr="0020194F" w14:paraId="588E5B4C" w14:textId="77777777" w:rsidTr="00816745">
        <w:trPr>
          <w:trHeight w:val="294"/>
        </w:trPr>
        <w:tc>
          <w:tcPr>
            <w:tcW w:w="2251" w:type="dxa"/>
            <w:tcBorders>
              <w:top w:val="nil"/>
              <w:left w:val="single" w:sz="8" w:space="0" w:color="auto"/>
              <w:bottom w:val="single" w:sz="8" w:space="0" w:color="auto"/>
              <w:right w:val="single" w:sz="8" w:space="0" w:color="auto"/>
            </w:tcBorders>
            <w:shd w:val="clear" w:color="auto" w:fill="auto"/>
            <w:vAlign w:val="center"/>
            <w:hideMark/>
          </w:tcPr>
          <w:p w14:paraId="34CEA0AE"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Provide Day-to-Day Services for the Homeless</w:t>
            </w:r>
          </w:p>
        </w:tc>
        <w:tc>
          <w:tcPr>
            <w:tcW w:w="662" w:type="dxa"/>
            <w:tcBorders>
              <w:top w:val="nil"/>
              <w:left w:val="nil"/>
              <w:bottom w:val="single" w:sz="8" w:space="0" w:color="auto"/>
              <w:right w:val="single" w:sz="8" w:space="0" w:color="auto"/>
            </w:tcBorders>
            <w:shd w:val="clear" w:color="auto" w:fill="auto"/>
            <w:vAlign w:val="center"/>
            <w:hideMark/>
          </w:tcPr>
          <w:p w14:paraId="75F7075A"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 xml:space="preserve">H </w:t>
            </w:r>
          </w:p>
        </w:tc>
        <w:tc>
          <w:tcPr>
            <w:tcW w:w="621" w:type="dxa"/>
            <w:tcBorders>
              <w:top w:val="nil"/>
              <w:left w:val="nil"/>
              <w:bottom w:val="single" w:sz="8" w:space="0" w:color="auto"/>
              <w:right w:val="single" w:sz="8" w:space="0" w:color="auto"/>
            </w:tcBorders>
            <w:shd w:val="clear" w:color="auto" w:fill="auto"/>
            <w:vAlign w:val="center"/>
            <w:hideMark/>
          </w:tcPr>
          <w:p w14:paraId="20E2073A"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CDBG</w:t>
            </w:r>
            <w:r w:rsidRPr="009605B2">
              <w:rPr>
                <w:rFonts w:ascii="Calibri" w:eastAsia="Times New Roman" w:hAnsi="Calibri"/>
                <w:color w:val="000000"/>
                <w:sz w:val="12"/>
                <w:szCs w:val="12"/>
              </w:rPr>
              <w:br/>
              <w:t>ESG</w:t>
            </w:r>
          </w:p>
        </w:tc>
        <w:tc>
          <w:tcPr>
            <w:tcW w:w="2074" w:type="dxa"/>
            <w:tcBorders>
              <w:top w:val="nil"/>
              <w:left w:val="nil"/>
              <w:bottom w:val="single" w:sz="8" w:space="0" w:color="auto"/>
              <w:right w:val="single" w:sz="8" w:space="0" w:color="auto"/>
            </w:tcBorders>
            <w:shd w:val="clear" w:color="auto" w:fill="auto"/>
            <w:vAlign w:val="center"/>
            <w:hideMark/>
          </w:tcPr>
          <w:p w14:paraId="1A3BF58B"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Overnight/Emergency Shelter/Transitional Housing Beds added</w:t>
            </w:r>
          </w:p>
        </w:tc>
        <w:tc>
          <w:tcPr>
            <w:tcW w:w="788" w:type="dxa"/>
            <w:tcBorders>
              <w:top w:val="nil"/>
              <w:left w:val="nil"/>
              <w:bottom w:val="single" w:sz="8" w:space="0" w:color="auto"/>
              <w:right w:val="single" w:sz="8" w:space="0" w:color="auto"/>
            </w:tcBorders>
            <w:shd w:val="clear" w:color="auto" w:fill="auto"/>
            <w:vAlign w:val="center"/>
            <w:hideMark/>
          </w:tcPr>
          <w:p w14:paraId="09479530"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Beds</w:t>
            </w:r>
          </w:p>
        </w:tc>
        <w:tc>
          <w:tcPr>
            <w:tcW w:w="763" w:type="dxa"/>
            <w:tcBorders>
              <w:top w:val="nil"/>
              <w:left w:val="nil"/>
              <w:bottom w:val="single" w:sz="8" w:space="0" w:color="auto"/>
              <w:right w:val="single" w:sz="8" w:space="0" w:color="auto"/>
            </w:tcBorders>
            <w:shd w:val="clear" w:color="auto" w:fill="auto"/>
            <w:vAlign w:val="center"/>
            <w:hideMark/>
          </w:tcPr>
          <w:p w14:paraId="1A33150D"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0</w:t>
            </w:r>
          </w:p>
        </w:tc>
        <w:tc>
          <w:tcPr>
            <w:tcW w:w="763" w:type="dxa"/>
            <w:tcBorders>
              <w:top w:val="nil"/>
              <w:left w:val="nil"/>
              <w:bottom w:val="single" w:sz="8" w:space="0" w:color="auto"/>
              <w:right w:val="single" w:sz="8" w:space="0" w:color="auto"/>
            </w:tcBorders>
            <w:shd w:val="clear" w:color="auto" w:fill="auto"/>
            <w:vAlign w:val="center"/>
            <w:hideMark/>
          </w:tcPr>
          <w:p w14:paraId="34BB598F"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98" w:type="dxa"/>
            <w:tcBorders>
              <w:top w:val="nil"/>
              <w:left w:val="nil"/>
              <w:bottom w:val="single" w:sz="8" w:space="0" w:color="auto"/>
              <w:right w:val="single" w:sz="8" w:space="0" w:color="auto"/>
            </w:tcBorders>
            <w:shd w:val="clear" w:color="auto" w:fill="auto"/>
            <w:vAlign w:val="center"/>
            <w:hideMark/>
          </w:tcPr>
          <w:p w14:paraId="12678184"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72" w:type="dxa"/>
            <w:tcBorders>
              <w:top w:val="nil"/>
              <w:left w:val="nil"/>
              <w:bottom w:val="single" w:sz="8" w:space="0" w:color="auto"/>
              <w:right w:val="single" w:sz="8" w:space="0" w:color="auto"/>
            </w:tcBorders>
            <w:shd w:val="clear" w:color="auto" w:fill="auto"/>
            <w:vAlign w:val="center"/>
            <w:hideMark/>
          </w:tcPr>
          <w:p w14:paraId="27E07222"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0</w:t>
            </w:r>
          </w:p>
        </w:tc>
        <w:tc>
          <w:tcPr>
            <w:tcW w:w="672" w:type="dxa"/>
            <w:tcBorders>
              <w:top w:val="nil"/>
              <w:left w:val="nil"/>
              <w:bottom w:val="single" w:sz="8" w:space="0" w:color="auto"/>
              <w:right w:val="single" w:sz="8" w:space="0" w:color="auto"/>
            </w:tcBorders>
            <w:shd w:val="clear" w:color="auto" w:fill="auto"/>
            <w:vAlign w:val="center"/>
            <w:hideMark/>
          </w:tcPr>
          <w:p w14:paraId="68873946"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98" w:type="dxa"/>
            <w:tcBorders>
              <w:top w:val="nil"/>
              <w:left w:val="nil"/>
              <w:bottom w:val="single" w:sz="8" w:space="0" w:color="auto"/>
              <w:right w:val="single" w:sz="8" w:space="0" w:color="auto"/>
            </w:tcBorders>
            <w:shd w:val="clear" w:color="auto" w:fill="auto"/>
            <w:vAlign w:val="center"/>
            <w:hideMark/>
          </w:tcPr>
          <w:p w14:paraId="26AD11BE"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r>
      <w:tr w:rsidR="005068B5" w:rsidRPr="0020194F" w14:paraId="080EBA84" w14:textId="77777777" w:rsidTr="00816745">
        <w:trPr>
          <w:trHeight w:val="288"/>
        </w:trPr>
        <w:tc>
          <w:tcPr>
            <w:tcW w:w="2251" w:type="dxa"/>
            <w:vMerge w:val="restart"/>
            <w:tcBorders>
              <w:top w:val="nil"/>
              <w:left w:val="single" w:sz="8" w:space="0" w:color="auto"/>
              <w:bottom w:val="single" w:sz="8" w:space="0" w:color="000000"/>
              <w:right w:val="single" w:sz="8" w:space="0" w:color="auto"/>
            </w:tcBorders>
            <w:shd w:val="clear" w:color="auto" w:fill="auto"/>
            <w:vAlign w:val="center"/>
            <w:hideMark/>
          </w:tcPr>
          <w:p w14:paraId="68515211"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Provide Housing &amp; Services for Persons w/ HIV/AIDS</w:t>
            </w:r>
          </w:p>
        </w:tc>
        <w:tc>
          <w:tcPr>
            <w:tcW w:w="662" w:type="dxa"/>
            <w:tcBorders>
              <w:top w:val="nil"/>
              <w:left w:val="nil"/>
              <w:bottom w:val="nil"/>
              <w:right w:val="single" w:sz="8" w:space="0" w:color="auto"/>
            </w:tcBorders>
            <w:shd w:val="clear" w:color="auto" w:fill="auto"/>
            <w:vAlign w:val="center"/>
            <w:hideMark/>
          </w:tcPr>
          <w:p w14:paraId="12C63FC1"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AH</w:t>
            </w:r>
          </w:p>
        </w:tc>
        <w:tc>
          <w:tcPr>
            <w:tcW w:w="621" w:type="dxa"/>
            <w:vMerge w:val="restart"/>
            <w:tcBorders>
              <w:top w:val="nil"/>
              <w:left w:val="single" w:sz="8" w:space="0" w:color="auto"/>
              <w:bottom w:val="single" w:sz="8" w:space="0" w:color="000000"/>
              <w:right w:val="single" w:sz="8" w:space="0" w:color="auto"/>
            </w:tcBorders>
            <w:shd w:val="clear" w:color="auto" w:fill="auto"/>
            <w:vAlign w:val="center"/>
            <w:hideMark/>
          </w:tcPr>
          <w:p w14:paraId="5A887FF7"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 xml:space="preserve">HOPWA </w:t>
            </w:r>
          </w:p>
        </w:tc>
        <w:tc>
          <w:tcPr>
            <w:tcW w:w="2074" w:type="dxa"/>
            <w:vMerge w:val="restart"/>
            <w:tcBorders>
              <w:top w:val="nil"/>
              <w:left w:val="single" w:sz="8" w:space="0" w:color="auto"/>
              <w:bottom w:val="single" w:sz="8" w:space="0" w:color="000000"/>
              <w:right w:val="single" w:sz="8" w:space="0" w:color="auto"/>
            </w:tcBorders>
            <w:shd w:val="clear" w:color="auto" w:fill="auto"/>
            <w:vAlign w:val="center"/>
            <w:hideMark/>
          </w:tcPr>
          <w:p w14:paraId="41A2110E"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Public service activities other than Low/Moderate Income Housing Benefit</w:t>
            </w:r>
          </w:p>
        </w:tc>
        <w:tc>
          <w:tcPr>
            <w:tcW w:w="788" w:type="dxa"/>
            <w:vMerge w:val="restart"/>
            <w:tcBorders>
              <w:top w:val="nil"/>
              <w:left w:val="single" w:sz="8" w:space="0" w:color="auto"/>
              <w:bottom w:val="single" w:sz="8" w:space="0" w:color="000000"/>
              <w:right w:val="single" w:sz="8" w:space="0" w:color="auto"/>
            </w:tcBorders>
            <w:shd w:val="clear" w:color="auto" w:fill="auto"/>
            <w:vAlign w:val="center"/>
            <w:hideMark/>
          </w:tcPr>
          <w:p w14:paraId="01751643"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Persons Assisted</w:t>
            </w:r>
          </w:p>
        </w:tc>
        <w:tc>
          <w:tcPr>
            <w:tcW w:w="763" w:type="dxa"/>
            <w:vMerge w:val="restart"/>
            <w:tcBorders>
              <w:top w:val="nil"/>
              <w:left w:val="single" w:sz="8" w:space="0" w:color="auto"/>
              <w:bottom w:val="single" w:sz="8" w:space="0" w:color="000000"/>
              <w:right w:val="single" w:sz="8" w:space="0" w:color="auto"/>
            </w:tcBorders>
            <w:shd w:val="clear" w:color="auto" w:fill="auto"/>
            <w:vAlign w:val="center"/>
            <w:hideMark/>
          </w:tcPr>
          <w:p w14:paraId="03E3C975"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375</w:t>
            </w:r>
          </w:p>
        </w:tc>
        <w:tc>
          <w:tcPr>
            <w:tcW w:w="763" w:type="dxa"/>
            <w:vMerge w:val="restart"/>
            <w:tcBorders>
              <w:top w:val="nil"/>
              <w:left w:val="single" w:sz="8" w:space="0" w:color="auto"/>
              <w:bottom w:val="single" w:sz="8" w:space="0" w:color="000000"/>
              <w:right w:val="single" w:sz="8" w:space="0" w:color="auto"/>
            </w:tcBorders>
            <w:shd w:val="clear" w:color="auto" w:fill="auto"/>
            <w:vAlign w:val="center"/>
            <w:hideMark/>
          </w:tcPr>
          <w:p w14:paraId="54B43B0F"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110</w:t>
            </w:r>
          </w:p>
        </w:tc>
        <w:tc>
          <w:tcPr>
            <w:tcW w:w="698" w:type="dxa"/>
            <w:vMerge w:val="restart"/>
            <w:tcBorders>
              <w:top w:val="nil"/>
              <w:left w:val="single" w:sz="8" w:space="0" w:color="auto"/>
              <w:bottom w:val="single" w:sz="8" w:space="0" w:color="000000"/>
              <w:right w:val="single" w:sz="8" w:space="0" w:color="auto"/>
            </w:tcBorders>
            <w:shd w:val="clear" w:color="auto" w:fill="auto"/>
            <w:vAlign w:val="center"/>
            <w:hideMark/>
          </w:tcPr>
          <w:p w14:paraId="214AA492"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29%</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hideMark/>
          </w:tcPr>
          <w:p w14:paraId="479841C4"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75</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hideMark/>
          </w:tcPr>
          <w:p w14:paraId="371FD60B"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47</w:t>
            </w:r>
          </w:p>
        </w:tc>
        <w:tc>
          <w:tcPr>
            <w:tcW w:w="698" w:type="dxa"/>
            <w:vMerge w:val="restart"/>
            <w:tcBorders>
              <w:top w:val="nil"/>
              <w:left w:val="single" w:sz="8" w:space="0" w:color="auto"/>
              <w:bottom w:val="single" w:sz="8" w:space="0" w:color="000000"/>
              <w:right w:val="single" w:sz="8" w:space="0" w:color="auto"/>
            </w:tcBorders>
            <w:shd w:val="clear" w:color="auto" w:fill="auto"/>
            <w:vAlign w:val="center"/>
            <w:hideMark/>
          </w:tcPr>
          <w:p w14:paraId="5B6335AB"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63%</w:t>
            </w:r>
          </w:p>
        </w:tc>
      </w:tr>
      <w:tr w:rsidR="005068B5" w:rsidRPr="0020194F" w14:paraId="158E54FB" w14:textId="77777777" w:rsidTr="00816745">
        <w:trPr>
          <w:trHeight w:val="288"/>
        </w:trPr>
        <w:tc>
          <w:tcPr>
            <w:tcW w:w="2251" w:type="dxa"/>
            <w:vMerge/>
            <w:tcBorders>
              <w:top w:val="nil"/>
              <w:left w:val="single" w:sz="8" w:space="0" w:color="auto"/>
              <w:bottom w:val="single" w:sz="8" w:space="0" w:color="000000"/>
              <w:right w:val="single" w:sz="8" w:space="0" w:color="auto"/>
            </w:tcBorders>
            <w:vAlign w:val="center"/>
            <w:hideMark/>
          </w:tcPr>
          <w:p w14:paraId="381601D1" w14:textId="77777777" w:rsidR="005068B5" w:rsidRPr="009605B2" w:rsidRDefault="005068B5" w:rsidP="00816745">
            <w:pPr>
              <w:rPr>
                <w:rFonts w:ascii="Calibri" w:eastAsia="Times New Roman" w:hAnsi="Calibri"/>
                <w:color w:val="000000"/>
                <w:sz w:val="12"/>
                <w:szCs w:val="12"/>
              </w:rPr>
            </w:pPr>
          </w:p>
        </w:tc>
        <w:tc>
          <w:tcPr>
            <w:tcW w:w="662" w:type="dxa"/>
            <w:tcBorders>
              <w:top w:val="nil"/>
              <w:left w:val="nil"/>
              <w:bottom w:val="nil"/>
              <w:right w:val="single" w:sz="8" w:space="0" w:color="auto"/>
            </w:tcBorders>
            <w:shd w:val="clear" w:color="auto" w:fill="auto"/>
            <w:vAlign w:val="center"/>
            <w:hideMark/>
          </w:tcPr>
          <w:p w14:paraId="3F507AAE"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H</w:t>
            </w:r>
          </w:p>
        </w:tc>
        <w:tc>
          <w:tcPr>
            <w:tcW w:w="621" w:type="dxa"/>
            <w:vMerge/>
            <w:tcBorders>
              <w:top w:val="nil"/>
              <w:left w:val="single" w:sz="8" w:space="0" w:color="auto"/>
              <w:bottom w:val="single" w:sz="8" w:space="0" w:color="000000"/>
              <w:right w:val="single" w:sz="8" w:space="0" w:color="auto"/>
            </w:tcBorders>
            <w:vAlign w:val="center"/>
            <w:hideMark/>
          </w:tcPr>
          <w:p w14:paraId="0D7F3131" w14:textId="77777777" w:rsidR="005068B5" w:rsidRPr="009605B2" w:rsidRDefault="005068B5" w:rsidP="00816745">
            <w:pPr>
              <w:rPr>
                <w:rFonts w:ascii="Calibri" w:eastAsia="Times New Roman" w:hAnsi="Calibri"/>
                <w:color w:val="000000"/>
                <w:sz w:val="12"/>
                <w:szCs w:val="12"/>
              </w:rPr>
            </w:pPr>
          </w:p>
        </w:tc>
        <w:tc>
          <w:tcPr>
            <w:tcW w:w="2074" w:type="dxa"/>
            <w:vMerge/>
            <w:tcBorders>
              <w:top w:val="nil"/>
              <w:left w:val="single" w:sz="8" w:space="0" w:color="auto"/>
              <w:bottom w:val="single" w:sz="8" w:space="0" w:color="000000"/>
              <w:right w:val="single" w:sz="8" w:space="0" w:color="auto"/>
            </w:tcBorders>
            <w:vAlign w:val="center"/>
            <w:hideMark/>
          </w:tcPr>
          <w:p w14:paraId="638EDF51" w14:textId="77777777" w:rsidR="005068B5" w:rsidRPr="009605B2" w:rsidRDefault="005068B5" w:rsidP="00816745">
            <w:pPr>
              <w:rPr>
                <w:rFonts w:ascii="Calibri" w:eastAsia="Times New Roman" w:hAnsi="Calibri"/>
                <w:color w:val="000000"/>
                <w:sz w:val="12"/>
                <w:szCs w:val="12"/>
              </w:rPr>
            </w:pPr>
          </w:p>
        </w:tc>
        <w:tc>
          <w:tcPr>
            <w:tcW w:w="788" w:type="dxa"/>
            <w:vMerge/>
            <w:tcBorders>
              <w:top w:val="nil"/>
              <w:left w:val="single" w:sz="8" w:space="0" w:color="auto"/>
              <w:bottom w:val="single" w:sz="8" w:space="0" w:color="000000"/>
              <w:right w:val="single" w:sz="8" w:space="0" w:color="auto"/>
            </w:tcBorders>
            <w:vAlign w:val="center"/>
            <w:hideMark/>
          </w:tcPr>
          <w:p w14:paraId="7B1A214E" w14:textId="77777777" w:rsidR="005068B5" w:rsidRPr="0020194F" w:rsidRDefault="005068B5" w:rsidP="00816745">
            <w:pPr>
              <w:rPr>
                <w:rFonts w:ascii="Calibri" w:eastAsia="Times New Roman" w:hAnsi="Calibri"/>
                <w:color w:val="000000"/>
                <w:sz w:val="12"/>
                <w:szCs w:val="12"/>
              </w:rPr>
            </w:pPr>
          </w:p>
        </w:tc>
        <w:tc>
          <w:tcPr>
            <w:tcW w:w="763" w:type="dxa"/>
            <w:vMerge/>
            <w:tcBorders>
              <w:top w:val="nil"/>
              <w:left w:val="single" w:sz="8" w:space="0" w:color="auto"/>
              <w:bottom w:val="single" w:sz="8" w:space="0" w:color="000000"/>
              <w:right w:val="single" w:sz="8" w:space="0" w:color="auto"/>
            </w:tcBorders>
            <w:vAlign w:val="center"/>
            <w:hideMark/>
          </w:tcPr>
          <w:p w14:paraId="347CA958" w14:textId="77777777" w:rsidR="005068B5" w:rsidRPr="0020194F" w:rsidRDefault="005068B5" w:rsidP="00816745">
            <w:pPr>
              <w:rPr>
                <w:rFonts w:ascii="Calibri" w:eastAsia="Times New Roman" w:hAnsi="Calibri"/>
                <w:color w:val="000000"/>
                <w:sz w:val="12"/>
                <w:szCs w:val="12"/>
              </w:rPr>
            </w:pPr>
          </w:p>
        </w:tc>
        <w:tc>
          <w:tcPr>
            <w:tcW w:w="763" w:type="dxa"/>
            <w:vMerge/>
            <w:tcBorders>
              <w:top w:val="nil"/>
              <w:left w:val="single" w:sz="8" w:space="0" w:color="auto"/>
              <w:bottom w:val="single" w:sz="8" w:space="0" w:color="000000"/>
              <w:right w:val="single" w:sz="8" w:space="0" w:color="auto"/>
            </w:tcBorders>
            <w:vAlign w:val="center"/>
            <w:hideMark/>
          </w:tcPr>
          <w:p w14:paraId="2D796020" w14:textId="77777777" w:rsidR="005068B5" w:rsidRPr="0020194F" w:rsidRDefault="005068B5" w:rsidP="00816745">
            <w:pPr>
              <w:rPr>
                <w:rFonts w:ascii="Calibri" w:eastAsia="Times New Roman" w:hAnsi="Calibri"/>
                <w:color w:val="000000"/>
                <w:sz w:val="12"/>
                <w:szCs w:val="12"/>
              </w:rPr>
            </w:pPr>
          </w:p>
        </w:tc>
        <w:tc>
          <w:tcPr>
            <w:tcW w:w="698" w:type="dxa"/>
            <w:vMerge/>
            <w:tcBorders>
              <w:top w:val="nil"/>
              <w:left w:val="single" w:sz="8" w:space="0" w:color="auto"/>
              <w:bottom w:val="single" w:sz="8" w:space="0" w:color="000000"/>
              <w:right w:val="single" w:sz="8" w:space="0" w:color="auto"/>
            </w:tcBorders>
            <w:vAlign w:val="center"/>
            <w:hideMark/>
          </w:tcPr>
          <w:p w14:paraId="24696639" w14:textId="77777777" w:rsidR="005068B5" w:rsidRPr="0020194F" w:rsidRDefault="005068B5" w:rsidP="00816745">
            <w:pPr>
              <w:rPr>
                <w:rFonts w:ascii="Calibri" w:eastAsia="Times New Roman" w:hAnsi="Calibri"/>
                <w:color w:val="000000"/>
                <w:sz w:val="12"/>
                <w:szCs w:val="12"/>
              </w:rPr>
            </w:pPr>
          </w:p>
        </w:tc>
        <w:tc>
          <w:tcPr>
            <w:tcW w:w="672" w:type="dxa"/>
            <w:vMerge/>
            <w:tcBorders>
              <w:top w:val="nil"/>
              <w:left w:val="single" w:sz="8" w:space="0" w:color="auto"/>
              <w:bottom w:val="single" w:sz="8" w:space="0" w:color="000000"/>
              <w:right w:val="single" w:sz="8" w:space="0" w:color="auto"/>
            </w:tcBorders>
            <w:vAlign w:val="center"/>
            <w:hideMark/>
          </w:tcPr>
          <w:p w14:paraId="7A834DD4" w14:textId="77777777" w:rsidR="005068B5" w:rsidRPr="0020194F" w:rsidRDefault="005068B5" w:rsidP="00816745">
            <w:pPr>
              <w:rPr>
                <w:rFonts w:ascii="Calibri" w:eastAsia="Times New Roman" w:hAnsi="Calibri"/>
                <w:color w:val="000000"/>
                <w:sz w:val="12"/>
                <w:szCs w:val="12"/>
              </w:rPr>
            </w:pPr>
          </w:p>
        </w:tc>
        <w:tc>
          <w:tcPr>
            <w:tcW w:w="672" w:type="dxa"/>
            <w:vMerge/>
            <w:tcBorders>
              <w:top w:val="nil"/>
              <w:left w:val="single" w:sz="8" w:space="0" w:color="auto"/>
              <w:bottom w:val="single" w:sz="8" w:space="0" w:color="000000"/>
              <w:right w:val="single" w:sz="8" w:space="0" w:color="auto"/>
            </w:tcBorders>
            <w:vAlign w:val="center"/>
            <w:hideMark/>
          </w:tcPr>
          <w:p w14:paraId="1A4DB5E7" w14:textId="77777777" w:rsidR="005068B5" w:rsidRPr="0020194F" w:rsidRDefault="005068B5" w:rsidP="00816745">
            <w:pPr>
              <w:rPr>
                <w:rFonts w:ascii="Calibri" w:eastAsia="Times New Roman" w:hAnsi="Calibri"/>
                <w:color w:val="000000"/>
                <w:sz w:val="12"/>
                <w:szCs w:val="12"/>
              </w:rPr>
            </w:pPr>
          </w:p>
        </w:tc>
        <w:tc>
          <w:tcPr>
            <w:tcW w:w="698" w:type="dxa"/>
            <w:vMerge/>
            <w:tcBorders>
              <w:top w:val="nil"/>
              <w:left w:val="single" w:sz="8" w:space="0" w:color="auto"/>
              <w:bottom w:val="single" w:sz="8" w:space="0" w:color="000000"/>
              <w:right w:val="single" w:sz="8" w:space="0" w:color="auto"/>
            </w:tcBorders>
            <w:vAlign w:val="center"/>
            <w:hideMark/>
          </w:tcPr>
          <w:p w14:paraId="32482A5F" w14:textId="77777777" w:rsidR="005068B5" w:rsidRPr="0020194F" w:rsidRDefault="005068B5" w:rsidP="00816745">
            <w:pPr>
              <w:rPr>
                <w:rFonts w:ascii="Calibri" w:eastAsia="Times New Roman" w:hAnsi="Calibri"/>
                <w:color w:val="000000"/>
                <w:sz w:val="12"/>
                <w:szCs w:val="12"/>
              </w:rPr>
            </w:pPr>
          </w:p>
        </w:tc>
      </w:tr>
      <w:tr w:rsidR="005068B5" w:rsidRPr="009605B2" w14:paraId="2627E267" w14:textId="77777777" w:rsidTr="00816745">
        <w:trPr>
          <w:trHeight w:val="294"/>
        </w:trPr>
        <w:tc>
          <w:tcPr>
            <w:tcW w:w="2251" w:type="dxa"/>
            <w:vMerge/>
            <w:tcBorders>
              <w:top w:val="nil"/>
              <w:left w:val="single" w:sz="8" w:space="0" w:color="auto"/>
              <w:bottom w:val="single" w:sz="8" w:space="0" w:color="000000"/>
              <w:right w:val="single" w:sz="8" w:space="0" w:color="auto"/>
            </w:tcBorders>
            <w:vAlign w:val="center"/>
            <w:hideMark/>
          </w:tcPr>
          <w:p w14:paraId="105EEC31" w14:textId="77777777" w:rsidR="005068B5" w:rsidRPr="009605B2" w:rsidRDefault="005068B5" w:rsidP="00816745">
            <w:pPr>
              <w:rPr>
                <w:rFonts w:ascii="Calibri" w:eastAsia="Times New Roman" w:hAnsi="Calibri"/>
                <w:color w:val="000000"/>
                <w:sz w:val="12"/>
                <w:szCs w:val="12"/>
              </w:rPr>
            </w:pPr>
          </w:p>
        </w:tc>
        <w:tc>
          <w:tcPr>
            <w:tcW w:w="662" w:type="dxa"/>
            <w:tcBorders>
              <w:top w:val="nil"/>
              <w:left w:val="nil"/>
              <w:bottom w:val="single" w:sz="8" w:space="0" w:color="auto"/>
              <w:right w:val="single" w:sz="8" w:space="0" w:color="auto"/>
            </w:tcBorders>
            <w:shd w:val="clear" w:color="auto" w:fill="auto"/>
            <w:vAlign w:val="center"/>
            <w:hideMark/>
          </w:tcPr>
          <w:p w14:paraId="2497C076"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NHSN</w:t>
            </w:r>
          </w:p>
        </w:tc>
        <w:tc>
          <w:tcPr>
            <w:tcW w:w="621" w:type="dxa"/>
            <w:vMerge/>
            <w:tcBorders>
              <w:top w:val="nil"/>
              <w:left w:val="single" w:sz="8" w:space="0" w:color="auto"/>
              <w:bottom w:val="single" w:sz="8" w:space="0" w:color="000000"/>
              <w:right w:val="single" w:sz="8" w:space="0" w:color="auto"/>
            </w:tcBorders>
            <w:vAlign w:val="center"/>
            <w:hideMark/>
          </w:tcPr>
          <w:p w14:paraId="6CBF2C3B" w14:textId="77777777" w:rsidR="005068B5" w:rsidRPr="009605B2" w:rsidRDefault="005068B5" w:rsidP="00816745">
            <w:pPr>
              <w:rPr>
                <w:rFonts w:ascii="Calibri" w:eastAsia="Times New Roman" w:hAnsi="Calibri"/>
                <w:color w:val="000000"/>
                <w:sz w:val="12"/>
                <w:szCs w:val="12"/>
              </w:rPr>
            </w:pPr>
          </w:p>
        </w:tc>
        <w:tc>
          <w:tcPr>
            <w:tcW w:w="2074" w:type="dxa"/>
            <w:vMerge/>
            <w:tcBorders>
              <w:top w:val="nil"/>
              <w:left w:val="single" w:sz="8" w:space="0" w:color="auto"/>
              <w:bottom w:val="single" w:sz="8" w:space="0" w:color="000000"/>
              <w:right w:val="single" w:sz="8" w:space="0" w:color="auto"/>
            </w:tcBorders>
            <w:vAlign w:val="center"/>
            <w:hideMark/>
          </w:tcPr>
          <w:p w14:paraId="7D10CA91" w14:textId="77777777" w:rsidR="005068B5" w:rsidRPr="009605B2" w:rsidRDefault="005068B5" w:rsidP="00816745">
            <w:pPr>
              <w:rPr>
                <w:rFonts w:ascii="Calibri" w:eastAsia="Times New Roman" w:hAnsi="Calibri"/>
                <w:color w:val="000000"/>
                <w:sz w:val="12"/>
                <w:szCs w:val="12"/>
              </w:rPr>
            </w:pPr>
          </w:p>
        </w:tc>
        <w:tc>
          <w:tcPr>
            <w:tcW w:w="788" w:type="dxa"/>
            <w:vMerge/>
            <w:tcBorders>
              <w:top w:val="nil"/>
              <w:left w:val="single" w:sz="8" w:space="0" w:color="auto"/>
              <w:bottom w:val="single" w:sz="8" w:space="0" w:color="000000"/>
              <w:right w:val="single" w:sz="8" w:space="0" w:color="auto"/>
            </w:tcBorders>
            <w:vAlign w:val="center"/>
            <w:hideMark/>
          </w:tcPr>
          <w:p w14:paraId="083815B0" w14:textId="77777777" w:rsidR="005068B5" w:rsidRPr="009605B2" w:rsidRDefault="005068B5" w:rsidP="00816745">
            <w:pPr>
              <w:rPr>
                <w:rFonts w:ascii="Calibri" w:eastAsia="Times New Roman" w:hAnsi="Calibri"/>
                <w:color w:val="000000"/>
                <w:sz w:val="12"/>
                <w:szCs w:val="12"/>
              </w:rPr>
            </w:pPr>
          </w:p>
        </w:tc>
        <w:tc>
          <w:tcPr>
            <w:tcW w:w="763" w:type="dxa"/>
            <w:vMerge/>
            <w:tcBorders>
              <w:top w:val="nil"/>
              <w:left w:val="single" w:sz="8" w:space="0" w:color="auto"/>
              <w:bottom w:val="single" w:sz="8" w:space="0" w:color="000000"/>
              <w:right w:val="single" w:sz="8" w:space="0" w:color="auto"/>
            </w:tcBorders>
            <w:vAlign w:val="center"/>
            <w:hideMark/>
          </w:tcPr>
          <w:p w14:paraId="6AA4C1E6" w14:textId="77777777" w:rsidR="005068B5" w:rsidRPr="00A60631" w:rsidRDefault="005068B5" w:rsidP="00816745">
            <w:pPr>
              <w:rPr>
                <w:rFonts w:ascii="Calibri" w:eastAsia="Times New Roman" w:hAnsi="Calibri"/>
                <w:color w:val="000000"/>
                <w:sz w:val="12"/>
                <w:szCs w:val="12"/>
                <w:highlight w:val="yellow"/>
              </w:rPr>
            </w:pPr>
          </w:p>
        </w:tc>
        <w:tc>
          <w:tcPr>
            <w:tcW w:w="763" w:type="dxa"/>
            <w:vMerge/>
            <w:tcBorders>
              <w:top w:val="nil"/>
              <w:left w:val="single" w:sz="8" w:space="0" w:color="auto"/>
              <w:bottom w:val="single" w:sz="8" w:space="0" w:color="000000"/>
              <w:right w:val="single" w:sz="8" w:space="0" w:color="auto"/>
            </w:tcBorders>
            <w:vAlign w:val="center"/>
            <w:hideMark/>
          </w:tcPr>
          <w:p w14:paraId="4DAF80E7" w14:textId="77777777" w:rsidR="005068B5" w:rsidRPr="00A60631" w:rsidRDefault="005068B5" w:rsidP="00816745">
            <w:pPr>
              <w:rPr>
                <w:rFonts w:ascii="Calibri" w:eastAsia="Times New Roman" w:hAnsi="Calibri"/>
                <w:color w:val="000000"/>
                <w:sz w:val="12"/>
                <w:szCs w:val="12"/>
                <w:highlight w:val="yellow"/>
              </w:rPr>
            </w:pPr>
          </w:p>
        </w:tc>
        <w:tc>
          <w:tcPr>
            <w:tcW w:w="698" w:type="dxa"/>
            <w:vMerge/>
            <w:tcBorders>
              <w:top w:val="nil"/>
              <w:left w:val="single" w:sz="8" w:space="0" w:color="auto"/>
              <w:bottom w:val="single" w:sz="8" w:space="0" w:color="000000"/>
              <w:right w:val="single" w:sz="8" w:space="0" w:color="auto"/>
            </w:tcBorders>
            <w:vAlign w:val="center"/>
            <w:hideMark/>
          </w:tcPr>
          <w:p w14:paraId="60F0EA6B" w14:textId="77777777" w:rsidR="005068B5" w:rsidRPr="00A60631" w:rsidRDefault="005068B5" w:rsidP="00816745">
            <w:pPr>
              <w:rPr>
                <w:rFonts w:ascii="Calibri" w:eastAsia="Times New Roman" w:hAnsi="Calibri"/>
                <w:color w:val="000000"/>
                <w:sz w:val="12"/>
                <w:szCs w:val="12"/>
                <w:highlight w:val="yellow"/>
              </w:rPr>
            </w:pPr>
          </w:p>
        </w:tc>
        <w:tc>
          <w:tcPr>
            <w:tcW w:w="672" w:type="dxa"/>
            <w:vMerge/>
            <w:tcBorders>
              <w:top w:val="nil"/>
              <w:left w:val="single" w:sz="8" w:space="0" w:color="auto"/>
              <w:bottom w:val="single" w:sz="8" w:space="0" w:color="000000"/>
              <w:right w:val="single" w:sz="8" w:space="0" w:color="auto"/>
            </w:tcBorders>
            <w:vAlign w:val="center"/>
            <w:hideMark/>
          </w:tcPr>
          <w:p w14:paraId="155DF62C" w14:textId="77777777" w:rsidR="005068B5" w:rsidRPr="009605B2" w:rsidRDefault="005068B5" w:rsidP="00816745">
            <w:pPr>
              <w:rPr>
                <w:rFonts w:ascii="Calibri" w:eastAsia="Times New Roman" w:hAnsi="Calibri"/>
                <w:color w:val="000000"/>
                <w:sz w:val="12"/>
                <w:szCs w:val="12"/>
              </w:rPr>
            </w:pPr>
          </w:p>
        </w:tc>
        <w:tc>
          <w:tcPr>
            <w:tcW w:w="672" w:type="dxa"/>
            <w:vMerge/>
            <w:tcBorders>
              <w:top w:val="nil"/>
              <w:left w:val="single" w:sz="8" w:space="0" w:color="auto"/>
              <w:bottom w:val="single" w:sz="8" w:space="0" w:color="000000"/>
              <w:right w:val="single" w:sz="8" w:space="0" w:color="auto"/>
            </w:tcBorders>
            <w:vAlign w:val="center"/>
            <w:hideMark/>
          </w:tcPr>
          <w:p w14:paraId="50B9ADA8" w14:textId="77777777" w:rsidR="005068B5" w:rsidRPr="009605B2" w:rsidRDefault="005068B5" w:rsidP="00816745">
            <w:pPr>
              <w:rPr>
                <w:rFonts w:ascii="Calibri" w:eastAsia="Times New Roman" w:hAnsi="Calibri"/>
                <w:color w:val="000000"/>
                <w:sz w:val="12"/>
                <w:szCs w:val="12"/>
              </w:rPr>
            </w:pPr>
          </w:p>
        </w:tc>
        <w:tc>
          <w:tcPr>
            <w:tcW w:w="698" w:type="dxa"/>
            <w:vMerge/>
            <w:tcBorders>
              <w:top w:val="nil"/>
              <w:left w:val="single" w:sz="8" w:space="0" w:color="auto"/>
              <w:bottom w:val="single" w:sz="8" w:space="0" w:color="000000"/>
              <w:right w:val="single" w:sz="8" w:space="0" w:color="auto"/>
            </w:tcBorders>
            <w:vAlign w:val="center"/>
            <w:hideMark/>
          </w:tcPr>
          <w:p w14:paraId="7E47DE4B" w14:textId="77777777" w:rsidR="005068B5" w:rsidRPr="009605B2" w:rsidRDefault="005068B5" w:rsidP="00816745">
            <w:pPr>
              <w:rPr>
                <w:rFonts w:ascii="Calibri" w:eastAsia="Times New Roman" w:hAnsi="Calibri"/>
                <w:color w:val="000000"/>
                <w:sz w:val="12"/>
                <w:szCs w:val="12"/>
              </w:rPr>
            </w:pPr>
          </w:p>
        </w:tc>
      </w:tr>
      <w:tr w:rsidR="005068B5" w:rsidRPr="009605B2" w14:paraId="0DDAD56D" w14:textId="77777777" w:rsidTr="00816745">
        <w:trPr>
          <w:trHeight w:val="288"/>
        </w:trPr>
        <w:tc>
          <w:tcPr>
            <w:tcW w:w="2251" w:type="dxa"/>
            <w:vMerge w:val="restart"/>
            <w:tcBorders>
              <w:top w:val="nil"/>
              <w:left w:val="single" w:sz="8" w:space="0" w:color="auto"/>
              <w:bottom w:val="single" w:sz="8" w:space="0" w:color="000000"/>
              <w:right w:val="single" w:sz="8" w:space="0" w:color="auto"/>
            </w:tcBorders>
            <w:shd w:val="clear" w:color="auto" w:fill="auto"/>
            <w:vAlign w:val="center"/>
            <w:hideMark/>
          </w:tcPr>
          <w:p w14:paraId="63254655"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Provide Housing &amp; Services for Persons w/ HIV/AIDS</w:t>
            </w:r>
          </w:p>
        </w:tc>
        <w:tc>
          <w:tcPr>
            <w:tcW w:w="662" w:type="dxa"/>
            <w:tcBorders>
              <w:top w:val="nil"/>
              <w:left w:val="nil"/>
              <w:bottom w:val="nil"/>
              <w:right w:val="single" w:sz="8" w:space="0" w:color="auto"/>
            </w:tcBorders>
            <w:shd w:val="clear" w:color="auto" w:fill="auto"/>
            <w:vAlign w:val="center"/>
            <w:hideMark/>
          </w:tcPr>
          <w:p w14:paraId="28081E92"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AH</w:t>
            </w:r>
          </w:p>
        </w:tc>
        <w:tc>
          <w:tcPr>
            <w:tcW w:w="621" w:type="dxa"/>
            <w:vMerge w:val="restart"/>
            <w:tcBorders>
              <w:top w:val="nil"/>
              <w:left w:val="single" w:sz="8" w:space="0" w:color="auto"/>
              <w:bottom w:val="single" w:sz="8" w:space="0" w:color="000000"/>
              <w:right w:val="single" w:sz="8" w:space="0" w:color="auto"/>
            </w:tcBorders>
            <w:shd w:val="clear" w:color="auto" w:fill="auto"/>
            <w:vAlign w:val="center"/>
            <w:hideMark/>
          </w:tcPr>
          <w:p w14:paraId="5A898BE6"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 xml:space="preserve">HOPWA </w:t>
            </w:r>
          </w:p>
        </w:tc>
        <w:tc>
          <w:tcPr>
            <w:tcW w:w="2074" w:type="dxa"/>
            <w:vMerge w:val="restart"/>
            <w:tcBorders>
              <w:top w:val="nil"/>
              <w:left w:val="single" w:sz="8" w:space="0" w:color="auto"/>
              <w:bottom w:val="single" w:sz="8" w:space="0" w:color="000000"/>
              <w:right w:val="single" w:sz="8" w:space="0" w:color="auto"/>
            </w:tcBorders>
            <w:shd w:val="clear" w:color="auto" w:fill="auto"/>
            <w:vAlign w:val="center"/>
            <w:hideMark/>
          </w:tcPr>
          <w:p w14:paraId="69C8CD9E"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Tenant-based rental assistance / Rapid Rehousing</w:t>
            </w:r>
          </w:p>
        </w:tc>
        <w:tc>
          <w:tcPr>
            <w:tcW w:w="788" w:type="dxa"/>
            <w:vMerge w:val="restart"/>
            <w:tcBorders>
              <w:top w:val="nil"/>
              <w:left w:val="single" w:sz="8" w:space="0" w:color="auto"/>
              <w:bottom w:val="single" w:sz="8" w:space="0" w:color="000000"/>
              <w:right w:val="single" w:sz="8" w:space="0" w:color="auto"/>
            </w:tcBorders>
            <w:shd w:val="clear" w:color="auto" w:fill="auto"/>
            <w:vAlign w:val="center"/>
            <w:hideMark/>
          </w:tcPr>
          <w:p w14:paraId="57852926" w14:textId="77777777" w:rsidR="005068B5" w:rsidRPr="009605B2" w:rsidRDefault="005068B5" w:rsidP="00816745">
            <w:pPr>
              <w:jc w:val="center"/>
              <w:rPr>
                <w:rFonts w:ascii="Calibri" w:eastAsia="Times New Roman" w:hAnsi="Calibri"/>
                <w:color w:val="000000"/>
                <w:sz w:val="12"/>
                <w:szCs w:val="12"/>
              </w:rPr>
            </w:pPr>
            <w:r w:rsidRPr="009605B2">
              <w:rPr>
                <w:rFonts w:ascii="Calibri" w:eastAsia="Times New Roman" w:hAnsi="Calibri"/>
                <w:color w:val="000000"/>
                <w:sz w:val="12"/>
                <w:szCs w:val="12"/>
              </w:rPr>
              <w:t>Households Assisted</w:t>
            </w:r>
          </w:p>
        </w:tc>
        <w:tc>
          <w:tcPr>
            <w:tcW w:w="763" w:type="dxa"/>
            <w:vMerge w:val="restart"/>
            <w:tcBorders>
              <w:top w:val="nil"/>
              <w:left w:val="single" w:sz="8" w:space="0" w:color="auto"/>
              <w:bottom w:val="single" w:sz="8" w:space="0" w:color="000000"/>
              <w:right w:val="single" w:sz="8" w:space="0" w:color="auto"/>
            </w:tcBorders>
            <w:shd w:val="clear" w:color="auto" w:fill="auto"/>
            <w:vAlign w:val="center"/>
            <w:hideMark/>
          </w:tcPr>
          <w:p w14:paraId="2A886F39" w14:textId="77777777" w:rsidR="005068B5" w:rsidRPr="00A60631" w:rsidRDefault="005068B5" w:rsidP="00816745">
            <w:pPr>
              <w:jc w:val="center"/>
              <w:rPr>
                <w:rFonts w:ascii="Calibri" w:eastAsia="Times New Roman" w:hAnsi="Calibri"/>
                <w:color w:val="000000"/>
                <w:sz w:val="12"/>
                <w:szCs w:val="12"/>
              </w:rPr>
            </w:pPr>
            <w:r w:rsidRPr="00A60631">
              <w:rPr>
                <w:rFonts w:ascii="Calibri" w:eastAsia="Times New Roman" w:hAnsi="Calibri"/>
                <w:color w:val="000000"/>
                <w:sz w:val="12"/>
                <w:szCs w:val="12"/>
              </w:rPr>
              <w:t>150</w:t>
            </w:r>
          </w:p>
        </w:tc>
        <w:tc>
          <w:tcPr>
            <w:tcW w:w="763" w:type="dxa"/>
            <w:vMerge w:val="restart"/>
            <w:tcBorders>
              <w:top w:val="nil"/>
              <w:left w:val="single" w:sz="8" w:space="0" w:color="auto"/>
              <w:bottom w:val="single" w:sz="8" w:space="0" w:color="000000"/>
              <w:right w:val="single" w:sz="8" w:space="0" w:color="auto"/>
            </w:tcBorders>
            <w:shd w:val="clear" w:color="auto" w:fill="auto"/>
            <w:vAlign w:val="center"/>
            <w:hideMark/>
          </w:tcPr>
          <w:p w14:paraId="4F1F9E12" w14:textId="77777777" w:rsidR="005068B5" w:rsidRPr="00A60631" w:rsidRDefault="005068B5" w:rsidP="00816745">
            <w:pPr>
              <w:jc w:val="center"/>
              <w:rPr>
                <w:rFonts w:ascii="Calibri" w:eastAsia="Times New Roman" w:hAnsi="Calibri"/>
                <w:color w:val="000000"/>
                <w:sz w:val="12"/>
                <w:szCs w:val="12"/>
              </w:rPr>
            </w:pPr>
            <w:r>
              <w:rPr>
                <w:rFonts w:ascii="Calibri" w:eastAsia="Times New Roman" w:hAnsi="Calibri"/>
                <w:color w:val="000000"/>
                <w:sz w:val="12"/>
                <w:szCs w:val="12"/>
              </w:rPr>
              <w:t>115</w:t>
            </w:r>
          </w:p>
        </w:tc>
        <w:tc>
          <w:tcPr>
            <w:tcW w:w="698" w:type="dxa"/>
            <w:vMerge w:val="restart"/>
            <w:tcBorders>
              <w:top w:val="nil"/>
              <w:left w:val="single" w:sz="8" w:space="0" w:color="auto"/>
              <w:bottom w:val="single" w:sz="8" w:space="0" w:color="000000"/>
              <w:right w:val="single" w:sz="8" w:space="0" w:color="auto"/>
            </w:tcBorders>
            <w:shd w:val="clear" w:color="auto" w:fill="auto"/>
            <w:vAlign w:val="center"/>
            <w:hideMark/>
          </w:tcPr>
          <w:p w14:paraId="0AFFF381" w14:textId="77777777" w:rsidR="005068B5" w:rsidRPr="00A60631" w:rsidRDefault="005068B5" w:rsidP="00816745">
            <w:pPr>
              <w:jc w:val="center"/>
              <w:rPr>
                <w:rFonts w:ascii="Calibri" w:eastAsia="Times New Roman" w:hAnsi="Calibri"/>
                <w:color w:val="000000"/>
                <w:sz w:val="12"/>
                <w:szCs w:val="12"/>
              </w:rPr>
            </w:pPr>
            <w:r>
              <w:rPr>
                <w:rFonts w:ascii="Calibri" w:eastAsia="Times New Roman" w:hAnsi="Calibri"/>
                <w:color w:val="000000"/>
                <w:sz w:val="12"/>
                <w:szCs w:val="12"/>
              </w:rPr>
              <w:t>77</w:t>
            </w:r>
            <w:r w:rsidRPr="00A60631">
              <w:rPr>
                <w:rFonts w:ascii="Calibri" w:eastAsia="Times New Roman" w:hAnsi="Calibri"/>
                <w:color w:val="000000"/>
                <w:sz w:val="12"/>
                <w:szCs w:val="12"/>
              </w:rPr>
              <w:t>%</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hideMark/>
          </w:tcPr>
          <w:p w14:paraId="182D62F9" w14:textId="77777777" w:rsidR="005068B5" w:rsidRPr="009605B2" w:rsidRDefault="005068B5" w:rsidP="00816745">
            <w:pPr>
              <w:jc w:val="center"/>
              <w:rPr>
                <w:rFonts w:ascii="Calibri" w:eastAsia="Times New Roman" w:hAnsi="Calibri"/>
                <w:color w:val="000000"/>
                <w:sz w:val="12"/>
                <w:szCs w:val="12"/>
              </w:rPr>
            </w:pPr>
            <w:r>
              <w:rPr>
                <w:rFonts w:ascii="Calibri" w:eastAsia="Times New Roman" w:hAnsi="Calibri"/>
                <w:color w:val="000000"/>
                <w:sz w:val="12"/>
                <w:szCs w:val="12"/>
              </w:rPr>
              <w:t>30</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hideMark/>
          </w:tcPr>
          <w:p w14:paraId="203AAC65" w14:textId="77777777" w:rsidR="005068B5" w:rsidRPr="009605B2" w:rsidRDefault="005068B5" w:rsidP="00816745">
            <w:pPr>
              <w:jc w:val="center"/>
              <w:rPr>
                <w:rFonts w:ascii="Calibri" w:eastAsia="Times New Roman" w:hAnsi="Calibri"/>
                <w:color w:val="000000"/>
                <w:sz w:val="12"/>
                <w:szCs w:val="12"/>
              </w:rPr>
            </w:pPr>
            <w:r>
              <w:rPr>
                <w:rFonts w:ascii="Calibri" w:eastAsia="Times New Roman" w:hAnsi="Calibri"/>
                <w:color w:val="000000"/>
                <w:sz w:val="12"/>
                <w:szCs w:val="12"/>
              </w:rPr>
              <w:t>41</w:t>
            </w:r>
          </w:p>
        </w:tc>
        <w:tc>
          <w:tcPr>
            <w:tcW w:w="698" w:type="dxa"/>
            <w:vMerge w:val="restart"/>
            <w:tcBorders>
              <w:top w:val="nil"/>
              <w:left w:val="single" w:sz="8" w:space="0" w:color="auto"/>
              <w:bottom w:val="single" w:sz="8" w:space="0" w:color="000000"/>
              <w:right w:val="single" w:sz="8" w:space="0" w:color="auto"/>
            </w:tcBorders>
            <w:shd w:val="clear" w:color="auto" w:fill="auto"/>
            <w:vAlign w:val="center"/>
            <w:hideMark/>
          </w:tcPr>
          <w:p w14:paraId="05F4728A" w14:textId="77777777" w:rsidR="005068B5" w:rsidRPr="009605B2" w:rsidRDefault="005068B5" w:rsidP="00816745">
            <w:pPr>
              <w:jc w:val="center"/>
              <w:rPr>
                <w:rFonts w:ascii="Calibri" w:eastAsia="Times New Roman" w:hAnsi="Calibri"/>
                <w:color w:val="000000"/>
                <w:sz w:val="12"/>
                <w:szCs w:val="12"/>
              </w:rPr>
            </w:pPr>
            <w:r>
              <w:rPr>
                <w:rFonts w:ascii="Calibri" w:eastAsia="Times New Roman" w:hAnsi="Calibri"/>
                <w:color w:val="000000"/>
                <w:sz w:val="12"/>
                <w:szCs w:val="12"/>
              </w:rPr>
              <w:t>137</w:t>
            </w:r>
            <w:r w:rsidRPr="009605B2">
              <w:rPr>
                <w:rFonts w:ascii="Calibri" w:eastAsia="Times New Roman" w:hAnsi="Calibri"/>
                <w:color w:val="000000"/>
                <w:sz w:val="12"/>
                <w:szCs w:val="12"/>
              </w:rPr>
              <w:t>%</w:t>
            </w:r>
          </w:p>
        </w:tc>
      </w:tr>
      <w:tr w:rsidR="005068B5" w:rsidRPr="009605B2" w14:paraId="1F4B89A5" w14:textId="77777777" w:rsidTr="00816745">
        <w:trPr>
          <w:trHeight w:val="288"/>
        </w:trPr>
        <w:tc>
          <w:tcPr>
            <w:tcW w:w="2251" w:type="dxa"/>
            <w:vMerge/>
            <w:tcBorders>
              <w:top w:val="nil"/>
              <w:left w:val="single" w:sz="8" w:space="0" w:color="auto"/>
              <w:bottom w:val="single" w:sz="8" w:space="0" w:color="000000"/>
              <w:right w:val="single" w:sz="8" w:space="0" w:color="auto"/>
            </w:tcBorders>
            <w:vAlign w:val="center"/>
            <w:hideMark/>
          </w:tcPr>
          <w:p w14:paraId="1F3A8068" w14:textId="77777777" w:rsidR="005068B5" w:rsidRPr="009605B2" w:rsidRDefault="005068B5" w:rsidP="00816745">
            <w:pPr>
              <w:rPr>
                <w:rFonts w:ascii="Calibri" w:eastAsia="Times New Roman" w:hAnsi="Calibri"/>
                <w:color w:val="000000"/>
                <w:sz w:val="12"/>
                <w:szCs w:val="12"/>
              </w:rPr>
            </w:pPr>
          </w:p>
        </w:tc>
        <w:tc>
          <w:tcPr>
            <w:tcW w:w="662" w:type="dxa"/>
            <w:tcBorders>
              <w:top w:val="nil"/>
              <w:left w:val="nil"/>
              <w:bottom w:val="nil"/>
              <w:right w:val="single" w:sz="8" w:space="0" w:color="auto"/>
            </w:tcBorders>
            <w:shd w:val="clear" w:color="auto" w:fill="auto"/>
            <w:vAlign w:val="center"/>
            <w:hideMark/>
          </w:tcPr>
          <w:p w14:paraId="225CC60A"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H</w:t>
            </w:r>
          </w:p>
        </w:tc>
        <w:tc>
          <w:tcPr>
            <w:tcW w:w="621" w:type="dxa"/>
            <w:vMerge/>
            <w:tcBorders>
              <w:top w:val="nil"/>
              <w:left w:val="single" w:sz="8" w:space="0" w:color="auto"/>
              <w:bottom w:val="single" w:sz="8" w:space="0" w:color="000000"/>
              <w:right w:val="single" w:sz="8" w:space="0" w:color="auto"/>
            </w:tcBorders>
            <w:vAlign w:val="center"/>
            <w:hideMark/>
          </w:tcPr>
          <w:p w14:paraId="5C262035" w14:textId="77777777" w:rsidR="005068B5" w:rsidRPr="009605B2" w:rsidRDefault="005068B5" w:rsidP="00816745">
            <w:pPr>
              <w:rPr>
                <w:rFonts w:ascii="Calibri" w:eastAsia="Times New Roman" w:hAnsi="Calibri"/>
                <w:color w:val="000000"/>
                <w:sz w:val="12"/>
                <w:szCs w:val="12"/>
              </w:rPr>
            </w:pPr>
          </w:p>
        </w:tc>
        <w:tc>
          <w:tcPr>
            <w:tcW w:w="2074" w:type="dxa"/>
            <w:vMerge/>
            <w:tcBorders>
              <w:top w:val="nil"/>
              <w:left w:val="single" w:sz="8" w:space="0" w:color="auto"/>
              <w:bottom w:val="single" w:sz="8" w:space="0" w:color="000000"/>
              <w:right w:val="single" w:sz="8" w:space="0" w:color="auto"/>
            </w:tcBorders>
            <w:vAlign w:val="center"/>
            <w:hideMark/>
          </w:tcPr>
          <w:p w14:paraId="3DAE8265" w14:textId="77777777" w:rsidR="005068B5" w:rsidRPr="009605B2" w:rsidRDefault="005068B5" w:rsidP="00816745">
            <w:pPr>
              <w:rPr>
                <w:rFonts w:ascii="Calibri" w:eastAsia="Times New Roman" w:hAnsi="Calibri"/>
                <w:color w:val="000000"/>
                <w:sz w:val="12"/>
                <w:szCs w:val="12"/>
              </w:rPr>
            </w:pPr>
          </w:p>
        </w:tc>
        <w:tc>
          <w:tcPr>
            <w:tcW w:w="788" w:type="dxa"/>
            <w:vMerge/>
            <w:tcBorders>
              <w:top w:val="nil"/>
              <w:left w:val="single" w:sz="8" w:space="0" w:color="auto"/>
              <w:bottom w:val="single" w:sz="8" w:space="0" w:color="000000"/>
              <w:right w:val="single" w:sz="8" w:space="0" w:color="auto"/>
            </w:tcBorders>
            <w:vAlign w:val="center"/>
            <w:hideMark/>
          </w:tcPr>
          <w:p w14:paraId="6ACD412B" w14:textId="77777777" w:rsidR="005068B5" w:rsidRPr="009605B2" w:rsidRDefault="005068B5" w:rsidP="00816745">
            <w:pPr>
              <w:rPr>
                <w:rFonts w:ascii="Calibri" w:eastAsia="Times New Roman" w:hAnsi="Calibri"/>
                <w:color w:val="000000"/>
                <w:sz w:val="12"/>
                <w:szCs w:val="12"/>
              </w:rPr>
            </w:pPr>
          </w:p>
        </w:tc>
        <w:tc>
          <w:tcPr>
            <w:tcW w:w="763" w:type="dxa"/>
            <w:vMerge/>
            <w:tcBorders>
              <w:top w:val="nil"/>
              <w:left w:val="single" w:sz="8" w:space="0" w:color="auto"/>
              <w:bottom w:val="single" w:sz="8" w:space="0" w:color="000000"/>
              <w:right w:val="single" w:sz="8" w:space="0" w:color="auto"/>
            </w:tcBorders>
            <w:vAlign w:val="center"/>
            <w:hideMark/>
          </w:tcPr>
          <w:p w14:paraId="5F49FEB6" w14:textId="77777777" w:rsidR="005068B5" w:rsidRPr="00A60631" w:rsidRDefault="005068B5" w:rsidP="00816745">
            <w:pPr>
              <w:rPr>
                <w:rFonts w:ascii="Calibri" w:eastAsia="Times New Roman" w:hAnsi="Calibri"/>
                <w:color w:val="000000"/>
                <w:sz w:val="12"/>
                <w:szCs w:val="12"/>
                <w:highlight w:val="yellow"/>
              </w:rPr>
            </w:pPr>
          </w:p>
        </w:tc>
        <w:tc>
          <w:tcPr>
            <w:tcW w:w="763" w:type="dxa"/>
            <w:vMerge/>
            <w:tcBorders>
              <w:top w:val="nil"/>
              <w:left w:val="single" w:sz="8" w:space="0" w:color="auto"/>
              <w:bottom w:val="single" w:sz="8" w:space="0" w:color="000000"/>
              <w:right w:val="single" w:sz="8" w:space="0" w:color="auto"/>
            </w:tcBorders>
            <w:vAlign w:val="center"/>
            <w:hideMark/>
          </w:tcPr>
          <w:p w14:paraId="34BD8221" w14:textId="77777777" w:rsidR="005068B5" w:rsidRPr="00A60631" w:rsidRDefault="005068B5" w:rsidP="00816745">
            <w:pPr>
              <w:rPr>
                <w:rFonts w:ascii="Calibri" w:eastAsia="Times New Roman" w:hAnsi="Calibri"/>
                <w:color w:val="000000"/>
                <w:sz w:val="12"/>
                <w:szCs w:val="12"/>
                <w:highlight w:val="yellow"/>
              </w:rPr>
            </w:pPr>
          </w:p>
        </w:tc>
        <w:tc>
          <w:tcPr>
            <w:tcW w:w="698" w:type="dxa"/>
            <w:vMerge/>
            <w:tcBorders>
              <w:top w:val="nil"/>
              <w:left w:val="single" w:sz="8" w:space="0" w:color="auto"/>
              <w:bottom w:val="single" w:sz="8" w:space="0" w:color="000000"/>
              <w:right w:val="single" w:sz="8" w:space="0" w:color="auto"/>
            </w:tcBorders>
            <w:vAlign w:val="center"/>
            <w:hideMark/>
          </w:tcPr>
          <w:p w14:paraId="6536090C" w14:textId="77777777" w:rsidR="005068B5" w:rsidRPr="00A60631" w:rsidRDefault="005068B5" w:rsidP="00816745">
            <w:pPr>
              <w:rPr>
                <w:rFonts w:ascii="Calibri" w:eastAsia="Times New Roman" w:hAnsi="Calibri"/>
                <w:color w:val="000000"/>
                <w:sz w:val="12"/>
                <w:szCs w:val="12"/>
                <w:highlight w:val="yellow"/>
              </w:rPr>
            </w:pPr>
          </w:p>
        </w:tc>
        <w:tc>
          <w:tcPr>
            <w:tcW w:w="672" w:type="dxa"/>
            <w:vMerge/>
            <w:tcBorders>
              <w:top w:val="nil"/>
              <w:left w:val="single" w:sz="8" w:space="0" w:color="auto"/>
              <w:bottom w:val="single" w:sz="8" w:space="0" w:color="000000"/>
              <w:right w:val="single" w:sz="8" w:space="0" w:color="auto"/>
            </w:tcBorders>
            <w:vAlign w:val="center"/>
            <w:hideMark/>
          </w:tcPr>
          <w:p w14:paraId="65060220" w14:textId="77777777" w:rsidR="005068B5" w:rsidRPr="009605B2" w:rsidRDefault="005068B5" w:rsidP="00816745">
            <w:pPr>
              <w:rPr>
                <w:rFonts w:ascii="Calibri" w:eastAsia="Times New Roman" w:hAnsi="Calibri"/>
                <w:color w:val="000000"/>
                <w:sz w:val="12"/>
                <w:szCs w:val="12"/>
              </w:rPr>
            </w:pPr>
          </w:p>
        </w:tc>
        <w:tc>
          <w:tcPr>
            <w:tcW w:w="672" w:type="dxa"/>
            <w:vMerge/>
            <w:tcBorders>
              <w:top w:val="nil"/>
              <w:left w:val="single" w:sz="8" w:space="0" w:color="auto"/>
              <w:bottom w:val="single" w:sz="8" w:space="0" w:color="000000"/>
              <w:right w:val="single" w:sz="8" w:space="0" w:color="auto"/>
            </w:tcBorders>
            <w:vAlign w:val="center"/>
            <w:hideMark/>
          </w:tcPr>
          <w:p w14:paraId="328C6DA0" w14:textId="77777777" w:rsidR="005068B5" w:rsidRPr="009605B2" w:rsidRDefault="005068B5" w:rsidP="00816745">
            <w:pPr>
              <w:rPr>
                <w:rFonts w:ascii="Calibri" w:eastAsia="Times New Roman" w:hAnsi="Calibri"/>
                <w:color w:val="000000"/>
                <w:sz w:val="12"/>
                <w:szCs w:val="12"/>
              </w:rPr>
            </w:pPr>
          </w:p>
        </w:tc>
        <w:tc>
          <w:tcPr>
            <w:tcW w:w="698" w:type="dxa"/>
            <w:vMerge/>
            <w:tcBorders>
              <w:top w:val="nil"/>
              <w:left w:val="single" w:sz="8" w:space="0" w:color="auto"/>
              <w:bottom w:val="single" w:sz="8" w:space="0" w:color="000000"/>
              <w:right w:val="single" w:sz="8" w:space="0" w:color="auto"/>
            </w:tcBorders>
            <w:vAlign w:val="center"/>
            <w:hideMark/>
          </w:tcPr>
          <w:p w14:paraId="50567176" w14:textId="77777777" w:rsidR="005068B5" w:rsidRPr="009605B2" w:rsidRDefault="005068B5" w:rsidP="00816745">
            <w:pPr>
              <w:rPr>
                <w:rFonts w:ascii="Calibri" w:eastAsia="Times New Roman" w:hAnsi="Calibri"/>
                <w:color w:val="000000"/>
                <w:sz w:val="12"/>
                <w:szCs w:val="12"/>
              </w:rPr>
            </w:pPr>
          </w:p>
        </w:tc>
      </w:tr>
      <w:tr w:rsidR="005068B5" w:rsidRPr="009605B2" w14:paraId="11D8BFF4" w14:textId="77777777" w:rsidTr="00816745">
        <w:trPr>
          <w:trHeight w:val="294"/>
        </w:trPr>
        <w:tc>
          <w:tcPr>
            <w:tcW w:w="2251" w:type="dxa"/>
            <w:vMerge/>
            <w:tcBorders>
              <w:top w:val="nil"/>
              <w:left w:val="single" w:sz="8" w:space="0" w:color="auto"/>
              <w:bottom w:val="single" w:sz="8" w:space="0" w:color="000000"/>
              <w:right w:val="single" w:sz="8" w:space="0" w:color="auto"/>
            </w:tcBorders>
            <w:vAlign w:val="center"/>
            <w:hideMark/>
          </w:tcPr>
          <w:p w14:paraId="2FEC4740" w14:textId="77777777" w:rsidR="005068B5" w:rsidRPr="009605B2" w:rsidRDefault="005068B5" w:rsidP="00816745">
            <w:pPr>
              <w:rPr>
                <w:rFonts w:ascii="Calibri" w:eastAsia="Times New Roman" w:hAnsi="Calibri"/>
                <w:color w:val="000000"/>
                <w:sz w:val="12"/>
                <w:szCs w:val="12"/>
              </w:rPr>
            </w:pPr>
          </w:p>
        </w:tc>
        <w:tc>
          <w:tcPr>
            <w:tcW w:w="662" w:type="dxa"/>
            <w:tcBorders>
              <w:top w:val="nil"/>
              <w:left w:val="nil"/>
              <w:bottom w:val="single" w:sz="8" w:space="0" w:color="auto"/>
              <w:right w:val="single" w:sz="8" w:space="0" w:color="auto"/>
            </w:tcBorders>
            <w:shd w:val="clear" w:color="auto" w:fill="auto"/>
            <w:vAlign w:val="center"/>
            <w:hideMark/>
          </w:tcPr>
          <w:p w14:paraId="16762098" w14:textId="77777777" w:rsidR="005068B5" w:rsidRPr="009605B2" w:rsidRDefault="005068B5" w:rsidP="00816745">
            <w:pPr>
              <w:rPr>
                <w:rFonts w:ascii="Calibri" w:eastAsia="Times New Roman" w:hAnsi="Calibri"/>
                <w:color w:val="000000"/>
                <w:sz w:val="12"/>
                <w:szCs w:val="12"/>
              </w:rPr>
            </w:pPr>
            <w:r w:rsidRPr="009605B2">
              <w:rPr>
                <w:rFonts w:ascii="Calibri" w:eastAsia="Times New Roman" w:hAnsi="Calibri"/>
                <w:color w:val="000000"/>
                <w:sz w:val="12"/>
                <w:szCs w:val="12"/>
              </w:rPr>
              <w:t>NHSN</w:t>
            </w:r>
          </w:p>
        </w:tc>
        <w:tc>
          <w:tcPr>
            <w:tcW w:w="621" w:type="dxa"/>
            <w:vMerge/>
            <w:tcBorders>
              <w:top w:val="nil"/>
              <w:left w:val="single" w:sz="8" w:space="0" w:color="auto"/>
              <w:bottom w:val="single" w:sz="8" w:space="0" w:color="000000"/>
              <w:right w:val="single" w:sz="8" w:space="0" w:color="auto"/>
            </w:tcBorders>
            <w:vAlign w:val="center"/>
            <w:hideMark/>
          </w:tcPr>
          <w:p w14:paraId="4CCD1F7D" w14:textId="77777777" w:rsidR="005068B5" w:rsidRPr="009605B2" w:rsidRDefault="005068B5" w:rsidP="00816745">
            <w:pPr>
              <w:rPr>
                <w:rFonts w:ascii="Calibri" w:eastAsia="Times New Roman" w:hAnsi="Calibri"/>
                <w:color w:val="000000"/>
                <w:sz w:val="12"/>
                <w:szCs w:val="12"/>
              </w:rPr>
            </w:pPr>
          </w:p>
        </w:tc>
        <w:tc>
          <w:tcPr>
            <w:tcW w:w="2074" w:type="dxa"/>
            <w:vMerge/>
            <w:tcBorders>
              <w:top w:val="nil"/>
              <w:left w:val="single" w:sz="8" w:space="0" w:color="auto"/>
              <w:bottom w:val="single" w:sz="8" w:space="0" w:color="000000"/>
              <w:right w:val="single" w:sz="8" w:space="0" w:color="auto"/>
            </w:tcBorders>
            <w:vAlign w:val="center"/>
            <w:hideMark/>
          </w:tcPr>
          <w:p w14:paraId="743DE80E" w14:textId="77777777" w:rsidR="005068B5" w:rsidRPr="009605B2" w:rsidRDefault="005068B5" w:rsidP="00816745">
            <w:pPr>
              <w:rPr>
                <w:rFonts w:ascii="Calibri" w:eastAsia="Times New Roman" w:hAnsi="Calibri"/>
                <w:color w:val="000000"/>
                <w:sz w:val="12"/>
                <w:szCs w:val="12"/>
              </w:rPr>
            </w:pPr>
          </w:p>
        </w:tc>
        <w:tc>
          <w:tcPr>
            <w:tcW w:w="788" w:type="dxa"/>
            <w:vMerge/>
            <w:tcBorders>
              <w:top w:val="nil"/>
              <w:left w:val="single" w:sz="8" w:space="0" w:color="auto"/>
              <w:bottom w:val="single" w:sz="8" w:space="0" w:color="000000"/>
              <w:right w:val="single" w:sz="8" w:space="0" w:color="auto"/>
            </w:tcBorders>
            <w:vAlign w:val="center"/>
            <w:hideMark/>
          </w:tcPr>
          <w:p w14:paraId="05FC65A3" w14:textId="77777777" w:rsidR="005068B5" w:rsidRPr="009605B2" w:rsidRDefault="005068B5" w:rsidP="00816745">
            <w:pPr>
              <w:rPr>
                <w:rFonts w:ascii="Calibri" w:eastAsia="Times New Roman" w:hAnsi="Calibri"/>
                <w:color w:val="000000"/>
                <w:sz w:val="12"/>
                <w:szCs w:val="12"/>
              </w:rPr>
            </w:pPr>
          </w:p>
        </w:tc>
        <w:tc>
          <w:tcPr>
            <w:tcW w:w="763" w:type="dxa"/>
            <w:vMerge/>
            <w:tcBorders>
              <w:top w:val="nil"/>
              <w:left w:val="single" w:sz="8" w:space="0" w:color="auto"/>
              <w:bottom w:val="single" w:sz="8" w:space="0" w:color="000000"/>
              <w:right w:val="single" w:sz="8" w:space="0" w:color="auto"/>
            </w:tcBorders>
            <w:vAlign w:val="center"/>
            <w:hideMark/>
          </w:tcPr>
          <w:p w14:paraId="3ED3DE21" w14:textId="77777777" w:rsidR="005068B5" w:rsidRPr="00A60631" w:rsidRDefault="005068B5" w:rsidP="00816745">
            <w:pPr>
              <w:rPr>
                <w:rFonts w:ascii="Calibri" w:eastAsia="Times New Roman" w:hAnsi="Calibri"/>
                <w:color w:val="000000"/>
                <w:sz w:val="12"/>
                <w:szCs w:val="12"/>
                <w:highlight w:val="yellow"/>
              </w:rPr>
            </w:pPr>
          </w:p>
        </w:tc>
        <w:tc>
          <w:tcPr>
            <w:tcW w:w="763" w:type="dxa"/>
            <w:vMerge/>
            <w:tcBorders>
              <w:top w:val="nil"/>
              <w:left w:val="single" w:sz="8" w:space="0" w:color="auto"/>
              <w:bottom w:val="single" w:sz="8" w:space="0" w:color="000000"/>
              <w:right w:val="single" w:sz="8" w:space="0" w:color="auto"/>
            </w:tcBorders>
            <w:vAlign w:val="center"/>
            <w:hideMark/>
          </w:tcPr>
          <w:p w14:paraId="60FD6F81" w14:textId="77777777" w:rsidR="005068B5" w:rsidRPr="00A60631" w:rsidRDefault="005068B5" w:rsidP="00816745">
            <w:pPr>
              <w:rPr>
                <w:rFonts w:ascii="Calibri" w:eastAsia="Times New Roman" w:hAnsi="Calibri"/>
                <w:color w:val="000000"/>
                <w:sz w:val="12"/>
                <w:szCs w:val="12"/>
                <w:highlight w:val="yellow"/>
              </w:rPr>
            </w:pPr>
          </w:p>
        </w:tc>
        <w:tc>
          <w:tcPr>
            <w:tcW w:w="698" w:type="dxa"/>
            <w:vMerge/>
            <w:tcBorders>
              <w:top w:val="nil"/>
              <w:left w:val="single" w:sz="8" w:space="0" w:color="auto"/>
              <w:bottom w:val="single" w:sz="8" w:space="0" w:color="000000"/>
              <w:right w:val="single" w:sz="8" w:space="0" w:color="auto"/>
            </w:tcBorders>
            <w:vAlign w:val="center"/>
            <w:hideMark/>
          </w:tcPr>
          <w:p w14:paraId="75AB87B2" w14:textId="77777777" w:rsidR="005068B5" w:rsidRPr="00A60631" w:rsidRDefault="005068B5" w:rsidP="00816745">
            <w:pPr>
              <w:rPr>
                <w:rFonts w:ascii="Calibri" w:eastAsia="Times New Roman" w:hAnsi="Calibri"/>
                <w:color w:val="000000"/>
                <w:sz w:val="12"/>
                <w:szCs w:val="12"/>
                <w:highlight w:val="yellow"/>
              </w:rPr>
            </w:pPr>
          </w:p>
        </w:tc>
        <w:tc>
          <w:tcPr>
            <w:tcW w:w="672" w:type="dxa"/>
            <w:vMerge/>
            <w:tcBorders>
              <w:top w:val="nil"/>
              <w:left w:val="single" w:sz="8" w:space="0" w:color="auto"/>
              <w:bottom w:val="single" w:sz="8" w:space="0" w:color="000000"/>
              <w:right w:val="single" w:sz="8" w:space="0" w:color="auto"/>
            </w:tcBorders>
            <w:vAlign w:val="center"/>
            <w:hideMark/>
          </w:tcPr>
          <w:p w14:paraId="50819DB7" w14:textId="77777777" w:rsidR="005068B5" w:rsidRPr="009605B2" w:rsidRDefault="005068B5" w:rsidP="00816745">
            <w:pPr>
              <w:rPr>
                <w:rFonts w:ascii="Calibri" w:eastAsia="Times New Roman" w:hAnsi="Calibri"/>
                <w:color w:val="000000"/>
                <w:sz w:val="12"/>
                <w:szCs w:val="12"/>
              </w:rPr>
            </w:pPr>
          </w:p>
        </w:tc>
        <w:tc>
          <w:tcPr>
            <w:tcW w:w="672" w:type="dxa"/>
            <w:vMerge/>
            <w:tcBorders>
              <w:top w:val="nil"/>
              <w:left w:val="single" w:sz="8" w:space="0" w:color="auto"/>
              <w:bottom w:val="single" w:sz="8" w:space="0" w:color="000000"/>
              <w:right w:val="single" w:sz="8" w:space="0" w:color="auto"/>
            </w:tcBorders>
            <w:vAlign w:val="center"/>
            <w:hideMark/>
          </w:tcPr>
          <w:p w14:paraId="178C5E9C" w14:textId="77777777" w:rsidR="005068B5" w:rsidRPr="009605B2" w:rsidRDefault="005068B5" w:rsidP="00816745">
            <w:pPr>
              <w:rPr>
                <w:rFonts w:ascii="Calibri" w:eastAsia="Times New Roman" w:hAnsi="Calibri"/>
                <w:color w:val="000000"/>
                <w:sz w:val="12"/>
                <w:szCs w:val="12"/>
              </w:rPr>
            </w:pPr>
          </w:p>
        </w:tc>
        <w:tc>
          <w:tcPr>
            <w:tcW w:w="698" w:type="dxa"/>
            <w:vMerge/>
            <w:tcBorders>
              <w:top w:val="nil"/>
              <w:left w:val="single" w:sz="8" w:space="0" w:color="auto"/>
              <w:bottom w:val="single" w:sz="8" w:space="0" w:color="000000"/>
              <w:right w:val="single" w:sz="8" w:space="0" w:color="auto"/>
            </w:tcBorders>
            <w:vAlign w:val="center"/>
            <w:hideMark/>
          </w:tcPr>
          <w:p w14:paraId="7F163413" w14:textId="77777777" w:rsidR="005068B5" w:rsidRPr="009605B2" w:rsidRDefault="005068B5" w:rsidP="00816745">
            <w:pPr>
              <w:rPr>
                <w:rFonts w:ascii="Calibri" w:eastAsia="Times New Roman" w:hAnsi="Calibri"/>
                <w:color w:val="000000"/>
                <w:sz w:val="12"/>
                <w:szCs w:val="12"/>
              </w:rPr>
            </w:pPr>
          </w:p>
        </w:tc>
      </w:tr>
      <w:tr w:rsidR="005068B5" w:rsidRPr="0020194F" w14:paraId="127890D7" w14:textId="77777777" w:rsidTr="00816745">
        <w:trPr>
          <w:trHeight w:val="288"/>
        </w:trPr>
        <w:tc>
          <w:tcPr>
            <w:tcW w:w="2251" w:type="dxa"/>
            <w:vMerge w:val="restart"/>
            <w:tcBorders>
              <w:top w:val="nil"/>
              <w:left w:val="single" w:sz="8" w:space="0" w:color="auto"/>
              <w:bottom w:val="single" w:sz="8" w:space="0" w:color="000000"/>
              <w:right w:val="single" w:sz="8" w:space="0" w:color="auto"/>
            </w:tcBorders>
            <w:shd w:val="clear" w:color="auto" w:fill="auto"/>
            <w:vAlign w:val="center"/>
            <w:hideMark/>
          </w:tcPr>
          <w:p w14:paraId="4348C1A4" w14:textId="77777777" w:rsidR="005068B5" w:rsidRPr="0020194F" w:rsidRDefault="005068B5" w:rsidP="00816745">
            <w:pPr>
              <w:rPr>
                <w:rFonts w:ascii="Calibri" w:eastAsia="Times New Roman" w:hAnsi="Calibri"/>
                <w:color w:val="000000"/>
                <w:sz w:val="12"/>
                <w:szCs w:val="12"/>
              </w:rPr>
            </w:pPr>
            <w:r w:rsidRPr="0020194F">
              <w:rPr>
                <w:rFonts w:ascii="Calibri" w:eastAsia="Times New Roman" w:hAnsi="Calibri"/>
                <w:color w:val="000000"/>
                <w:sz w:val="12"/>
                <w:szCs w:val="12"/>
              </w:rPr>
              <w:t>Provide Housing &amp; Services for Persons w/ HIV/AIDS</w:t>
            </w:r>
          </w:p>
        </w:tc>
        <w:tc>
          <w:tcPr>
            <w:tcW w:w="662" w:type="dxa"/>
            <w:tcBorders>
              <w:top w:val="nil"/>
              <w:left w:val="nil"/>
              <w:bottom w:val="nil"/>
              <w:right w:val="single" w:sz="8" w:space="0" w:color="auto"/>
            </w:tcBorders>
            <w:shd w:val="clear" w:color="auto" w:fill="auto"/>
            <w:vAlign w:val="center"/>
            <w:hideMark/>
          </w:tcPr>
          <w:p w14:paraId="59398DCA" w14:textId="77777777" w:rsidR="005068B5" w:rsidRPr="0020194F" w:rsidRDefault="005068B5" w:rsidP="00816745">
            <w:pPr>
              <w:rPr>
                <w:rFonts w:ascii="Calibri" w:eastAsia="Times New Roman" w:hAnsi="Calibri"/>
                <w:color w:val="000000"/>
                <w:sz w:val="12"/>
                <w:szCs w:val="12"/>
              </w:rPr>
            </w:pPr>
            <w:r w:rsidRPr="0020194F">
              <w:rPr>
                <w:rFonts w:ascii="Calibri" w:eastAsia="Times New Roman" w:hAnsi="Calibri"/>
                <w:color w:val="000000"/>
                <w:sz w:val="12"/>
                <w:szCs w:val="12"/>
              </w:rPr>
              <w:t>AH</w:t>
            </w:r>
          </w:p>
        </w:tc>
        <w:tc>
          <w:tcPr>
            <w:tcW w:w="621" w:type="dxa"/>
            <w:vMerge w:val="restart"/>
            <w:tcBorders>
              <w:top w:val="nil"/>
              <w:left w:val="single" w:sz="8" w:space="0" w:color="auto"/>
              <w:bottom w:val="single" w:sz="8" w:space="0" w:color="000000"/>
              <w:right w:val="single" w:sz="8" w:space="0" w:color="auto"/>
            </w:tcBorders>
            <w:shd w:val="clear" w:color="auto" w:fill="auto"/>
            <w:vAlign w:val="center"/>
            <w:hideMark/>
          </w:tcPr>
          <w:p w14:paraId="100156BA" w14:textId="77777777" w:rsidR="005068B5" w:rsidRPr="0020194F" w:rsidRDefault="005068B5" w:rsidP="00816745">
            <w:pPr>
              <w:rPr>
                <w:rFonts w:ascii="Calibri" w:eastAsia="Times New Roman" w:hAnsi="Calibri"/>
                <w:color w:val="000000"/>
                <w:sz w:val="12"/>
                <w:szCs w:val="12"/>
              </w:rPr>
            </w:pPr>
            <w:r w:rsidRPr="0020194F">
              <w:rPr>
                <w:rFonts w:ascii="Calibri" w:eastAsia="Times New Roman" w:hAnsi="Calibri"/>
                <w:color w:val="000000"/>
                <w:sz w:val="12"/>
                <w:szCs w:val="12"/>
              </w:rPr>
              <w:t xml:space="preserve">HOPWA </w:t>
            </w:r>
          </w:p>
        </w:tc>
        <w:tc>
          <w:tcPr>
            <w:tcW w:w="2074" w:type="dxa"/>
            <w:vMerge w:val="restart"/>
            <w:tcBorders>
              <w:top w:val="nil"/>
              <w:left w:val="single" w:sz="8" w:space="0" w:color="auto"/>
              <w:bottom w:val="single" w:sz="8" w:space="0" w:color="000000"/>
              <w:right w:val="single" w:sz="8" w:space="0" w:color="auto"/>
            </w:tcBorders>
            <w:shd w:val="clear" w:color="auto" w:fill="auto"/>
            <w:vAlign w:val="center"/>
            <w:hideMark/>
          </w:tcPr>
          <w:p w14:paraId="1E68D6F8" w14:textId="77777777" w:rsidR="005068B5" w:rsidRPr="0020194F" w:rsidRDefault="005068B5" w:rsidP="00816745">
            <w:pPr>
              <w:rPr>
                <w:rFonts w:ascii="Calibri" w:eastAsia="Times New Roman" w:hAnsi="Calibri"/>
                <w:color w:val="000000"/>
                <w:sz w:val="12"/>
                <w:szCs w:val="12"/>
              </w:rPr>
            </w:pPr>
            <w:r w:rsidRPr="0020194F">
              <w:rPr>
                <w:rFonts w:ascii="Calibri" w:eastAsia="Times New Roman" w:hAnsi="Calibri"/>
                <w:color w:val="000000"/>
                <w:sz w:val="12"/>
                <w:szCs w:val="12"/>
              </w:rPr>
              <w:t>Homelessness Prevention</w:t>
            </w:r>
          </w:p>
        </w:tc>
        <w:tc>
          <w:tcPr>
            <w:tcW w:w="788" w:type="dxa"/>
            <w:vMerge w:val="restart"/>
            <w:tcBorders>
              <w:top w:val="nil"/>
              <w:left w:val="single" w:sz="8" w:space="0" w:color="auto"/>
              <w:bottom w:val="single" w:sz="8" w:space="0" w:color="000000"/>
              <w:right w:val="single" w:sz="8" w:space="0" w:color="auto"/>
            </w:tcBorders>
            <w:shd w:val="clear" w:color="auto" w:fill="auto"/>
            <w:vAlign w:val="center"/>
            <w:hideMark/>
          </w:tcPr>
          <w:p w14:paraId="370BA0D1"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Persons Assisted</w:t>
            </w:r>
          </w:p>
        </w:tc>
        <w:tc>
          <w:tcPr>
            <w:tcW w:w="763" w:type="dxa"/>
            <w:vMerge w:val="restart"/>
            <w:tcBorders>
              <w:top w:val="nil"/>
              <w:left w:val="single" w:sz="8" w:space="0" w:color="auto"/>
              <w:bottom w:val="single" w:sz="8" w:space="0" w:color="000000"/>
              <w:right w:val="single" w:sz="8" w:space="0" w:color="auto"/>
            </w:tcBorders>
            <w:shd w:val="clear" w:color="auto" w:fill="auto"/>
            <w:vAlign w:val="center"/>
            <w:hideMark/>
          </w:tcPr>
          <w:p w14:paraId="542538A8"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200</w:t>
            </w:r>
          </w:p>
        </w:tc>
        <w:tc>
          <w:tcPr>
            <w:tcW w:w="763" w:type="dxa"/>
            <w:vMerge w:val="restart"/>
            <w:tcBorders>
              <w:top w:val="nil"/>
              <w:left w:val="single" w:sz="8" w:space="0" w:color="auto"/>
              <w:bottom w:val="single" w:sz="8" w:space="0" w:color="000000"/>
              <w:right w:val="single" w:sz="8" w:space="0" w:color="auto"/>
            </w:tcBorders>
            <w:shd w:val="clear" w:color="auto" w:fill="auto"/>
            <w:vAlign w:val="center"/>
            <w:hideMark/>
          </w:tcPr>
          <w:p w14:paraId="32FB70DB"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230</w:t>
            </w:r>
          </w:p>
        </w:tc>
        <w:tc>
          <w:tcPr>
            <w:tcW w:w="698" w:type="dxa"/>
            <w:vMerge w:val="restart"/>
            <w:tcBorders>
              <w:top w:val="nil"/>
              <w:left w:val="single" w:sz="8" w:space="0" w:color="auto"/>
              <w:bottom w:val="single" w:sz="8" w:space="0" w:color="000000"/>
              <w:right w:val="single" w:sz="8" w:space="0" w:color="auto"/>
            </w:tcBorders>
            <w:shd w:val="clear" w:color="auto" w:fill="auto"/>
            <w:vAlign w:val="center"/>
            <w:hideMark/>
          </w:tcPr>
          <w:p w14:paraId="732543A4"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115%</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hideMark/>
          </w:tcPr>
          <w:p w14:paraId="77A0F2B8"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25</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hideMark/>
          </w:tcPr>
          <w:p w14:paraId="748C7EB1"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38</w:t>
            </w:r>
          </w:p>
        </w:tc>
        <w:tc>
          <w:tcPr>
            <w:tcW w:w="698" w:type="dxa"/>
            <w:vMerge w:val="restart"/>
            <w:tcBorders>
              <w:top w:val="nil"/>
              <w:left w:val="single" w:sz="8" w:space="0" w:color="auto"/>
              <w:bottom w:val="single" w:sz="8" w:space="0" w:color="000000"/>
              <w:right w:val="single" w:sz="8" w:space="0" w:color="auto"/>
            </w:tcBorders>
            <w:shd w:val="clear" w:color="auto" w:fill="auto"/>
            <w:vAlign w:val="center"/>
            <w:hideMark/>
          </w:tcPr>
          <w:p w14:paraId="4CE54443"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152%</w:t>
            </w:r>
          </w:p>
        </w:tc>
      </w:tr>
      <w:tr w:rsidR="005068B5" w:rsidRPr="0020194F" w14:paraId="5E4DC255" w14:textId="77777777" w:rsidTr="00816745">
        <w:trPr>
          <w:trHeight w:val="288"/>
        </w:trPr>
        <w:tc>
          <w:tcPr>
            <w:tcW w:w="2251" w:type="dxa"/>
            <w:vMerge/>
            <w:tcBorders>
              <w:top w:val="nil"/>
              <w:left w:val="single" w:sz="8" w:space="0" w:color="auto"/>
              <w:bottom w:val="single" w:sz="8" w:space="0" w:color="000000"/>
              <w:right w:val="single" w:sz="8" w:space="0" w:color="auto"/>
            </w:tcBorders>
            <w:vAlign w:val="center"/>
            <w:hideMark/>
          </w:tcPr>
          <w:p w14:paraId="36593B0F" w14:textId="77777777" w:rsidR="005068B5" w:rsidRPr="0020194F" w:rsidRDefault="005068B5" w:rsidP="00816745">
            <w:pPr>
              <w:rPr>
                <w:rFonts w:ascii="Calibri" w:eastAsia="Times New Roman" w:hAnsi="Calibri"/>
                <w:color w:val="000000"/>
                <w:sz w:val="12"/>
                <w:szCs w:val="12"/>
              </w:rPr>
            </w:pPr>
          </w:p>
        </w:tc>
        <w:tc>
          <w:tcPr>
            <w:tcW w:w="662" w:type="dxa"/>
            <w:tcBorders>
              <w:top w:val="nil"/>
              <w:left w:val="nil"/>
              <w:bottom w:val="nil"/>
              <w:right w:val="single" w:sz="8" w:space="0" w:color="auto"/>
            </w:tcBorders>
            <w:shd w:val="clear" w:color="auto" w:fill="auto"/>
            <w:vAlign w:val="center"/>
            <w:hideMark/>
          </w:tcPr>
          <w:p w14:paraId="183B75B5" w14:textId="77777777" w:rsidR="005068B5" w:rsidRPr="0020194F" w:rsidRDefault="005068B5" w:rsidP="00816745">
            <w:pPr>
              <w:rPr>
                <w:rFonts w:ascii="Calibri" w:eastAsia="Times New Roman" w:hAnsi="Calibri"/>
                <w:color w:val="000000"/>
                <w:sz w:val="12"/>
                <w:szCs w:val="12"/>
              </w:rPr>
            </w:pPr>
            <w:r w:rsidRPr="0020194F">
              <w:rPr>
                <w:rFonts w:ascii="Calibri" w:eastAsia="Times New Roman" w:hAnsi="Calibri"/>
                <w:color w:val="000000"/>
                <w:sz w:val="12"/>
                <w:szCs w:val="12"/>
              </w:rPr>
              <w:t>H</w:t>
            </w:r>
          </w:p>
        </w:tc>
        <w:tc>
          <w:tcPr>
            <w:tcW w:w="621" w:type="dxa"/>
            <w:vMerge/>
            <w:tcBorders>
              <w:top w:val="nil"/>
              <w:left w:val="single" w:sz="8" w:space="0" w:color="auto"/>
              <w:bottom w:val="single" w:sz="8" w:space="0" w:color="000000"/>
              <w:right w:val="single" w:sz="8" w:space="0" w:color="auto"/>
            </w:tcBorders>
            <w:vAlign w:val="center"/>
            <w:hideMark/>
          </w:tcPr>
          <w:p w14:paraId="3C1F70A1" w14:textId="77777777" w:rsidR="005068B5" w:rsidRPr="0020194F" w:rsidRDefault="005068B5" w:rsidP="00816745">
            <w:pPr>
              <w:rPr>
                <w:rFonts w:ascii="Calibri" w:eastAsia="Times New Roman" w:hAnsi="Calibri"/>
                <w:color w:val="000000"/>
                <w:sz w:val="12"/>
                <w:szCs w:val="12"/>
              </w:rPr>
            </w:pPr>
          </w:p>
        </w:tc>
        <w:tc>
          <w:tcPr>
            <w:tcW w:w="2074" w:type="dxa"/>
            <w:vMerge/>
            <w:tcBorders>
              <w:top w:val="nil"/>
              <w:left w:val="single" w:sz="8" w:space="0" w:color="auto"/>
              <w:bottom w:val="single" w:sz="8" w:space="0" w:color="000000"/>
              <w:right w:val="single" w:sz="8" w:space="0" w:color="auto"/>
            </w:tcBorders>
            <w:vAlign w:val="center"/>
            <w:hideMark/>
          </w:tcPr>
          <w:p w14:paraId="1D309C18" w14:textId="77777777" w:rsidR="005068B5" w:rsidRPr="0020194F" w:rsidRDefault="005068B5" w:rsidP="00816745">
            <w:pPr>
              <w:rPr>
                <w:rFonts w:ascii="Calibri" w:eastAsia="Times New Roman" w:hAnsi="Calibri"/>
                <w:color w:val="000000"/>
                <w:sz w:val="12"/>
                <w:szCs w:val="12"/>
              </w:rPr>
            </w:pPr>
          </w:p>
        </w:tc>
        <w:tc>
          <w:tcPr>
            <w:tcW w:w="788" w:type="dxa"/>
            <w:vMerge/>
            <w:tcBorders>
              <w:top w:val="nil"/>
              <w:left w:val="single" w:sz="8" w:space="0" w:color="auto"/>
              <w:bottom w:val="single" w:sz="8" w:space="0" w:color="000000"/>
              <w:right w:val="single" w:sz="8" w:space="0" w:color="auto"/>
            </w:tcBorders>
            <w:vAlign w:val="center"/>
            <w:hideMark/>
          </w:tcPr>
          <w:p w14:paraId="6CE102C2" w14:textId="77777777" w:rsidR="005068B5" w:rsidRPr="0020194F" w:rsidRDefault="005068B5" w:rsidP="00816745">
            <w:pPr>
              <w:rPr>
                <w:rFonts w:ascii="Calibri" w:eastAsia="Times New Roman" w:hAnsi="Calibri"/>
                <w:color w:val="000000"/>
                <w:sz w:val="12"/>
                <w:szCs w:val="12"/>
              </w:rPr>
            </w:pPr>
          </w:p>
        </w:tc>
        <w:tc>
          <w:tcPr>
            <w:tcW w:w="763" w:type="dxa"/>
            <w:vMerge/>
            <w:tcBorders>
              <w:top w:val="nil"/>
              <w:left w:val="single" w:sz="8" w:space="0" w:color="auto"/>
              <w:bottom w:val="single" w:sz="8" w:space="0" w:color="000000"/>
              <w:right w:val="single" w:sz="8" w:space="0" w:color="auto"/>
            </w:tcBorders>
            <w:vAlign w:val="center"/>
            <w:hideMark/>
          </w:tcPr>
          <w:p w14:paraId="0F33B59B" w14:textId="77777777" w:rsidR="005068B5" w:rsidRPr="0020194F" w:rsidRDefault="005068B5" w:rsidP="00816745">
            <w:pPr>
              <w:rPr>
                <w:rFonts w:ascii="Calibri" w:eastAsia="Times New Roman" w:hAnsi="Calibri"/>
                <w:color w:val="000000"/>
                <w:sz w:val="12"/>
                <w:szCs w:val="12"/>
              </w:rPr>
            </w:pPr>
          </w:p>
        </w:tc>
        <w:tc>
          <w:tcPr>
            <w:tcW w:w="763" w:type="dxa"/>
            <w:vMerge/>
            <w:tcBorders>
              <w:top w:val="nil"/>
              <w:left w:val="single" w:sz="8" w:space="0" w:color="auto"/>
              <w:bottom w:val="single" w:sz="8" w:space="0" w:color="000000"/>
              <w:right w:val="single" w:sz="8" w:space="0" w:color="auto"/>
            </w:tcBorders>
            <w:vAlign w:val="center"/>
            <w:hideMark/>
          </w:tcPr>
          <w:p w14:paraId="4DCAA8CA" w14:textId="77777777" w:rsidR="005068B5" w:rsidRPr="0020194F" w:rsidRDefault="005068B5" w:rsidP="00816745">
            <w:pPr>
              <w:rPr>
                <w:rFonts w:ascii="Calibri" w:eastAsia="Times New Roman" w:hAnsi="Calibri"/>
                <w:color w:val="000000"/>
                <w:sz w:val="12"/>
                <w:szCs w:val="12"/>
              </w:rPr>
            </w:pPr>
          </w:p>
        </w:tc>
        <w:tc>
          <w:tcPr>
            <w:tcW w:w="698" w:type="dxa"/>
            <w:vMerge/>
            <w:tcBorders>
              <w:top w:val="nil"/>
              <w:left w:val="single" w:sz="8" w:space="0" w:color="auto"/>
              <w:bottom w:val="single" w:sz="8" w:space="0" w:color="000000"/>
              <w:right w:val="single" w:sz="8" w:space="0" w:color="auto"/>
            </w:tcBorders>
            <w:vAlign w:val="center"/>
            <w:hideMark/>
          </w:tcPr>
          <w:p w14:paraId="72BA3109" w14:textId="77777777" w:rsidR="005068B5" w:rsidRPr="0020194F" w:rsidRDefault="005068B5" w:rsidP="00816745">
            <w:pPr>
              <w:rPr>
                <w:rFonts w:ascii="Calibri" w:eastAsia="Times New Roman" w:hAnsi="Calibri"/>
                <w:color w:val="000000"/>
                <w:sz w:val="12"/>
                <w:szCs w:val="12"/>
              </w:rPr>
            </w:pPr>
          </w:p>
        </w:tc>
        <w:tc>
          <w:tcPr>
            <w:tcW w:w="672" w:type="dxa"/>
            <w:vMerge/>
            <w:tcBorders>
              <w:top w:val="nil"/>
              <w:left w:val="single" w:sz="8" w:space="0" w:color="auto"/>
              <w:bottom w:val="single" w:sz="8" w:space="0" w:color="000000"/>
              <w:right w:val="single" w:sz="8" w:space="0" w:color="auto"/>
            </w:tcBorders>
            <w:vAlign w:val="center"/>
            <w:hideMark/>
          </w:tcPr>
          <w:p w14:paraId="6BF8166F" w14:textId="77777777" w:rsidR="005068B5" w:rsidRPr="0020194F" w:rsidRDefault="005068B5" w:rsidP="00816745">
            <w:pPr>
              <w:rPr>
                <w:rFonts w:ascii="Calibri" w:eastAsia="Times New Roman" w:hAnsi="Calibri"/>
                <w:color w:val="000000"/>
                <w:sz w:val="12"/>
                <w:szCs w:val="12"/>
              </w:rPr>
            </w:pPr>
          </w:p>
        </w:tc>
        <w:tc>
          <w:tcPr>
            <w:tcW w:w="672" w:type="dxa"/>
            <w:vMerge/>
            <w:tcBorders>
              <w:top w:val="nil"/>
              <w:left w:val="single" w:sz="8" w:space="0" w:color="auto"/>
              <w:bottom w:val="single" w:sz="8" w:space="0" w:color="000000"/>
              <w:right w:val="single" w:sz="8" w:space="0" w:color="auto"/>
            </w:tcBorders>
            <w:vAlign w:val="center"/>
            <w:hideMark/>
          </w:tcPr>
          <w:p w14:paraId="27819D62" w14:textId="77777777" w:rsidR="005068B5" w:rsidRPr="0020194F" w:rsidRDefault="005068B5" w:rsidP="00816745">
            <w:pPr>
              <w:rPr>
                <w:rFonts w:ascii="Calibri" w:eastAsia="Times New Roman" w:hAnsi="Calibri"/>
                <w:color w:val="000000"/>
                <w:sz w:val="12"/>
                <w:szCs w:val="12"/>
              </w:rPr>
            </w:pPr>
          </w:p>
        </w:tc>
        <w:tc>
          <w:tcPr>
            <w:tcW w:w="698" w:type="dxa"/>
            <w:vMerge/>
            <w:tcBorders>
              <w:top w:val="nil"/>
              <w:left w:val="single" w:sz="8" w:space="0" w:color="auto"/>
              <w:bottom w:val="single" w:sz="8" w:space="0" w:color="000000"/>
              <w:right w:val="single" w:sz="8" w:space="0" w:color="auto"/>
            </w:tcBorders>
            <w:vAlign w:val="center"/>
            <w:hideMark/>
          </w:tcPr>
          <w:p w14:paraId="327F7239" w14:textId="77777777" w:rsidR="005068B5" w:rsidRPr="0020194F" w:rsidRDefault="005068B5" w:rsidP="00816745">
            <w:pPr>
              <w:rPr>
                <w:rFonts w:ascii="Calibri" w:eastAsia="Times New Roman" w:hAnsi="Calibri"/>
                <w:color w:val="000000"/>
                <w:sz w:val="12"/>
                <w:szCs w:val="12"/>
              </w:rPr>
            </w:pPr>
          </w:p>
        </w:tc>
      </w:tr>
      <w:tr w:rsidR="005068B5" w:rsidRPr="0020194F" w14:paraId="63F584EE" w14:textId="77777777" w:rsidTr="00816745">
        <w:trPr>
          <w:trHeight w:val="294"/>
        </w:trPr>
        <w:tc>
          <w:tcPr>
            <w:tcW w:w="2251" w:type="dxa"/>
            <w:vMerge/>
            <w:tcBorders>
              <w:top w:val="nil"/>
              <w:left w:val="single" w:sz="8" w:space="0" w:color="auto"/>
              <w:bottom w:val="single" w:sz="8" w:space="0" w:color="000000"/>
              <w:right w:val="single" w:sz="8" w:space="0" w:color="auto"/>
            </w:tcBorders>
            <w:vAlign w:val="center"/>
            <w:hideMark/>
          </w:tcPr>
          <w:p w14:paraId="6825179C" w14:textId="77777777" w:rsidR="005068B5" w:rsidRPr="0020194F" w:rsidRDefault="005068B5" w:rsidP="00816745">
            <w:pPr>
              <w:rPr>
                <w:rFonts w:ascii="Calibri" w:eastAsia="Times New Roman" w:hAnsi="Calibri"/>
                <w:color w:val="000000"/>
                <w:sz w:val="12"/>
                <w:szCs w:val="12"/>
              </w:rPr>
            </w:pPr>
          </w:p>
        </w:tc>
        <w:tc>
          <w:tcPr>
            <w:tcW w:w="662" w:type="dxa"/>
            <w:tcBorders>
              <w:top w:val="nil"/>
              <w:left w:val="nil"/>
              <w:bottom w:val="single" w:sz="8" w:space="0" w:color="auto"/>
              <w:right w:val="single" w:sz="8" w:space="0" w:color="auto"/>
            </w:tcBorders>
            <w:shd w:val="clear" w:color="auto" w:fill="auto"/>
            <w:vAlign w:val="center"/>
            <w:hideMark/>
          </w:tcPr>
          <w:p w14:paraId="7207A89D" w14:textId="77777777" w:rsidR="005068B5" w:rsidRPr="0020194F" w:rsidRDefault="005068B5" w:rsidP="00816745">
            <w:pPr>
              <w:rPr>
                <w:rFonts w:ascii="Calibri" w:eastAsia="Times New Roman" w:hAnsi="Calibri"/>
                <w:color w:val="000000"/>
                <w:sz w:val="12"/>
                <w:szCs w:val="12"/>
              </w:rPr>
            </w:pPr>
            <w:r w:rsidRPr="0020194F">
              <w:rPr>
                <w:rFonts w:ascii="Calibri" w:eastAsia="Times New Roman" w:hAnsi="Calibri"/>
                <w:color w:val="000000"/>
                <w:sz w:val="12"/>
                <w:szCs w:val="12"/>
              </w:rPr>
              <w:t>NHSN</w:t>
            </w:r>
          </w:p>
        </w:tc>
        <w:tc>
          <w:tcPr>
            <w:tcW w:w="621" w:type="dxa"/>
            <w:vMerge/>
            <w:tcBorders>
              <w:top w:val="nil"/>
              <w:left w:val="single" w:sz="8" w:space="0" w:color="auto"/>
              <w:bottom w:val="single" w:sz="8" w:space="0" w:color="000000"/>
              <w:right w:val="single" w:sz="8" w:space="0" w:color="auto"/>
            </w:tcBorders>
            <w:vAlign w:val="center"/>
            <w:hideMark/>
          </w:tcPr>
          <w:p w14:paraId="2ADC9349" w14:textId="77777777" w:rsidR="005068B5" w:rsidRPr="0020194F" w:rsidRDefault="005068B5" w:rsidP="00816745">
            <w:pPr>
              <w:rPr>
                <w:rFonts w:ascii="Calibri" w:eastAsia="Times New Roman" w:hAnsi="Calibri"/>
                <w:color w:val="000000"/>
                <w:sz w:val="12"/>
                <w:szCs w:val="12"/>
              </w:rPr>
            </w:pPr>
          </w:p>
        </w:tc>
        <w:tc>
          <w:tcPr>
            <w:tcW w:w="2074" w:type="dxa"/>
            <w:vMerge/>
            <w:tcBorders>
              <w:top w:val="nil"/>
              <w:left w:val="single" w:sz="8" w:space="0" w:color="auto"/>
              <w:bottom w:val="single" w:sz="8" w:space="0" w:color="000000"/>
              <w:right w:val="single" w:sz="8" w:space="0" w:color="auto"/>
            </w:tcBorders>
            <w:vAlign w:val="center"/>
            <w:hideMark/>
          </w:tcPr>
          <w:p w14:paraId="6B0B21EC" w14:textId="77777777" w:rsidR="005068B5" w:rsidRPr="0020194F" w:rsidRDefault="005068B5" w:rsidP="00816745">
            <w:pPr>
              <w:rPr>
                <w:rFonts w:ascii="Calibri" w:eastAsia="Times New Roman" w:hAnsi="Calibri"/>
                <w:color w:val="000000"/>
                <w:sz w:val="12"/>
                <w:szCs w:val="12"/>
              </w:rPr>
            </w:pPr>
          </w:p>
        </w:tc>
        <w:tc>
          <w:tcPr>
            <w:tcW w:w="788" w:type="dxa"/>
            <w:vMerge/>
            <w:tcBorders>
              <w:top w:val="nil"/>
              <w:left w:val="single" w:sz="8" w:space="0" w:color="auto"/>
              <w:bottom w:val="single" w:sz="8" w:space="0" w:color="000000"/>
              <w:right w:val="single" w:sz="8" w:space="0" w:color="auto"/>
            </w:tcBorders>
            <w:vAlign w:val="center"/>
            <w:hideMark/>
          </w:tcPr>
          <w:p w14:paraId="252142BD" w14:textId="77777777" w:rsidR="005068B5" w:rsidRPr="0020194F" w:rsidRDefault="005068B5" w:rsidP="00816745">
            <w:pPr>
              <w:rPr>
                <w:rFonts w:ascii="Calibri" w:eastAsia="Times New Roman" w:hAnsi="Calibri"/>
                <w:color w:val="000000"/>
                <w:sz w:val="12"/>
                <w:szCs w:val="12"/>
              </w:rPr>
            </w:pPr>
          </w:p>
        </w:tc>
        <w:tc>
          <w:tcPr>
            <w:tcW w:w="763" w:type="dxa"/>
            <w:vMerge/>
            <w:tcBorders>
              <w:top w:val="nil"/>
              <w:left w:val="single" w:sz="8" w:space="0" w:color="auto"/>
              <w:bottom w:val="single" w:sz="8" w:space="0" w:color="000000"/>
              <w:right w:val="single" w:sz="8" w:space="0" w:color="auto"/>
            </w:tcBorders>
            <w:vAlign w:val="center"/>
            <w:hideMark/>
          </w:tcPr>
          <w:p w14:paraId="080A04A3" w14:textId="77777777" w:rsidR="005068B5" w:rsidRPr="0020194F" w:rsidRDefault="005068B5" w:rsidP="00816745">
            <w:pPr>
              <w:rPr>
                <w:rFonts w:ascii="Calibri" w:eastAsia="Times New Roman" w:hAnsi="Calibri"/>
                <w:color w:val="000000"/>
                <w:sz w:val="12"/>
                <w:szCs w:val="12"/>
              </w:rPr>
            </w:pPr>
          </w:p>
        </w:tc>
        <w:tc>
          <w:tcPr>
            <w:tcW w:w="763" w:type="dxa"/>
            <w:vMerge/>
            <w:tcBorders>
              <w:top w:val="nil"/>
              <w:left w:val="single" w:sz="8" w:space="0" w:color="auto"/>
              <w:bottom w:val="single" w:sz="8" w:space="0" w:color="000000"/>
              <w:right w:val="single" w:sz="8" w:space="0" w:color="auto"/>
            </w:tcBorders>
            <w:vAlign w:val="center"/>
            <w:hideMark/>
          </w:tcPr>
          <w:p w14:paraId="036088A2" w14:textId="77777777" w:rsidR="005068B5" w:rsidRPr="0020194F" w:rsidRDefault="005068B5" w:rsidP="00816745">
            <w:pPr>
              <w:rPr>
                <w:rFonts w:ascii="Calibri" w:eastAsia="Times New Roman" w:hAnsi="Calibri"/>
                <w:color w:val="000000"/>
                <w:sz w:val="12"/>
                <w:szCs w:val="12"/>
              </w:rPr>
            </w:pPr>
          </w:p>
        </w:tc>
        <w:tc>
          <w:tcPr>
            <w:tcW w:w="698" w:type="dxa"/>
            <w:vMerge/>
            <w:tcBorders>
              <w:top w:val="nil"/>
              <w:left w:val="single" w:sz="8" w:space="0" w:color="auto"/>
              <w:bottom w:val="single" w:sz="8" w:space="0" w:color="000000"/>
              <w:right w:val="single" w:sz="8" w:space="0" w:color="auto"/>
            </w:tcBorders>
            <w:vAlign w:val="center"/>
            <w:hideMark/>
          </w:tcPr>
          <w:p w14:paraId="296650CC" w14:textId="77777777" w:rsidR="005068B5" w:rsidRPr="0020194F" w:rsidRDefault="005068B5" w:rsidP="00816745">
            <w:pPr>
              <w:rPr>
                <w:rFonts w:ascii="Calibri" w:eastAsia="Times New Roman" w:hAnsi="Calibri"/>
                <w:color w:val="000000"/>
                <w:sz w:val="12"/>
                <w:szCs w:val="12"/>
              </w:rPr>
            </w:pPr>
          </w:p>
        </w:tc>
        <w:tc>
          <w:tcPr>
            <w:tcW w:w="672" w:type="dxa"/>
            <w:vMerge/>
            <w:tcBorders>
              <w:top w:val="nil"/>
              <w:left w:val="single" w:sz="8" w:space="0" w:color="auto"/>
              <w:bottom w:val="single" w:sz="8" w:space="0" w:color="000000"/>
              <w:right w:val="single" w:sz="8" w:space="0" w:color="auto"/>
            </w:tcBorders>
            <w:vAlign w:val="center"/>
            <w:hideMark/>
          </w:tcPr>
          <w:p w14:paraId="55366073" w14:textId="77777777" w:rsidR="005068B5" w:rsidRPr="0020194F" w:rsidRDefault="005068B5" w:rsidP="00816745">
            <w:pPr>
              <w:rPr>
                <w:rFonts w:ascii="Calibri" w:eastAsia="Times New Roman" w:hAnsi="Calibri"/>
                <w:color w:val="000000"/>
                <w:sz w:val="12"/>
                <w:szCs w:val="12"/>
              </w:rPr>
            </w:pPr>
          </w:p>
        </w:tc>
        <w:tc>
          <w:tcPr>
            <w:tcW w:w="672" w:type="dxa"/>
            <w:vMerge/>
            <w:tcBorders>
              <w:top w:val="nil"/>
              <w:left w:val="single" w:sz="8" w:space="0" w:color="auto"/>
              <w:bottom w:val="single" w:sz="8" w:space="0" w:color="000000"/>
              <w:right w:val="single" w:sz="8" w:space="0" w:color="auto"/>
            </w:tcBorders>
            <w:vAlign w:val="center"/>
            <w:hideMark/>
          </w:tcPr>
          <w:p w14:paraId="221EFA6A" w14:textId="77777777" w:rsidR="005068B5" w:rsidRPr="0020194F" w:rsidRDefault="005068B5" w:rsidP="00816745">
            <w:pPr>
              <w:rPr>
                <w:rFonts w:ascii="Calibri" w:eastAsia="Times New Roman" w:hAnsi="Calibri"/>
                <w:color w:val="000000"/>
                <w:sz w:val="12"/>
                <w:szCs w:val="12"/>
              </w:rPr>
            </w:pPr>
          </w:p>
        </w:tc>
        <w:tc>
          <w:tcPr>
            <w:tcW w:w="698" w:type="dxa"/>
            <w:vMerge/>
            <w:tcBorders>
              <w:top w:val="nil"/>
              <w:left w:val="single" w:sz="8" w:space="0" w:color="auto"/>
              <w:bottom w:val="single" w:sz="8" w:space="0" w:color="000000"/>
              <w:right w:val="single" w:sz="8" w:space="0" w:color="auto"/>
            </w:tcBorders>
            <w:vAlign w:val="center"/>
            <w:hideMark/>
          </w:tcPr>
          <w:p w14:paraId="197977CC" w14:textId="77777777" w:rsidR="005068B5" w:rsidRPr="0020194F" w:rsidRDefault="005068B5" w:rsidP="00816745">
            <w:pPr>
              <w:rPr>
                <w:rFonts w:ascii="Calibri" w:eastAsia="Times New Roman" w:hAnsi="Calibri"/>
                <w:color w:val="000000"/>
                <w:sz w:val="12"/>
                <w:szCs w:val="12"/>
              </w:rPr>
            </w:pPr>
          </w:p>
        </w:tc>
      </w:tr>
      <w:tr w:rsidR="005068B5" w:rsidRPr="0020194F" w14:paraId="3E6FC179" w14:textId="77777777" w:rsidTr="00816745">
        <w:trPr>
          <w:trHeight w:val="294"/>
        </w:trPr>
        <w:tc>
          <w:tcPr>
            <w:tcW w:w="2251" w:type="dxa"/>
            <w:tcBorders>
              <w:top w:val="nil"/>
              <w:left w:val="single" w:sz="8" w:space="0" w:color="auto"/>
              <w:bottom w:val="single" w:sz="8" w:space="0" w:color="auto"/>
              <w:right w:val="single" w:sz="8" w:space="0" w:color="auto"/>
            </w:tcBorders>
            <w:shd w:val="clear" w:color="auto" w:fill="auto"/>
            <w:vAlign w:val="center"/>
            <w:hideMark/>
          </w:tcPr>
          <w:p w14:paraId="5CF984A9" w14:textId="77777777" w:rsidR="005068B5" w:rsidRPr="0020194F" w:rsidRDefault="005068B5" w:rsidP="00816745">
            <w:pPr>
              <w:rPr>
                <w:rFonts w:ascii="Calibri" w:eastAsia="Times New Roman" w:hAnsi="Calibri"/>
                <w:color w:val="000000"/>
                <w:sz w:val="12"/>
                <w:szCs w:val="12"/>
              </w:rPr>
            </w:pPr>
            <w:r w:rsidRPr="0020194F">
              <w:rPr>
                <w:rFonts w:ascii="Calibri" w:eastAsia="Times New Roman" w:hAnsi="Calibri"/>
                <w:color w:val="000000"/>
                <w:sz w:val="12"/>
                <w:szCs w:val="12"/>
              </w:rPr>
              <w:t>Provide Housing for Homeless/at Risk of Homeless</w:t>
            </w:r>
          </w:p>
        </w:tc>
        <w:tc>
          <w:tcPr>
            <w:tcW w:w="662" w:type="dxa"/>
            <w:tcBorders>
              <w:top w:val="nil"/>
              <w:left w:val="nil"/>
              <w:bottom w:val="single" w:sz="8" w:space="0" w:color="auto"/>
              <w:right w:val="single" w:sz="8" w:space="0" w:color="auto"/>
            </w:tcBorders>
            <w:shd w:val="clear" w:color="auto" w:fill="auto"/>
            <w:vAlign w:val="center"/>
            <w:hideMark/>
          </w:tcPr>
          <w:p w14:paraId="6B633E4E" w14:textId="77777777" w:rsidR="005068B5" w:rsidRPr="0020194F" w:rsidRDefault="005068B5" w:rsidP="00816745">
            <w:pPr>
              <w:rPr>
                <w:rFonts w:ascii="Calibri" w:eastAsia="Times New Roman" w:hAnsi="Calibri"/>
                <w:color w:val="000000"/>
                <w:sz w:val="12"/>
                <w:szCs w:val="12"/>
              </w:rPr>
            </w:pPr>
            <w:r w:rsidRPr="0020194F">
              <w:rPr>
                <w:rFonts w:ascii="Calibri" w:eastAsia="Times New Roman" w:hAnsi="Calibri"/>
                <w:color w:val="000000"/>
                <w:sz w:val="12"/>
                <w:szCs w:val="12"/>
              </w:rPr>
              <w:t>H</w:t>
            </w:r>
          </w:p>
        </w:tc>
        <w:tc>
          <w:tcPr>
            <w:tcW w:w="621" w:type="dxa"/>
            <w:tcBorders>
              <w:top w:val="nil"/>
              <w:left w:val="nil"/>
              <w:bottom w:val="single" w:sz="8" w:space="0" w:color="auto"/>
              <w:right w:val="single" w:sz="8" w:space="0" w:color="auto"/>
            </w:tcBorders>
            <w:shd w:val="clear" w:color="auto" w:fill="auto"/>
            <w:vAlign w:val="center"/>
            <w:hideMark/>
          </w:tcPr>
          <w:p w14:paraId="595A1A4A" w14:textId="77777777" w:rsidR="005068B5" w:rsidRPr="0020194F" w:rsidRDefault="005068B5" w:rsidP="00816745">
            <w:pPr>
              <w:rPr>
                <w:rFonts w:ascii="Calibri" w:eastAsia="Times New Roman" w:hAnsi="Calibri"/>
                <w:color w:val="000000"/>
                <w:sz w:val="12"/>
                <w:szCs w:val="12"/>
              </w:rPr>
            </w:pPr>
            <w:r w:rsidRPr="0020194F">
              <w:rPr>
                <w:rFonts w:ascii="Calibri" w:eastAsia="Times New Roman" w:hAnsi="Calibri"/>
                <w:color w:val="000000"/>
                <w:sz w:val="12"/>
                <w:szCs w:val="12"/>
              </w:rPr>
              <w:t xml:space="preserve">HOME </w:t>
            </w:r>
            <w:r w:rsidRPr="0020194F">
              <w:rPr>
                <w:rFonts w:ascii="Calibri" w:eastAsia="Times New Roman" w:hAnsi="Calibri"/>
                <w:color w:val="000000"/>
                <w:sz w:val="12"/>
                <w:szCs w:val="12"/>
              </w:rPr>
              <w:br/>
              <w:t>ESG</w:t>
            </w:r>
          </w:p>
        </w:tc>
        <w:tc>
          <w:tcPr>
            <w:tcW w:w="2074" w:type="dxa"/>
            <w:tcBorders>
              <w:top w:val="nil"/>
              <w:left w:val="nil"/>
              <w:bottom w:val="single" w:sz="8" w:space="0" w:color="auto"/>
              <w:right w:val="single" w:sz="8" w:space="0" w:color="auto"/>
            </w:tcBorders>
            <w:shd w:val="clear" w:color="auto" w:fill="auto"/>
            <w:vAlign w:val="center"/>
            <w:hideMark/>
          </w:tcPr>
          <w:p w14:paraId="70AF6EB5" w14:textId="77777777" w:rsidR="005068B5" w:rsidRPr="0020194F" w:rsidRDefault="005068B5" w:rsidP="00816745">
            <w:pPr>
              <w:rPr>
                <w:rFonts w:ascii="Calibri" w:eastAsia="Times New Roman" w:hAnsi="Calibri"/>
                <w:color w:val="000000"/>
                <w:sz w:val="12"/>
                <w:szCs w:val="12"/>
              </w:rPr>
            </w:pPr>
            <w:r w:rsidRPr="0020194F">
              <w:rPr>
                <w:rFonts w:ascii="Calibri" w:eastAsia="Times New Roman" w:hAnsi="Calibri"/>
                <w:color w:val="000000"/>
                <w:sz w:val="12"/>
                <w:szCs w:val="12"/>
              </w:rPr>
              <w:t>Tenant-based rental assistance / Rapid Rehousing</w:t>
            </w:r>
          </w:p>
        </w:tc>
        <w:tc>
          <w:tcPr>
            <w:tcW w:w="788" w:type="dxa"/>
            <w:tcBorders>
              <w:top w:val="nil"/>
              <w:left w:val="nil"/>
              <w:bottom w:val="single" w:sz="8" w:space="0" w:color="auto"/>
              <w:right w:val="single" w:sz="8" w:space="0" w:color="auto"/>
            </w:tcBorders>
            <w:shd w:val="clear" w:color="auto" w:fill="auto"/>
            <w:vAlign w:val="center"/>
            <w:hideMark/>
          </w:tcPr>
          <w:p w14:paraId="15371031"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Households Assisted</w:t>
            </w:r>
          </w:p>
        </w:tc>
        <w:tc>
          <w:tcPr>
            <w:tcW w:w="763" w:type="dxa"/>
            <w:tcBorders>
              <w:top w:val="nil"/>
              <w:left w:val="nil"/>
              <w:bottom w:val="single" w:sz="8" w:space="0" w:color="auto"/>
              <w:right w:val="single" w:sz="8" w:space="0" w:color="auto"/>
            </w:tcBorders>
            <w:shd w:val="clear" w:color="auto" w:fill="auto"/>
            <w:vAlign w:val="center"/>
            <w:hideMark/>
          </w:tcPr>
          <w:p w14:paraId="7C74D3C8"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665</w:t>
            </w:r>
          </w:p>
        </w:tc>
        <w:tc>
          <w:tcPr>
            <w:tcW w:w="763" w:type="dxa"/>
            <w:tcBorders>
              <w:top w:val="nil"/>
              <w:left w:val="nil"/>
              <w:bottom w:val="single" w:sz="8" w:space="0" w:color="auto"/>
              <w:right w:val="single" w:sz="8" w:space="0" w:color="auto"/>
            </w:tcBorders>
            <w:shd w:val="clear" w:color="auto" w:fill="auto"/>
            <w:vAlign w:val="center"/>
            <w:hideMark/>
          </w:tcPr>
          <w:p w14:paraId="28ED9166"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662</w:t>
            </w:r>
          </w:p>
        </w:tc>
        <w:tc>
          <w:tcPr>
            <w:tcW w:w="698" w:type="dxa"/>
            <w:tcBorders>
              <w:top w:val="nil"/>
              <w:left w:val="nil"/>
              <w:bottom w:val="single" w:sz="8" w:space="0" w:color="auto"/>
              <w:right w:val="single" w:sz="8" w:space="0" w:color="auto"/>
            </w:tcBorders>
            <w:shd w:val="clear" w:color="auto" w:fill="auto"/>
            <w:vAlign w:val="center"/>
            <w:hideMark/>
          </w:tcPr>
          <w:p w14:paraId="3CEFC5B4"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99%</w:t>
            </w:r>
          </w:p>
        </w:tc>
        <w:tc>
          <w:tcPr>
            <w:tcW w:w="672" w:type="dxa"/>
            <w:tcBorders>
              <w:top w:val="nil"/>
              <w:left w:val="nil"/>
              <w:bottom w:val="single" w:sz="8" w:space="0" w:color="auto"/>
              <w:right w:val="single" w:sz="8" w:space="0" w:color="auto"/>
            </w:tcBorders>
            <w:shd w:val="clear" w:color="auto" w:fill="auto"/>
            <w:vAlign w:val="center"/>
            <w:hideMark/>
          </w:tcPr>
          <w:p w14:paraId="55806773"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133</w:t>
            </w:r>
          </w:p>
        </w:tc>
        <w:tc>
          <w:tcPr>
            <w:tcW w:w="672" w:type="dxa"/>
            <w:tcBorders>
              <w:top w:val="nil"/>
              <w:left w:val="nil"/>
              <w:bottom w:val="single" w:sz="8" w:space="0" w:color="auto"/>
              <w:right w:val="single" w:sz="8" w:space="0" w:color="auto"/>
            </w:tcBorders>
            <w:shd w:val="clear" w:color="auto" w:fill="auto"/>
            <w:vAlign w:val="center"/>
            <w:hideMark/>
          </w:tcPr>
          <w:p w14:paraId="3A0D978C"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175</w:t>
            </w:r>
          </w:p>
        </w:tc>
        <w:tc>
          <w:tcPr>
            <w:tcW w:w="698" w:type="dxa"/>
            <w:tcBorders>
              <w:top w:val="nil"/>
              <w:left w:val="nil"/>
              <w:bottom w:val="single" w:sz="8" w:space="0" w:color="auto"/>
              <w:right w:val="single" w:sz="8" w:space="0" w:color="auto"/>
            </w:tcBorders>
            <w:shd w:val="clear" w:color="auto" w:fill="auto"/>
            <w:vAlign w:val="center"/>
            <w:hideMark/>
          </w:tcPr>
          <w:p w14:paraId="367B977F"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132%</w:t>
            </w:r>
          </w:p>
        </w:tc>
      </w:tr>
      <w:tr w:rsidR="005068B5" w:rsidRPr="0020194F" w14:paraId="25E148A1" w14:textId="77777777" w:rsidTr="00816745">
        <w:trPr>
          <w:trHeight w:val="294"/>
        </w:trPr>
        <w:tc>
          <w:tcPr>
            <w:tcW w:w="2251" w:type="dxa"/>
            <w:tcBorders>
              <w:top w:val="nil"/>
              <w:left w:val="single" w:sz="8" w:space="0" w:color="auto"/>
              <w:bottom w:val="single" w:sz="8" w:space="0" w:color="auto"/>
              <w:right w:val="single" w:sz="8" w:space="0" w:color="auto"/>
            </w:tcBorders>
            <w:shd w:val="clear" w:color="auto" w:fill="auto"/>
            <w:vAlign w:val="center"/>
            <w:hideMark/>
          </w:tcPr>
          <w:p w14:paraId="605E0CBB" w14:textId="77777777" w:rsidR="005068B5" w:rsidRPr="0020194F" w:rsidRDefault="005068B5" w:rsidP="00816745">
            <w:pPr>
              <w:rPr>
                <w:rFonts w:ascii="Calibri" w:eastAsia="Times New Roman" w:hAnsi="Calibri"/>
                <w:color w:val="000000"/>
                <w:sz w:val="12"/>
                <w:szCs w:val="12"/>
              </w:rPr>
            </w:pPr>
            <w:r w:rsidRPr="0020194F">
              <w:rPr>
                <w:rFonts w:ascii="Calibri" w:eastAsia="Times New Roman" w:hAnsi="Calibri"/>
                <w:color w:val="000000"/>
                <w:sz w:val="12"/>
                <w:szCs w:val="12"/>
              </w:rPr>
              <w:t>Provide Housing for Homeless/at Risk of Homeless</w:t>
            </w:r>
          </w:p>
        </w:tc>
        <w:tc>
          <w:tcPr>
            <w:tcW w:w="662" w:type="dxa"/>
            <w:tcBorders>
              <w:top w:val="nil"/>
              <w:left w:val="nil"/>
              <w:bottom w:val="single" w:sz="8" w:space="0" w:color="auto"/>
              <w:right w:val="single" w:sz="8" w:space="0" w:color="auto"/>
            </w:tcBorders>
            <w:shd w:val="clear" w:color="auto" w:fill="auto"/>
            <w:vAlign w:val="center"/>
            <w:hideMark/>
          </w:tcPr>
          <w:p w14:paraId="131B509B" w14:textId="77777777" w:rsidR="005068B5" w:rsidRPr="0020194F" w:rsidRDefault="005068B5" w:rsidP="00816745">
            <w:pPr>
              <w:rPr>
                <w:rFonts w:ascii="Calibri" w:eastAsia="Times New Roman" w:hAnsi="Calibri"/>
                <w:color w:val="000000"/>
                <w:sz w:val="12"/>
                <w:szCs w:val="12"/>
              </w:rPr>
            </w:pPr>
            <w:r w:rsidRPr="0020194F">
              <w:rPr>
                <w:rFonts w:ascii="Calibri" w:eastAsia="Times New Roman" w:hAnsi="Calibri"/>
                <w:color w:val="000000"/>
                <w:sz w:val="12"/>
                <w:szCs w:val="12"/>
              </w:rPr>
              <w:t>H</w:t>
            </w:r>
          </w:p>
        </w:tc>
        <w:tc>
          <w:tcPr>
            <w:tcW w:w="621" w:type="dxa"/>
            <w:tcBorders>
              <w:top w:val="nil"/>
              <w:left w:val="nil"/>
              <w:bottom w:val="single" w:sz="8" w:space="0" w:color="auto"/>
              <w:right w:val="single" w:sz="8" w:space="0" w:color="auto"/>
            </w:tcBorders>
            <w:shd w:val="clear" w:color="auto" w:fill="auto"/>
            <w:vAlign w:val="center"/>
            <w:hideMark/>
          </w:tcPr>
          <w:p w14:paraId="19F008A7" w14:textId="77777777" w:rsidR="005068B5" w:rsidRPr="0020194F" w:rsidRDefault="005068B5" w:rsidP="00816745">
            <w:pPr>
              <w:rPr>
                <w:rFonts w:ascii="Calibri" w:eastAsia="Times New Roman" w:hAnsi="Calibri"/>
                <w:color w:val="000000"/>
                <w:sz w:val="12"/>
                <w:szCs w:val="12"/>
              </w:rPr>
            </w:pPr>
            <w:r w:rsidRPr="0020194F">
              <w:rPr>
                <w:rFonts w:ascii="Calibri" w:eastAsia="Times New Roman" w:hAnsi="Calibri"/>
                <w:color w:val="000000"/>
                <w:sz w:val="12"/>
                <w:szCs w:val="12"/>
              </w:rPr>
              <w:t xml:space="preserve">HOME </w:t>
            </w:r>
            <w:r w:rsidRPr="0020194F">
              <w:rPr>
                <w:rFonts w:ascii="Calibri" w:eastAsia="Times New Roman" w:hAnsi="Calibri"/>
                <w:color w:val="000000"/>
                <w:sz w:val="12"/>
                <w:szCs w:val="12"/>
              </w:rPr>
              <w:br/>
              <w:t>ESG</w:t>
            </w:r>
          </w:p>
        </w:tc>
        <w:tc>
          <w:tcPr>
            <w:tcW w:w="2074" w:type="dxa"/>
            <w:tcBorders>
              <w:top w:val="nil"/>
              <w:left w:val="nil"/>
              <w:bottom w:val="single" w:sz="8" w:space="0" w:color="auto"/>
              <w:right w:val="single" w:sz="8" w:space="0" w:color="auto"/>
            </w:tcBorders>
            <w:shd w:val="clear" w:color="auto" w:fill="auto"/>
            <w:vAlign w:val="center"/>
            <w:hideMark/>
          </w:tcPr>
          <w:p w14:paraId="2888A6F1" w14:textId="77777777" w:rsidR="005068B5" w:rsidRPr="0020194F" w:rsidRDefault="005068B5" w:rsidP="00816745">
            <w:pPr>
              <w:rPr>
                <w:rFonts w:ascii="Calibri" w:eastAsia="Times New Roman" w:hAnsi="Calibri"/>
                <w:color w:val="000000"/>
                <w:sz w:val="12"/>
                <w:szCs w:val="12"/>
              </w:rPr>
            </w:pPr>
            <w:r w:rsidRPr="0020194F">
              <w:rPr>
                <w:rFonts w:ascii="Calibri" w:eastAsia="Times New Roman" w:hAnsi="Calibri"/>
                <w:color w:val="000000"/>
                <w:sz w:val="12"/>
                <w:szCs w:val="12"/>
              </w:rPr>
              <w:t>Homelessness Prevention</w:t>
            </w:r>
          </w:p>
        </w:tc>
        <w:tc>
          <w:tcPr>
            <w:tcW w:w="788" w:type="dxa"/>
            <w:tcBorders>
              <w:top w:val="nil"/>
              <w:left w:val="nil"/>
              <w:bottom w:val="single" w:sz="8" w:space="0" w:color="auto"/>
              <w:right w:val="single" w:sz="8" w:space="0" w:color="auto"/>
            </w:tcBorders>
            <w:shd w:val="clear" w:color="auto" w:fill="auto"/>
            <w:vAlign w:val="center"/>
            <w:hideMark/>
          </w:tcPr>
          <w:p w14:paraId="1D792ED7"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Persons Assisted</w:t>
            </w:r>
          </w:p>
        </w:tc>
        <w:tc>
          <w:tcPr>
            <w:tcW w:w="763" w:type="dxa"/>
            <w:tcBorders>
              <w:top w:val="nil"/>
              <w:left w:val="nil"/>
              <w:bottom w:val="single" w:sz="8" w:space="0" w:color="auto"/>
              <w:right w:val="single" w:sz="8" w:space="0" w:color="auto"/>
            </w:tcBorders>
            <w:shd w:val="clear" w:color="auto" w:fill="auto"/>
            <w:vAlign w:val="center"/>
            <w:hideMark/>
          </w:tcPr>
          <w:p w14:paraId="4D06A5ED"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300</w:t>
            </w:r>
          </w:p>
        </w:tc>
        <w:tc>
          <w:tcPr>
            <w:tcW w:w="763" w:type="dxa"/>
            <w:tcBorders>
              <w:top w:val="nil"/>
              <w:left w:val="nil"/>
              <w:bottom w:val="single" w:sz="8" w:space="0" w:color="auto"/>
              <w:right w:val="single" w:sz="8" w:space="0" w:color="auto"/>
            </w:tcBorders>
            <w:shd w:val="clear" w:color="auto" w:fill="auto"/>
            <w:vAlign w:val="center"/>
            <w:hideMark/>
          </w:tcPr>
          <w:p w14:paraId="13185B4E"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113</w:t>
            </w:r>
          </w:p>
        </w:tc>
        <w:tc>
          <w:tcPr>
            <w:tcW w:w="698" w:type="dxa"/>
            <w:tcBorders>
              <w:top w:val="nil"/>
              <w:left w:val="nil"/>
              <w:bottom w:val="single" w:sz="8" w:space="0" w:color="auto"/>
              <w:right w:val="single" w:sz="8" w:space="0" w:color="auto"/>
            </w:tcBorders>
            <w:shd w:val="clear" w:color="auto" w:fill="auto"/>
            <w:vAlign w:val="center"/>
            <w:hideMark/>
          </w:tcPr>
          <w:p w14:paraId="28736986"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38%</w:t>
            </w:r>
          </w:p>
        </w:tc>
        <w:tc>
          <w:tcPr>
            <w:tcW w:w="672" w:type="dxa"/>
            <w:tcBorders>
              <w:top w:val="nil"/>
              <w:left w:val="nil"/>
              <w:bottom w:val="single" w:sz="8" w:space="0" w:color="auto"/>
              <w:right w:val="single" w:sz="8" w:space="0" w:color="auto"/>
            </w:tcBorders>
            <w:shd w:val="clear" w:color="auto" w:fill="auto"/>
            <w:vAlign w:val="center"/>
            <w:hideMark/>
          </w:tcPr>
          <w:p w14:paraId="6EA3F745"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60</w:t>
            </w:r>
          </w:p>
        </w:tc>
        <w:tc>
          <w:tcPr>
            <w:tcW w:w="672" w:type="dxa"/>
            <w:tcBorders>
              <w:top w:val="nil"/>
              <w:left w:val="nil"/>
              <w:bottom w:val="single" w:sz="8" w:space="0" w:color="auto"/>
              <w:right w:val="single" w:sz="8" w:space="0" w:color="auto"/>
            </w:tcBorders>
            <w:shd w:val="clear" w:color="auto" w:fill="auto"/>
            <w:vAlign w:val="center"/>
            <w:hideMark/>
          </w:tcPr>
          <w:p w14:paraId="2351F7BF"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49</w:t>
            </w:r>
          </w:p>
        </w:tc>
        <w:tc>
          <w:tcPr>
            <w:tcW w:w="698" w:type="dxa"/>
            <w:tcBorders>
              <w:top w:val="nil"/>
              <w:left w:val="nil"/>
              <w:bottom w:val="single" w:sz="8" w:space="0" w:color="auto"/>
              <w:right w:val="single" w:sz="8" w:space="0" w:color="auto"/>
            </w:tcBorders>
            <w:shd w:val="clear" w:color="auto" w:fill="auto"/>
            <w:vAlign w:val="center"/>
            <w:hideMark/>
          </w:tcPr>
          <w:p w14:paraId="1A9A2099"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82%</w:t>
            </w:r>
          </w:p>
        </w:tc>
      </w:tr>
      <w:tr w:rsidR="005068B5" w:rsidRPr="0020194F" w14:paraId="39AF4270" w14:textId="77777777" w:rsidTr="00816745">
        <w:trPr>
          <w:trHeight w:val="294"/>
        </w:trPr>
        <w:tc>
          <w:tcPr>
            <w:tcW w:w="2251" w:type="dxa"/>
            <w:tcBorders>
              <w:top w:val="nil"/>
              <w:left w:val="single" w:sz="8" w:space="0" w:color="auto"/>
              <w:bottom w:val="single" w:sz="8" w:space="0" w:color="auto"/>
              <w:right w:val="single" w:sz="8" w:space="0" w:color="auto"/>
            </w:tcBorders>
            <w:shd w:val="clear" w:color="auto" w:fill="auto"/>
            <w:vAlign w:val="center"/>
            <w:hideMark/>
          </w:tcPr>
          <w:p w14:paraId="4EAC010F" w14:textId="77777777" w:rsidR="005068B5" w:rsidRPr="0020194F" w:rsidRDefault="005068B5" w:rsidP="00816745">
            <w:pPr>
              <w:rPr>
                <w:rFonts w:ascii="Calibri" w:eastAsia="Times New Roman" w:hAnsi="Calibri"/>
                <w:color w:val="000000"/>
                <w:sz w:val="12"/>
                <w:szCs w:val="12"/>
              </w:rPr>
            </w:pPr>
            <w:r w:rsidRPr="0020194F">
              <w:rPr>
                <w:rFonts w:ascii="Calibri" w:eastAsia="Times New Roman" w:hAnsi="Calibri"/>
                <w:color w:val="000000"/>
                <w:sz w:val="12"/>
                <w:szCs w:val="12"/>
              </w:rPr>
              <w:t>Provide Services to Expand Opportunity/Sufficiency</w:t>
            </w:r>
          </w:p>
        </w:tc>
        <w:tc>
          <w:tcPr>
            <w:tcW w:w="662" w:type="dxa"/>
            <w:tcBorders>
              <w:top w:val="nil"/>
              <w:left w:val="nil"/>
              <w:bottom w:val="single" w:sz="8" w:space="0" w:color="auto"/>
              <w:right w:val="single" w:sz="8" w:space="0" w:color="auto"/>
            </w:tcBorders>
            <w:shd w:val="clear" w:color="auto" w:fill="auto"/>
            <w:vAlign w:val="center"/>
            <w:hideMark/>
          </w:tcPr>
          <w:p w14:paraId="37B17B9C" w14:textId="77777777" w:rsidR="005068B5" w:rsidRPr="0020194F" w:rsidRDefault="005068B5" w:rsidP="00816745">
            <w:pPr>
              <w:rPr>
                <w:rFonts w:ascii="Calibri" w:eastAsia="Times New Roman" w:hAnsi="Calibri"/>
                <w:color w:val="000000"/>
                <w:sz w:val="12"/>
                <w:szCs w:val="12"/>
              </w:rPr>
            </w:pPr>
            <w:r w:rsidRPr="0020194F">
              <w:rPr>
                <w:rFonts w:ascii="Calibri" w:eastAsia="Times New Roman" w:hAnsi="Calibri"/>
                <w:color w:val="000000"/>
                <w:sz w:val="12"/>
                <w:szCs w:val="12"/>
              </w:rPr>
              <w:t>NHSN</w:t>
            </w:r>
          </w:p>
        </w:tc>
        <w:tc>
          <w:tcPr>
            <w:tcW w:w="621" w:type="dxa"/>
            <w:tcBorders>
              <w:top w:val="nil"/>
              <w:left w:val="nil"/>
              <w:bottom w:val="single" w:sz="8" w:space="0" w:color="auto"/>
              <w:right w:val="single" w:sz="8" w:space="0" w:color="auto"/>
            </w:tcBorders>
            <w:shd w:val="clear" w:color="auto" w:fill="auto"/>
            <w:vAlign w:val="center"/>
            <w:hideMark/>
          </w:tcPr>
          <w:p w14:paraId="2EDFDD60" w14:textId="77777777" w:rsidR="005068B5" w:rsidRPr="0020194F" w:rsidRDefault="005068B5" w:rsidP="00816745">
            <w:pPr>
              <w:rPr>
                <w:rFonts w:ascii="Calibri" w:eastAsia="Times New Roman" w:hAnsi="Calibri"/>
                <w:color w:val="000000"/>
                <w:sz w:val="12"/>
                <w:szCs w:val="12"/>
              </w:rPr>
            </w:pPr>
            <w:r w:rsidRPr="0020194F">
              <w:rPr>
                <w:rFonts w:ascii="Calibri" w:eastAsia="Times New Roman" w:hAnsi="Calibri"/>
                <w:color w:val="000000"/>
                <w:sz w:val="12"/>
                <w:szCs w:val="12"/>
              </w:rPr>
              <w:t>CDBG</w:t>
            </w:r>
          </w:p>
        </w:tc>
        <w:tc>
          <w:tcPr>
            <w:tcW w:w="2074" w:type="dxa"/>
            <w:tcBorders>
              <w:top w:val="nil"/>
              <w:left w:val="nil"/>
              <w:bottom w:val="single" w:sz="8" w:space="0" w:color="auto"/>
              <w:right w:val="single" w:sz="8" w:space="0" w:color="auto"/>
            </w:tcBorders>
            <w:shd w:val="clear" w:color="auto" w:fill="auto"/>
            <w:vAlign w:val="center"/>
            <w:hideMark/>
          </w:tcPr>
          <w:p w14:paraId="5D3C6D36" w14:textId="77777777" w:rsidR="005068B5" w:rsidRPr="0020194F" w:rsidRDefault="005068B5" w:rsidP="00816745">
            <w:pPr>
              <w:rPr>
                <w:rFonts w:ascii="Calibri" w:eastAsia="Times New Roman" w:hAnsi="Calibri"/>
                <w:color w:val="000000"/>
                <w:sz w:val="12"/>
                <w:szCs w:val="12"/>
              </w:rPr>
            </w:pPr>
            <w:r w:rsidRPr="0020194F">
              <w:rPr>
                <w:rFonts w:ascii="Calibri" w:eastAsia="Times New Roman" w:hAnsi="Calibri"/>
                <w:color w:val="000000"/>
                <w:sz w:val="12"/>
                <w:szCs w:val="12"/>
              </w:rPr>
              <w:t>Public service activities other than Low/Moderate Income Housing Benefit</w:t>
            </w:r>
          </w:p>
        </w:tc>
        <w:tc>
          <w:tcPr>
            <w:tcW w:w="788" w:type="dxa"/>
            <w:tcBorders>
              <w:top w:val="nil"/>
              <w:left w:val="nil"/>
              <w:bottom w:val="single" w:sz="8" w:space="0" w:color="auto"/>
              <w:right w:val="single" w:sz="8" w:space="0" w:color="auto"/>
            </w:tcBorders>
            <w:shd w:val="clear" w:color="auto" w:fill="auto"/>
            <w:vAlign w:val="center"/>
            <w:hideMark/>
          </w:tcPr>
          <w:p w14:paraId="72369970"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Persons Assisted</w:t>
            </w:r>
          </w:p>
        </w:tc>
        <w:tc>
          <w:tcPr>
            <w:tcW w:w="763" w:type="dxa"/>
            <w:tcBorders>
              <w:top w:val="nil"/>
              <w:left w:val="nil"/>
              <w:bottom w:val="single" w:sz="8" w:space="0" w:color="auto"/>
              <w:right w:val="single" w:sz="8" w:space="0" w:color="auto"/>
            </w:tcBorders>
            <w:shd w:val="clear" w:color="auto" w:fill="auto"/>
            <w:vAlign w:val="center"/>
            <w:hideMark/>
          </w:tcPr>
          <w:p w14:paraId="33A96250"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35000</w:t>
            </w:r>
          </w:p>
        </w:tc>
        <w:tc>
          <w:tcPr>
            <w:tcW w:w="763" w:type="dxa"/>
            <w:tcBorders>
              <w:top w:val="nil"/>
              <w:left w:val="nil"/>
              <w:bottom w:val="single" w:sz="8" w:space="0" w:color="auto"/>
              <w:right w:val="single" w:sz="8" w:space="0" w:color="auto"/>
            </w:tcBorders>
            <w:shd w:val="clear" w:color="auto" w:fill="auto"/>
            <w:vAlign w:val="center"/>
            <w:hideMark/>
          </w:tcPr>
          <w:p w14:paraId="042D5E06"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19409</w:t>
            </w:r>
          </w:p>
        </w:tc>
        <w:tc>
          <w:tcPr>
            <w:tcW w:w="698" w:type="dxa"/>
            <w:tcBorders>
              <w:top w:val="nil"/>
              <w:left w:val="nil"/>
              <w:bottom w:val="single" w:sz="8" w:space="0" w:color="auto"/>
              <w:right w:val="single" w:sz="8" w:space="0" w:color="auto"/>
            </w:tcBorders>
            <w:shd w:val="clear" w:color="auto" w:fill="auto"/>
            <w:vAlign w:val="center"/>
            <w:hideMark/>
          </w:tcPr>
          <w:p w14:paraId="5B7CC02E"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55%</w:t>
            </w:r>
          </w:p>
        </w:tc>
        <w:tc>
          <w:tcPr>
            <w:tcW w:w="672" w:type="dxa"/>
            <w:tcBorders>
              <w:top w:val="nil"/>
              <w:left w:val="nil"/>
              <w:bottom w:val="single" w:sz="8" w:space="0" w:color="auto"/>
              <w:right w:val="single" w:sz="8" w:space="0" w:color="auto"/>
            </w:tcBorders>
            <w:shd w:val="clear" w:color="auto" w:fill="auto"/>
            <w:vAlign w:val="center"/>
            <w:hideMark/>
          </w:tcPr>
          <w:p w14:paraId="5BE580CC"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7000</w:t>
            </w:r>
          </w:p>
        </w:tc>
        <w:tc>
          <w:tcPr>
            <w:tcW w:w="672" w:type="dxa"/>
            <w:tcBorders>
              <w:top w:val="nil"/>
              <w:left w:val="nil"/>
              <w:bottom w:val="single" w:sz="8" w:space="0" w:color="auto"/>
              <w:right w:val="single" w:sz="8" w:space="0" w:color="auto"/>
            </w:tcBorders>
            <w:shd w:val="clear" w:color="auto" w:fill="auto"/>
            <w:vAlign w:val="center"/>
            <w:hideMark/>
          </w:tcPr>
          <w:p w14:paraId="0E8AF505"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1907</w:t>
            </w:r>
          </w:p>
        </w:tc>
        <w:tc>
          <w:tcPr>
            <w:tcW w:w="698" w:type="dxa"/>
            <w:tcBorders>
              <w:top w:val="nil"/>
              <w:left w:val="nil"/>
              <w:bottom w:val="single" w:sz="8" w:space="0" w:color="auto"/>
              <w:right w:val="single" w:sz="8" w:space="0" w:color="auto"/>
            </w:tcBorders>
            <w:shd w:val="clear" w:color="auto" w:fill="auto"/>
            <w:vAlign w:val="center"/>
            <w:hideMark/>
          </w:tcPr>
          <w:p w14:paraId="03E66B4E"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27%</w:t>
            </w:r>
          </w:p>
        </w:tc>
      </w:tr>
      <w:tr w:rsidR="005068B5" w:rsidRPr="0020194F" w14:paraId="3A988476" w14:textId="77777777" w:rsidTr="00816745">
        <w:trPr>
          <w:trHeight w:val="294"/>
        </w:trPr>
        <w:tc>
          <w:tcPr>
            <w:tcW w:w="2251" w:type="dxa"/>
            <w:tcBorders>
              <w:top w:val="nil"/>
              <w:left w:val="single" w:sz="8" w:space="0" w:color="auto"/>
              <w:bottom w:val="single" w:sz="8" w:space="0" w:color="auto"/>
              <w:right w:val="single" w:sz="8" w:space="0" w:color="auto"/>
            </w:tcBorders>
            <w:shd w:val="clear" w:color="auto" w:fill="auto"/>
            <w:vAlign w:val="center"/>
            <w:hideMark/>
          </w:tcPr>
          <w:p w14:paraId="139497E2" w14:textId="77777777" w:rsidR="005068B5" w:rsidRPr="0020194F" w:rsidRDefault="005068B5" w:rsidP="00816745">
            <w:pPr>
              <w:rPr>
                <w:rFonts w:ascii="Calibri" w:eastAsia="Times New Roman" w:hAnsi="Calibri"/>
                <w:color w:val="000000"/>
                <w:sz w:val="12"/>
                <w:szCs w:val="12"/>
              </w:rPr>
            </w:pPr>
            <w:r w:rsidRPr="0020194F">
              <w:rPr>
                <w:rFonts w:ascii="Calibri" w:eastAsia="Times New Roman" w:hAnsi="Calibri"/>
                <w:color w:val="000000"/>
                <w:sz w:val="12"/>
                <w:szCs w:val="12"/>
              </w:rPr>
              <w:t>Provide Services to Expand Opportunity/Sufficiency</w:t>
            </w:r>
          </w:p>
        </w:tc>
        <w:tc>
          <w:tcPr>
            <w:tcW w:w="662" w:type="dxa"/>
            <w:tcBorders>
              <w:top w:val="nil"/>
              <w:left w:val="nil"/>
              <w:bottom w:val="single" w:sz="8" w:space="0" w:color="auto"/>
              <w:right w:val="single" w:sz="8" w:space="0" w:color="auto"/>
            </w:tcBorders>
            <w:shd w:val="clear" w:color="auto" w:fill="auto"/>
            <w:vAlign w:val="center"/>
            <w:hideMark/>
          </w:tcPr>
          <w:p w14:paraId="469380BC" w14:textId="77777777" w:rsidR="005068B5" w:rsidRPr="0020194F" w:rsidRDefault="005068B5" w:rsidP="00816745">
            <w:pPr>
              <w:rPr>
                <w:rFonts w:ascii="Calibri" w:eastAsia="Times New Roman" w:hAnsi="Calibri"/>
                <w:color w:val="000000"/>
                <w:sz w:val="12"/>
                <w:szCs w:val="12"/>
              </w:rPr>
            </w:pPr>
            <w:r w:rsidRPr="0020194F">
              <w:rPr>
                <w:rFonts w:ascii="Calibri" w:eastAsia="Times New Roman" w:hAnsi="Calibri"/>
                <w:color w:val="000000"/>
                <w:sz w:val="12"/>
                <w:szCs w:val="12"/>
              </w:rPr>
              <w:t>NHSN</w:t>
            </w:r>
          </w:p>
        </w:tc>
        <w:tc>
          <w:tcPr>
            <w:tcW w:w="621" w:type="dxa"/>
            <w:tcBorders>
              <w:top w:val="nil"/>
              <w:left w:val="nil"/>
              <w:bottom w:val="single" w:sz="8" w:space="0" w:color="auto"/>
              <w:right w:val="single" w:sz="8" w:space="0" w:color="auto"/>
            </w:tcBorders>
            <w:shd w:val="clear" w:color="auto" w:fill="auto"/>
            <w:vAlign w:val="center"/>
            <w:hideMark/>
          </w:tcPr>
          <w:p w14:paraId="23BE78A7" w14:textId="77777777" w:rsidR="005068B5" w:rsidRPr="0020194F" w:rsidRDefault="005068B5" w:rsidP="00816745">
            <w:pPr>
              <w:rPr>
                <w:rFonts w:ascii="Calibri" w:eastAsia="Times New Roman" w:hAnsi="Calibri"/>
                <w:color w:val="000000"/>
                <w:sz w:val="12"/>
                <w:szCs w:val="12"/>
              </w:rPr>
            </w:pPr>
            <w:r w:rsidRPr="0020194F">
              <w:rPr>
                <w:rFonts w:ascii="Calibri" w:eastAsia="Times New Roman" w:hAnsi="Calibri"/>
                <w:color w:val="000000"/>
                <w:sz w:val="12"/>
                <w:szCs w:val="12"/>
              </w:rPr>
              <w:t>CDBG</w:t>
            </w:r>
          </w:p>
        </w:tc>
        <w:tc>
          <w:tcPr>
            <w:tcW w:w="2074" w:type="dxa"/>
            <w:tcBorders>
              <w:top w:val="nil"/>
              <w:left w:val="nil"/>
              <w:bottom w:val="single" w:sz="8" w:space="0" w:color="auto"/>
              <w:right w:val="single" w:sz="8" w:space="0" w:color="auto"/>
            </w:tcBorders>
            <w:shd w:val="clear" w:color="auto" w:fill="auto"/>
            <w:vAlign w:val="center"/>
            <w:hideMark/>
          </w:tcPr>
          <w:p w14:paraId="5D2755AA" w14:textId="77777777" w:rsidR="005068B5" w:rsidRPr="0020194F" w:rsidRDefault="005068B5" w:rsidP="00816745">
            <w:pPr>
              <w:rPr>
                <w:rFonts w:ascii="Calibri" w:eastAsia="Times New Roman" w:hAnsi="Calibri"/>
                <w:color w:val="000000"/>
                <w:sz w:val="12"/>
                <w:szCs w:val="12"/>
              </w:rPr>
            </w:pPr>
            <w:r w:rsidRPr="0020194F">
              <w:rPr>
                <w:rFonts w:ascii="Calibri" w:eastAsia="Times New Roman" w:hAnsi="Calibri"/>
                <w:color w:val="000000"/>
                <w:sz w:val="12"/>
                <w:szCs w:val="12"/>
              </w:rPr>
              <w:t>Homeless Person Overnight Shelter</w:t>
            </w:r>
          </w:p>
        </w:tc>
        <w:tc>
          <w:tcPr>
            <w:tcW w:w="788" w:type="dxa"/>
            <w:tcBorders>
              <w:top w:val="nil"/>
              <w:left w:val="nil"/>
              <w:bottom w:val="single" w:sz="8" w:space="0" w:color="auto"/>
              <w:right w:val="single" w:sz="8" w:space="0" w:color="auto"/>
            </w:tcBorders>
            <w:shd w:val="clear" w:color="auto" w:fill="auto"/>
            <w:vAlign w:val="center"/>
            <w:hideMark/>
          </w:tcPr>
          <w:p w14:paraId="490E4109"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Persons Assisted</w:t>
            </w:r>
          </w:p>
        </w:tc>
        <w:tc>
          <w:tcPr>
            <w:tcW w:w="763" w:type="dxa"/>
            <w:tcBorders>
              <w:top w:val="nil"/>
              <w:left w:val="nil"/>
              <w:bottom w:val="single" w:sz="8" w:space="0" w:color="auto"/>
              <w:right w:val="single" w:sz="8" w:space="0" w:color="auto"/>
            </w:tcBorders>
            <w:shd w:val="clear" w:color="auto" w:fill="auto"/>
            <w:vAlign w:val="center"/>
            <w:hideMark/>
          </w:tcPr>
          <w:p w14:paraId="42E1CDC9"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0</w:t>
            </w:r>
          </w:p>
        </w:tc>
        <w:tc>
          <w:tcPr>
            <w:tcW w:w="763" w:type="dxa"/>
            <w:tcBorders>
              <w:top w:val="nil"/>
              <w:left w:val="nil"/>
              <w:bottom w:val="single" w:sz="8" w:space="0" w:color="auto"/>
              <w:right w:val="single" w:sz="8" w:space="0" w:color="auto"/>
            </w:tcBorders>
            <w:shd w:val="clear" w:color="auto" w:fill="auto"/>
            <w:vAlign w:val="center"/>
            <w:hideMark/>
          </w:tcPr>
          <w:p w14:paraId="6BA077DA"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98" w:type="dxa"/>
            <w:tcBorders>
              <w:top w:val="nil"/>
              <w:left w:val="nil"/>
              <w:bottom w:val="single" w:sz="8" w:space="0" w:color="auto"/>
              <w:right w:val="single" w:sz="8" w:space="0" w:color="auto"/>
            </w:tcBorders>
            <w:shd w:val="clear" w:color="auto" w:fill="auto"/>
            <w:vAlign w:val="center"/>
            <w:hideMark/>
          </w:tcPr>
          <w:p w14:paraId="0622CC40"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72" w:type="dxa"/>
            <w:tcBorders>
              <w:top w:val="nil"/>
              <w:left w:val="nil"/>
              <w:bottom w:val="single" w:sz="8" w:space="0" w:color="auto"/>
              <w:right w:val="single" w:sz="8" w:space="0" w:color="auto"/>
            </w:tcBorders>
            <w:shd w:val="clear" w:color="auto" w:fill="auto"/>
            <w:vAlign w:val="center"/>
            <w:hideMark/>
          </w:tcPr>
          <w:p w14:paraId="00027604"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0</w:t>
            </w:r>
          </w:p>
        </w:tc>
        <w:tc>
          <w:tcPr>
            <w:tcW w:w="672" w:type="dxa"/>
            <w:tcBorders>
              <w:top w:val="nil"/>
              <w:left w:val="nil"/>
              <w:bottom w:val="single" w:sz="8" w:space="0" w:color="auto"/>
              <w:right w:val="single" w:sz="8" w:space="0" w:color="auto"/>
            </w:tcBorders>
            <w:shd w:val="clear" w:color="auto" w:fill="auto"/>
            <w:vAlign w:val="center"/>
            <w:hideMark/>
          </w:tcPr>
          <w:p w14:paraId="797624DB"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98" w:type="dxa"/>
            <w:tcBorders>
              <w:top w:val="nil"/>
              <w:left w:val="nil"/>
              <w:bottom w:val="single" w:sz="8" w:space="0" w:color="auto"/>
              <w:right w:val="single" w:sz="8" w:space="0" w:color="auto"/>
            </w:tcBorders>
            <w:shd w:val="clear" w:color="auto" w:fill="auto"/>
            <w:vAlign w:val="center"/>
            <w:hideMark/>
          </w:tcPr>
          <w:p w14:paraId="4470E89C"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r>
      <w:tr w:rsidR="005068B5" w:rsidRPr="009605B2" w14:paraId="509DD7F2" w14:textId="77777777" w:rsidTr="00816745">
        <w:trPr>
          <w:trHeight w:val="294"/>
        </w:trPr>
        <w:tc>
          <w:tcPr>
            <w:tcW w:w="2251" w:type="dxa"/>
            <w:tcBorders>
              <w:top w:val="nil"/>
              <w:left w:val="single" w:sz="8" w:space="0" w:color="auto"/>
              <w:bottom w:val="single" w:sz="8" w:space="0" w:color="auto"/>
              <w:right w:val="single" w:sz="8" w:space="0" w:color="auto"/>
            </w:tcBorders>
            <w:shd w:val="clear" w:color="auto" w:fill="auto"/>
            <w:vAlign w:val="center"/>
            <w:hideMark/>
          </w:tcPr>
          <w:p w14:paraId="081E69E7" w14:textId="77777777" w:rsidR="005068B5" w:rsidRPr="0020194F" w:rsidRDefault="005068B5" w:rsidP="00816745">
            <w:pPr>
              <w:rPr>
                <w:rFonts w:ascii="Calibri" w:eastAsia="Times New Roman" w:hAnsi="Calibri"/>
                <w:color w:val="000000"/>
                <w:sz w:val="12"/>
                <w:szCs w:val="12"/>
              </w:rPr>
            </w:pPr>
            <w:r w:rsidRPr="0020194F">
              <w:rPr>
                <w:rFonts w:ascii="Calibri" w:eastAsia="Times New Roman" w:hAnsi="Calibri"/>
                <w:color w:val="000000"/>
                <w:sz w:val="12"/>
                <w:szCs w:val="12"/>
              </w:rPr>
              <w:t>Revitalize Business Nodes in Target Areas</w:t>
            </w:r>
          </w:p>
        </w:tc>
        <w:tc>
          <w:tcPr>
            <w:tcW w:w="662" w:type="dxa"/>
            <w:tcBorders>
              <w:top w:val="nil"/>
              <w:left w:val="nil"/>
              <w:bottom w:val="single" w:sz="8" w:space="0" w:color="auto"/>
              <w:right w:val="single" w:sz="8" w:space="0" w:color="auto"/>
            </w:tcBorders>
            <w:shd w:val="clear" w:color="auto" w:fill="auto"/>
            <w:vAlign w:val="center"/>
            <w:hideMark/>
          </w:tcPr>
          <w:p w14:paraId="11D17DE4" w14:textId="77777777" w:rsidR="005068B5" w:rsidRPr="0020194F" w:rsidRDefault="005068B5" w:rsidP="00816745">
            <w:pPr>
              <w:rPr>
                <w:rFonts w:ascii="Calibri" w:eastAsia="Times New Roman" w:hAnsi="Calibri"/>
                <w:color w:val="000000"/>
                <w:sz w:val="12"/>
                <w:szCs w:val="12"/>
              </w:rPr>
            </w:pPr>
            <w:r w:rsidRPr="0020194F">
              <w:rPr>
                <w:rFonts w:ascii="Calibri" w:eastAsia="Times New Roman" w:hAnsi="Calibri"/>
                <w:color w:val="000000"/>
                <w:sz w:val="12"/>
                <w:szCs w:val="12"/>
              </w:rPr>
              <w:t>NHCD</w:t>
            </w:r>
          </w:p>
        </w:tc>
        <w:tc>
          <w:tcPr>
            <w:tcW w:w="621" w:type="dxa"/>
            <w:tcBorders>
              <w:top w:val="nil"/>
              <w:left w:val="nil"/>
              <w:bottom w:val="single" w:sz="8" w:space="0" w:color="auto"/>
              <w:right w:val="single" w:sz="8" w:space="0" w:color="auto"/>
            </w:tcBorders>
            <w:shd w:val="clear" w:color="auto" w:fill="auto"/>
            <w:vAlign w:val="center"/>
            <w:hideMark/>
          </w:tcPr>
          <w:p w14:paraId="2CD7456F" w14:textId="77777777" w:rsidR="005068B5" w:rsidRPr="0020194F" w:rsidRDefault="005068B5" w:rsidP="00816745">
            <w:pPr>
              <w:rPr>
                <w:rFonts w:ascii="Calibri" w:eastAsia="Times New Roman" w:hAnsi="Calibri"/>
                <w:color w:val="000000"/>
                <w:sz w:val="12"/>
                <w:szCs w:val="12"/>
              </w:rPr>
            </w:pPr>
            <w:r w:rsidRPr="0020194F">
              <w:rPr>
                <w:rFonts w:ascii="Calibri" w:eastAsia="Times New Roman" w:hAnsi="Calibri"/>
                <w:color w:val="000000"/>
                <w:sz w:val="12"/>
                <w:szCs w:val="12"/>
              </w:rPr>
              <w:t>CDBG</w:t>
            </w:r>
          </w:p>
        </w:tc>
        <w:tc>
          <w:tcPr>
            <w:tcW w:w="2074" w:type="dxa"/>
            <w:tcBorders>
              <w:top w:val="nil"/>
              <w:left w:val="nil"/>
              <w:bottom w:val="single" w:sz="8" w:space="0" w:color="auto"/>
              <w:right w:val="single" w:sz="8" w:space="0" w:color="auto"/>
            </w:tcBorders>
            <w:shd w:val="clear" w:color="auto" w:fill="auto"/>
            <w:vAlign w:val="center"/>
            <w:hideMark/>
          </w:tcPr>
          <w:p w14:paraId="598F703D" w14:textId="77777777" w:rsidR="005068B5" w:rsidRPr="0020194F" w:rsidRDefault="005068B5" w:rsidP="00816745">
            <w:pPr>
              <w:rPr>
                <w:rFonts w:ascii="Calibri" w:eastAsia="Times New Roman" w:hAnsi="Calibri"/>
                <w:color w:val="000000"/>
                <w:sz w:val="12"/>
                <w:szCs w:val="12"/>
              </w:rPr>
            </w:pPr>
            <w:r w:rsidRPr="0020194F">
              <w:rPr>
                <w:rFonts w:ascii="Calibri" w:eastAsia="Times New Roman" w:hAnsi="Calibri"/>
                <w:color w:val="000000"/>
                <w:sz w:val="12"/>
                <w:szCs w:val="12"/>
              </w:rPr>
              <w:t>Facade treatment/business building rehabilitation</w:t>
            </w:r>
          </w:p>
        </w:tc>
        <w:tc>
          <w:tcPr>
            <w:tcW w:w="788" w:type="dxa"/>
            <w:tcBorders>
              <w:top w:val="nil"/>
              <w:left w:val="nil"/>
              <w:bottom w:val="single" w:sz="8" w:space="0" w:color="auto"/>
              <w:right w:val="single" w:sz="8" w:space="0" w:color="auto"/>
            </w:tcBorders>
            <w:shd w:val="clear" w:color="auto" w:fill="auto"/>
            <w:vAlign w:val="center"/>
            <w:hideMark/>
          </w:tcPr>
          <w:p w14:paraId="6ED1C7D9"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Business</w:t>
            </w:r>
          </w:p>
        </w:tc>
        <w:tc>
          <w:tcPr>
            <w:tcW w:w="763" w:type="dxa"/>
            <w:tcBorders>
              <w:top w:val="nil"/>
              <w:left w:val="nil"/>
              <w:bottom w:val="single" w:sz="8" w:space="0" w:color="auto"/>
              <w:right w:val="single" w:sz="8" w:space="0" w:color="auto"/>
            </w:tcBorders>
            <w:shd w:val="clear" w:color="auto" w:fill="auto"/>
            <w:vAlign w:val="center"/>
            <w:hideMark/>
          </w:tcPr>
          <w:p w14:paraId="00ECBB0F"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75</w:t>
            </w:r>
          </w:p>
        </w:tc>
        <w:tc>
          <w:tcPr>
            <w:tcW w:w="763" w:type="dxa"/>
            <w:tcBorders>
              <w:top w:val="nil"/>
              <w:left w:val="nil"/>
              <w:bottom w:val="single" w:sz="8" w:space="0" w:color="auto"/>
              <w:right w:val="single" w:sz="8" w:space="0" w:color="auto"/>
            </w:tcBorders>
            <w:shd w:val="clear" w:color="auto" w:fill="auto"/>
            <w:vAlign w:val="center"/>
            <w:hideMark/>
          </w:tcPr>
          <w:p w14:paraId="14D0DF3B"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28</w:t>
            </w:r>
          </w:p>
        </w:tc>
        <w:tc>
          <w:tcPr>
            <w:tcW w:w="698" w:type="dxa"/>
            <w:tcBorders>
              <w:top w:val="nil"/>
              <w:left w:val="nil"/>
              <w:bottom w:val="single" w:sz="8" w:space="0" w:color="auto"/>
              <w:right w:val="single" w:sz="8" w:space="0" w:color="auto"/>
            </w:tcBorders>
            <w:shd w:val="clear" w:color="auto" w:fill="auto"/>
            <w:vAlign w:val="center"/>
            <w:hideMark/>
          </w:tcPr>
          <w:p w14:paraId="2C10976E"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37%</w:t>
            </w:r>
          </w:p>
        </w:tc>
        <w:tc>
          <w:tcPr>
            <w:tcW w:w="672" w:type="dxa"/>
            <w:tcBorders>
              <w:top w:val="nil"/>
              <w:left w:val="nil"/>
              <w:bottom w:val="single" w:sz="8" w:space="0" w:color="auto"/>
              <w:right w:val="single" w:sz="8" w:space="0" w:color="auto"/>
            </w:tcBorders>
            <w:shd w:val="clear" w:color="auto" w:fill="auto"/>
            <w:vAlign w:val="center"/>
            <w:hideMark/>
          </w:tcPr>
          <w:p w14:paraId="138E1066"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15</w:t>
            </w:r>
          </w:p>
        </w:tc>
        <w:tc>
          <w:tcPr>
            <w:tcW w:w="672" w:type="dxa"/>
            <w:tcBorders>
              <w:top w:val="nil"/>
              <w:left w:val="nil"/>
              <w:bottom w:val="single" w:sz="8" w:space="0" w:color="auto"/>
              <w:right w:val="single" w:sz="8" w:space="0" w:color="auto"/>
            </w:tcBorders>
            <w:shd w:val="clear" w:color="auto" w:fill="auto"/>
            <w:vAlign w:val="center"/>
            <w:hideMark/>
          </w:tcPr>
          <w:p w14:paraId="4C17C214" w14:textId="77777777" w:rsidR="005068B5" w:rsidRPr="0020194F"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8</w:t>
            </w:r>
          </w:p>
        </w:tc>
        <w:tc>
          <w:tcPr>
            <w:tcW w:w="698" w:type="dxa"/>
            <w:tcBorders>
              <w:top w:val="nil"/>
              <w:left w:val="nil"/>
              <w:bottom w:val="single" w:sz="8" w:space="0" w:color="auto"/>
              <w:right w:val="single" w:sz="8" w:space="0" w:color="auto"/>
            </w:tcBorders>
            <w:shd w:val="clear" w:color="auto" w:fill="auto"/>
            <w:vAlign w:val="center"/>
            <w:hideMark/>
          </w:tcPr>
          <w:p w14:paraId="467D511E" w14:textId="77777777" w:rsidR="005068B5" w:rsidRPr="009605B2" w:rsidRDefault="005068B5"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53%</w:t>
            </w:r>
          </w:p>
        </w:tc>
      </w:tr>
    </w:tbl>
    <w:p w14:paraId="527235E8" w14:textId="77777777" w:rsidR="005068B5" w:rsidRDefault="005068B5" w:rsidP="005068B5">
      <w:pPr>
        <w:spacing w:line="276" w:lineRule="auto"/>
        <w:ind w:right="360"/>
        <w:rPr>
          <w:rFonts w:asciiTheme="minorHAnsi" w:hAnsiTheme="minorHAnsi" w:cstheme="minorHAnsi"/>
          <w:b/>
          <w:color w:val="404040" w:themeColor="text1" w:themeTint="BF"/>
          <w:szCs w:val="20"/>
        </w:rPr>
      </w:pPr>
    </w:p>
    <w:p w14:paraId="028ADAB4" w14:textId="77777777" w:rsidR="005068B5" w:rsidRDefault="005068B5" w:rsidP="005068B5">
      <w:pPr>
        <w:spacing w:line="276" w:lineRule="auto"/>
        <w:ind w:right="360"/>
        <w:rPr>
          <w:rFonts w:asciiTheme="minorHAnsi" w:hAnsiTheme="minorHAnsi" w:cstheme="minorHAnsi"/>
          <w:b/>
          <w:color w:val="404040" w:themeColor="text1" w:themeTint="BF"/>
          <w:szCs w:val="20"/>
        </w:rPr>
      </w:pPr>
    </w:p>
    <w:tbl>
      <w:tblPr>
        <w:tblW w:w="5800" w:type="dxa"/>
        <w:tblLook w:val="04A0" w:firstRow="1" w:lastRow="0" w:firstColumn="1" w:lastColumn="0" w:noHBand="0" w:noVBand="1"/>
      </w:tblPr>
      <w:tblGrid>
        <w:gridCol w:w="1340"/>
        <w:gridCol w:w="4460"/>
      </w:tblGrid>
      <w:tr w:rsidR="005068B5" w:rsidRPr="004E77EA" w14:paraId="047E37AC" w14:textId="77777777" w:rsidTr="00816745">
        <w:trPr>
          <w:trHeight w:val="342"/>
        </w:trPr>
        <w:tc>
          <w:tcPr>
            <w:tcW w:w="5800" w:type="dxa"/>
            <w:gridSpan w:val="2"/>
            <w:tcBorders>
              <w:top w:val="single" w:sz="8" w:space="0" w:color="auto"/>
              <w:left w:val="single" w:sz="8" w:space="0" w:color="auto"/>
              <w:bottom w:val="nil"/>
              <w:right w:val="single" w:sz="8" w:space="0" w:color="000000"/>
            </w:tcBorders>
            <w:shd w:val="clear" w:color="000000" w:fill="BDD7EE"/>
            <w:vAlign w:val="bottom"/>
            <w:hideMark/>
          </w:tcPr>
          <w:p w14:paraId="23F4E191" w14:textId="77777777" w:rsidR="005068B5" w:rsidRPr="004E77EA" w:rsidRDefault="005068B5" w:rsidP="00816745">
            <w:pPr>
              <w:jc w:val="center"/>
              <w:rPr>
                <w:rFonts w:ascii="Calibri" w:eastAsia="Times New Roman" w:hAnsi="Calibri"/>
                <w:b/>
                <w:bCs/>
                <w:color w:val="404040" w:themeColor="text1" w:themeTint="BF"/>
                <w:sz w:val="16"/>
                <w:szCs w:val="16"/>
              </w:rPr>
            </w:pPr>
            <w:r w:rsidRPr="004E77EA">
              <w:rPr>
                <w:rFonts w:ascii="Calibri" w:eastAsia="Times New Roman" w:hAnsi="Calibri"/>
                <w:b/>
                <w:bCs/>
                <w:color w:val="404040" w:themeColor="text1" w:themeTint="BF"/>
                <w:sz w:val="16"/>
                <w:szCs w:val="16"/>
              </w:rPr>
              <w:t>Key</w:t>
            </w:r>
          </w:p>
        </w:tc>
      </w:tr>
      <w:tr w:rsidR="005068B5" w:rsidRPr="004E77EA" w14:paraId="48B8D9BB" w14:textId="77777777" w:rsidTr="00816745">
        <w:trPr>
          <w:trHeight w:val="294"/>
        </w:trPr>
        <w:tc>
          <w:tcPr>
            <w:tcW w:w="1340" w:type="dxa"/>
            <w:tcBorders>
              <w:top w:val="nil"/>
              <w:left w:val="single" w:sz="8" w:space="0" w:color="auto"/>
              <w:bottom w:val="single" w:sz="4" w:space="0" w:color="auto"/>
              <w:right w:val="nil"/>
            </w:tcBorders>
            <w:shd w:val="clear" w:color="000000" w:fill="D9D9D9"/>
            <w:vAlign w:val="bottom"/>
            <w:hideMark/>
          </w:tcPr>
          <w:p w14:paraId="792A6A3E" w14:textId="77777777" w:rsidR="005068B5" w:rsidRPr="004E77EA" w:rsidRDefault="005068B5" w:rsidP="00816745">
            <w:pPr>
              <w:jc w:val="center"/>
              <w:rPr>
                <w:rFonts w:ascii="Calibri" w:eastAsia="Times New Roman" w:hAnsi="Calibri"/>
                <w:color w:val="404040" w:themeColor="text1" w:themeTint="BF"/>
                <w:sz w:val="16"/>
                <w:szCs w:val="16"/>
              </w:rPr>
            </w:pPr>
            <w:r w:rsidRPr="004E77EA">
              <w:rPr>
                <w:rFonts w:ascii="Calibri" w:eastAsia="Times New Roman" w:hAnsi="Calibri"/>
                <w:color w:val="404040" w:themeColor="text1" w:themeTint="BF"/>
                <w:sz w:val="16"/>
                <w:szCs w:val="16"/>
              </w:rPr>
              <w:t xml:space="preserve">Category </w:t>
            </w:r>
          </w:p>
        </w:tc>
        <w:tc>
          <w:tcPr>
            <w:tcW w:w="4460" w:type="dxa"/>
            <w:tcBorders>
              <w:top w:val="nil"/>
              <w:left w:val="single" w:sz="4" w:space="0" w:color="auto"/>
              <w:bottom w:val="single" w:sz="4" w:space="0" w:color="auto"/>
              <w:right w:val="single" w:sz="8" w:space="0" w:color="auto"/>
            </w:tcBorders>
            <w:shd w:val="clear" w:color="000000" w:fill="D9D9D9"/>
            <w:vAlign w:val="bottom"/>
            <w:hideMark/>
          </w:tcPr>
          <w:p w14:paraId="6B3AC588" w14:textId="77777777" w:rsidR="005068B5" w:rsidRPr="004E77EA" w:rsidRDefault="005068B5" w:rsidP="00816745">
            <w:pPr>
              <w:jc w:val="center"/>
              <w:rPr>
                <w:rFonts w:ascii="Calibri" w:eastAsia="Times New Roman" w:hAnsi="Calibri"/>
                <w:color w:val="404040" w:themeColor="text1" w:themeTint="BF"/>
                <w:sz w:val="16"/>
                <w:szCs w:val="16"/>
              </w:rPr>
            </w:pPr>
            <w:r w:rsidRPr="004E77EA">
              <w:rPr>
                <w:rFonts w:ascii="Calibri" w:eastAsia="Times New Roman" w:hAnsi="Calibri"/>
                <w:color w:val="404040" w:themeColor="text1" w:themeTint="BF"/>
                <w:sz w:val="16"/>
                <w:szCs w:val="16"/>
              </w:rPr>
              <w:t>Category Explanation</w:t>
            </w:r>
          </w:p>
        </w:tc>
      </w:tr>
      <w:tr w:rsidR="005068B5" w:rsidRPr="004E77EA" w14:paraId="2D363F5F" w14:textId="77777777" w:rsidTr="00816745">
        <w:trPr>
          <w:trHeight w:val="294"/>
        </w:trPr>
        <w:tc>
          <w:tcPr>
            <w:tcW w:w="1340" w:type="dxa"/>
            <w:tcBorders>
              <w:top w:val="nil"/>
              <w:left w:val="single" w:sz="8" w:space="0" w:color="auto"/>
              <w:bottom w:val="nil"/>
              <w:right w:val="nil"/>
            </w:tcBorders>
            <w:shd w:val="clear" w:color="auto" w:fill="auto"/>
            <w:vAlign w:val="bottom"/>
            <w:hideMark/>
          </w:tcPr>
          <w:p w14:paraId="7685C75A" w14:textId="77777777" w:rsidR="005068B5" w:rsidRPr="004E77EA" w:rsidRDefault="005068B5" w:rsidP="00816745">
            <w:pPr>
              <w:jc w:val="center"/>
              <w:rPr>
                <w:rFonts w:ascii="Calibri" w:eastAsia="Times New Roman" w:hAnsi="Calibri"/>
                <w:color w:val="404040" w:themeColor="text1" w:themeTint="BF"/>
                <w:sz w:val="16"/>
                <w:szCs w:val="16"/>
              </w:rPr>
            </w:pPr>
            <w:r w:rsidRPr="004E77EA">
              <w:rPr>
                <w:rFonts w:ascii="Calibri" w:eastAsia="Times New Roman" w:hAnsi="Calibri"/>
                <w:color w:val="404040" w:themeColor="text1" w:themeTint="BF"/>
                <w:sz w:val="16"/>
                <w:szCs w:val="16"/>
              </w:rPr>
              <w:t xml:space="preserve">Admin </w:t>
            </w:r>
          </w:p>
        </w:tc>
        <w:tc>
          <w:tcPr>
            <w:tcW w:w="4460" w:type="dxa"/>
            <w:tcBorders>
              <w:top w:val="nil"/>
              <w:left w:val="single" w:sz="4" w:space="0" w:color="auto"/>
              <w:bottom w:val="nil"/>
              <w:right w:val="single" w:sz="8" w:space="0" w:color="auto"/>
            </w:tcBorders>
            <w:shd w:val="clear" w:color="auto" w:fill="auto"/>
            <w:vAlign w:val="bottom"/>
            <w:hideMark/>
          </w:tcPr>
          <w:p w14:paraId="053DC188" w14:textId="77777777" w:rsidR="005068B5" w:rsidRPr="004E77EA" w:rsidRDefault="005068B5" w:rsidP="00816745">
            <w:pPr>
              <w:rPr>
                <w:rFonts w:ascii="Calibri" w:eastAsia="Times New Roman" w:hAnsi="Calibri"/>
                <w:color w:val="404040" w:themeColor="text1" w:themeTint="BF"/>
                <w:sz w:val="16"/>
                <w:szCs w:val="16"/>
              </w:rPr>
            </w:pPr>
            <w:r w:rsidRPr="004E77EA">
              <w:rPr>
                <w:rFonts w:ascii="Calibri" w:eastAsia="Times New Roman" w:hAnsi="Calibri"/>
                <w:color w:val="404040" w:themeColor="text1" w:themeTint="BF"/>
                <w:sz w:val="16"/>
                <w:szCs w:val="16"/>
              </w:rPr>
              <w:t>Administration</w:t>
            </w:r>
          </w:p>
        </w:tc>
      </w:tr>
      <w:tr w:rsidR="005068B5" w:rsidRPr="004E77EA" w14:paraId="16232984" w14:textId="77777777" w:rsidTr="00816745">
        <w:trPr>
          <w:trHeight w:val="342"/>
        </w:trPr>
        <w:tc>
          <w:tcPr>
            <w:tcW w:w="1340" w:type="dxa"/>
            <w:tcBorders>
              <w:top w:val="nil"/>
              <w:left w:val="single" w:sz="8" w:space="0" w:color="auto"/>
              <w:bottom w:val="nil"/>
              <w:right w:val="nil"/>
            </w:tcBorders>
            <w:shd w:val="clear" w:color="auto" w:fill="auto"/>
            <w:vAlign w:val="bottom"/>
            <w:hideMark/>
          </w:tcPr>
          <w:p w14:paraId="1529E57F" w14:textId="77777777" w:rsidR="005068B5" w:rsidRPr="004E77EA" w:rsidRDefault="005068B5" w:rsidP="00816745">
            <w:pPr>
              <w:jc w:val="center"/>
              <w:rPr>
                <w:rFonts w:ascii="Calibri" w:eastAsia="Times New Roman" w:hAnsi="Calibri"/>
                <w:color w:val="404040" w:themeColor="text1" w:themeTint="BF"/>
                <w:sz w:val="16"/>
                <w:szCs w:val="16"/>
              </w:rPr>
            </w:pPr>
            <w:r w:rsidRPr="004E77EA">
              <w:rPr>
                <w:rFonts w:ascii="Calibri" w:eastAsia="Times New Roman" w:hAnsi="Calibri"/>
                <w:color w:val="404040" w:themeColor="text1" w:themeTint="BF"/>
                <w:sz w:val="16"/>
                <w:szCs w:val="16"/>
              </w:rPr>
              <w:t>AH</w:t>
            </w:r>
          </w:p>
        </w:tc>
        <w:tc>
          <w:tcPr>
            <w:tcW w:w="4460" w:type="dxa"/>
            <w:tcBorders>
              <w:top w:val="nil"/>
              <w:left w:val="single" w:sz="4" w:space="0" w:color="auto"/>
              <w:bottom w:val="nil"/>
              <w:right w:val="single" w:sz="8" w:space="0" w:color="auto"/>
            </w:tcBorders>
            <w:shd w:val="clear" w:color="auto" w:fill="auto"/>
            <w:vAlign w:val="bottom"/>
            <w:hideMark/>
          </w:tcPr>
          <w:p w14:paraId="035605A4" w14:textId="77777777" w:rsidR="005068B5" w:rsidRPr="004E77EA" w:rsidRDefault="005068B5" w:rsidP="00816745">
            <w:pPr>
              <w:rPr>
                <w:rFonts w:ascii="Calibri" w:eastAsia="Times New Roman" w:hAnsi="Calibri"/>
                <w:color w:val="404040" w:themeColor="text1" w:themeTint="BF"/>
                <w:sz w:val="16"/>
                <w:szCs w:val="16"/>
              </w:rPr>
            </w:pPr>
            <w:r w:rsidRPr="004E77EA">
              <w:rPr>
                <w:rFonts w:ascii="Calibri" w:eastAsia="Times New Roman" w:hAnsi="Calibri"/>
                <w:color w:val="404040" w:themeColor="text1" w:themeTint="BF"/>
                <w:sz w:val="16"/>
                <w:szCs w:val="16"/>
              </w:rPr>
              <w:t>Affordable Housing</w:t>
            </w:r>
          </w:p>
        </w:tc>
      </w:tr>
      <w:tr w:rsidR="005068B5" w:rsidRPr="004E77EA" w14:paraId="2BA6A31F" w14:textId="77777777" w:rsidTr="00816745">
        <w:trPr>
          <w:trHeight w:val="294"/>
        </w:trPr>
        <w:tc>
          <w:tcPr>
            <w:tcW w:w="1340" w:type="dxa"/>
            <w:tcBorders>
              <w:top w:val="nil"/>
              <w:left w:val="single" w:sz="8" w:space="0" w:color="auto"/>
              <w:bottom w:val="nil"/>
              <w:right w:val="nil"/>
            </w:tcBorders>
            <w:shd w:val="clear" w:color="auto" w:fill="auto"/>
            <w:vAlign w:val="bottom"/>
            <w:hideMark/>
          </w:tcPr>
          <w:p w14:paraId="5DFC64A0" w14:textId="77777777" w:rsidR="005068B5" w:rsidRPr="004E77EA" w:rsidRDefault="005068B5" w:rsidP="00816745">
            <w:pPr>
              <w:jc w:val="center"/>
              <w:rPr>
                <w:rFonts w:ascii="Calibri" w:eastAsia="Times New Roman" w:hAnsi="Calibri"/>
                <w:color w:val="404040" w:themeColor="text1" w:themeTint="BF"/>
                <w:sz w:val="16"/>
                <w:szCs w:val="16"/>
              </w:rPr>
            </w:pPr>
            <w:r w:rsidRPr="004E77EA">
              <w:rPr>
                <w:rFonts w:ascii="Calibri" w:eastAsia="Times New Roman" w:hAnsi="Calibri"/>
                <w:color w:val="404040" w:themeColor="text1" w:themeTint="BF"/>
                <w:sz w:val="16"/>
                <w:szCs w:val="16"/>
              </w:rPr>
              <w:t>NHCD</w:t>
            </w:r>
          </w:p>
        </w:tc>
        <w:tc>
          <w:tcPr>
            <w:tcW w:w="4460" w:type="dxa"/>
            <w:tcBorders>
              <w:top w:val="nil"/>
              <w:left w:val="single" w:sz="4" w:space="0" w:color="auto"/>
              <w:bottom w:val="nil"/>
              <w:right w:val="single" w:sz="8" w:space="0" w:color="auto"/>
            </w:tcBorders>
            <w:shd w:val="clear" w:color="auto" w:fill="auto"/>
            <w:vAlign w:val="bottom"/>
            <w:hideMark/>
          </w:tcPr>
          <w:p w14:paraId="36AD2664" w14:textId="77777777" w:rsidR="005068B5" w:rsidRPr="004E77EA" w:rsidRDefault="005068B5" w:rsidP="00816745">
            <w:pPr>
              <w:rPr>
                <w:rFonts w:ascii="Calibri" w:eastAsia="Times New Roman" w:hAnsi="Calibri"/>
                <w:color w:val="404040" w:themeColor="text1" w:themeTint="BF"/>
                <w:sz w:val="16"/>
                <w:szCs w:val="16"/>
              </w:rPr>
            </w:pPr>
            <w:r w:rsidRPr="004E77EA">
              <w:rPr>
                <w:rFonts w:ascii="Calibri" w:eastAsia="Times New Roman" w:hAnsi="Calibri"/>
                <w:color w:val="404040" w:themeColor="text1" w:themeTint="BF"/>
                <w:sz w:val="16"/>
                <w:szCs w:val="16"/>
              </w:rPr>
              <w:t>Non-Housing Community Development</w:t>
            </w:r>
          </w:p>
        </w:tc>
      </w:tr>
      <w:tr w:rsidR="005068B5" w:rsidRPr="004E77EA" w14:paraId="05F4A59B" w14:textId="77777777" w:rsidTr="00816745">
        <w:trPr>
          <w:trHeight w:val="294"/>
        </w:trPr>
        <w:tc>
          <w:tcPr>
            <w:tcW w:w="1340" w:type="dxa"/>
            <w:tcBorders>
              <w:top w:val="nil"/>
              <w:left w:val="single" w:sz="8" w:space="0" w:color="auto"/>
              <w:bottom w:val="nil"/>
              <w:right w:val="nil"/>
            </w:tcBorders>
            <w:shd w:val="clear" w:color="auto" w:fill="auto"/>
            <w:vAlign w:val="bottom"/>
            <w:hideMark/>
          </w:tcPr>
          <w:p w14:paraId="32CC991B" w14:textId="77777777" w:rsidR="005068B5" w:rsidRPr="004E77EA" w:rsidRDefault="005068B5" w:rsidP="00816745">
            <w:pPr>
              <w:jc w:val="center"/>
              <w:rPr>
                <w:rFonts w:ascii="Calibri" w:eastAsia="Times New Roman" w:hAnsi="Calibri"/>
                <w:color w:val="404040" w:themeColor="text1" w:themeTint="BF"/>
                <w:sz w:val="16"/>
                <w:szCs w:val="16"/>
              </w:rPr>
            </w:pPr>
            <w:r w:rsidRPr="004E77EA">
              <w:rPr>
                <w:rFonts w:ascii="Calibri" w:eastAsia="Times New Roman" w:hAnsi="Calibri"/>
                <w:color w:val="404040" w:themeColor="text1" w:themeTint="BF"/>
                <w:sz w:val="16"/>
                <w:szCs w:val="16"/>
              </w:rPr>
              <w:t>NHSN</w:t>
            </w:r>
          </w:p>
        </w:tc>
        <w:tc>
          <w:tcPr>
            <w:tcW w:w="4460" w:type="dxa"/>
            <w:tcBorders>
              <w:top w:val="nil"/>
              <w:left w:val="single" w:sz="4" w:space="0" w:color="auto"/>
              <w:bottom w:val="nil"/>
              <w:right w:val="single" w:sz="8" w:space="0" w:color="auto"/>
            </w:tcBorders>
            <w:shd w:val="clear" w:color="auto" w:fill="auto"/>
            <w:vAlign w:val="bottom"/>
            <w:hideMark/>
          </w:tcPr>
          <w:p w14:paraId="6E1A672A" w14:textId="77777777" w:rsidR="005068B5" w:rsidRPr="004E77EA" w:rsidRDefault="005068B5" w:rsidP="00816745">
            <w:pPr>
              <w:rPr>
                <w:rFonts w:ascii="Calibri" w:eastAsia="Times New Roman" w:hAnsi="Calibri"/>
                <w:color w:val="404040" w:themeColor="text1" w:themeTint="BF"/>
                <w:sz w:val="16"/>
                <w:szCs w:val="16"/>
              </w:rPr>
            </w:pPr>
            <w:r w:rsidRPr="004E77EA">
              <w:rPr>
                <w:rFonts w:ascii="Calibri" w:eastAsia="Times New Roman" w:hAnsi="Calibri"/>
                <w:color w:val="404040" w:themeColor="text1" w:themeTint="BF"/>
                <w:sz w:val="16"/>
                <w:szCs w:val="16"/>
              </w:rPr>
              <w:t>Non-Homeless Special Needs</w:t>
            </w:r>
          </w:p>
        </w:tc>
      </w:tr>
      <w:tr w:rsidR="005068B5" w:rsidRPr="004E77EA" w14:paraId="043D5211" w14:textId="77777777" w:rsidTr="00816745">
        <w:trPr>
          <w:trHeight w:val="342"/>
        </w:trPr>
        <w:tc>
          <w:tcPr>
            <w:tcW w:w="1340" w:type="dxa"/>
            <w:tcBorders>
              <w:top w:val="nil"/>
              <w:left w:val="single" w:sz="8" w:space="0" w:color="auto"/>
              <w:bottom w:val="single" w:sz="8" w:space="0" w:color="auto"/>
              <w:right w:val="nil"/>
            </w:tcBorders>
            <w:shd w:val="clear" w:color="auto" w:fill="auto"/>
            <w:vAlign w:val="bottom"/>
            <w:hideMark/>
          </w:tcPr>
          <w:p w14:paraId="1581DBCA" w14:textId="77777777" w:rsidR="005068B5" w:rsidRPr="004E77EA" w:rsidRDefault="005068B5" w:rsidP="00816745">
            <w:pPr>
              <w:jc w:val="center"/>
              <w:rPr>
                <w:rFonts w:ascii="Calibri" w:eastAsia="Times New Roman" w:hAnsi="Calibri"/>
                <w:color w:val="404040" w:themeColor="text1" w:themeTint="BF"/>
                <w:sz w:val="16"/>
                <w:szCs w:val="16"/>
              </w:rPr>
            </w:pPr>
            <w:r w:rsidRPr="004E77EA">
              <w:rPr>
                <w:rFonts w:ascii="Calibri" w:eastAsia="Times New Roman" w:hAnsi="Calibri"/>
                <w:color w:val="404040" w:themeColor="text1" w:themeTint="BF"/>
                <w:sz w:val="16"/>
                <w:szCs w:val="16"/>
              </w:rPr>
              <w:t>H</w:t>
            </w:r>
          </w:p>
        </w:tc>
        <w:tc>
          <w:tcPr>
            <w:tcW w:w="4460" w:type="dxa"/>
            <w:tcBorders>
              <w:top w:val="nil"/>
              <w:left w:val="single" w:sz="4" w:space="0" w:color="auto"/>
              <w:bottom w:val="single" w:sz="8" w:space="0" w:color="auto"/>
              <w:right w:val="single" w:sz="8" w:space="0" w:color="auto"/>
            </w:tcBorders>
            <w:shd w:val="clear" w:color="auto" w:fill="auto"/>
            <w:vAlign w:val="bottom"/>
            <w:hideMark/>
          </w:tcPr>
          <w:p w14:paraId="31D99BDE" w14:textId="77777777" w:rsidR="005068B5" w:rsidRPr="004E77EA" w:rsidRDefault="005068B5" w:rsidP="00816745">
            <w:pPr>
              <w:rPr>
                <w:rFonts w:ascii="Calibri" w:eastAsia="Times New Roman" w:hAnsi="Calibri"/>
                <w:color w:val="404040" w:themeColor="text1" w:themeTint="BF"/>
                <w:sz w:val="16"/>
                <w:szCs w:val="16"/>
              </w:rPr>
            </w:pPr>
            <w:r w:rsidRPr="004E77EA">
              <w:rPr>
                <w:rFonts w:ascii="Calibri" w:eastAsia="Times New Roman" w:hAnsi="Calibri"/>
                <w:color w:val="404040" w:themeColor="text1" w:themeTint="BF"/>
                <w:sz w:val="16"/>
                <w:szCs w:val="16"/>
              </w:rPr>
              <w:t>Homeless</w:t>
            </w:r>
          </w:p>
        </w:tc>
      </w:tr>
    </w:tbl>
    <w:p w14:paraId="3F82156A" w14:textId="77777777" w:rsidR="005068B5" w:rsidRDefault="005068B5" w:rsidP="005068B5">
      <w:pPr>
        <w:spacing w:line="276" w:lineRule="auto"/>
        <w:ind w:right="360"/>
        <w:rPr>
          <w:rFonts w:asciiTheme="minorHAnsi" w:hAnsiTheme="minorHAnsi" w:cstheme="minorHAnsi"/>
          <w:b/>
          <w:color w:val="F79646" w:themeColor="accent6"/>
          <w:szCs w:val="20"/>
        </w:rPr>
      </w:pPr>
    </w:p>
    <w:p w14:paraId="7C7C6908" w14:textId="77777777" w:rsidR="005068B5" w:rsidRDefault="005068B5" w:rsidP="005068B5">
      <w:pPr>
        <w:spacing w:line="360" w:lineRule="auto"/>
        <w:ind w:right="360"/>
        <w:rPr>
          <w:rFonts w:asciiTheme="minorHAnsi" w:hAnsiTheme="minorHAnsi" w:cstheme="minorHAnsi"/>
          <w:color w:val="404040" w:themeColor="text1" w:themeTint="BF"/>
          <w:szCs w:val="20"/>
        </w:rPr>
      </w:pPr>
    </w:p>
    <w:p w14:paraId="4BD65CD4" w14:textId="77777777" w:rsidR="005068B5" w:rsidRPr="00711E46" w:rsidRDefault="005068B5" w:rsidP="005068B5">
      <w:pPr>
        <w:spacing w:line="360" w:lineRule="auto"/>
        <w:ind w:right="360"/>
        <w:rPr>
          <w:rFonts w:asciiTheme="minorHAnsi" w:hAnsiTheme="minorHAnsi" w:cstheme="minorHAnsi"/>
          <w:color w:val="404040" w:themeColor="text1" w:themeTint="BF"/>
          <w:szCs w:val="20"/>
        </w:rPr>
      </w:pPr>
      <w:r w:rsidRPr="00711E46">
        <w:rPr>
          <w:rFonts w:asciiTheme="minorHAnsi" w:hAnsiTheme="minorHAnsi" w:cstheme="minorHAnsi"/>
          <w:color w:val="404040" w:themeColor="text1" w:themeTint="BF"/>
          <w:szCs w:val="20"/>
        </w:rPr>
        <w:t xml:space="preserve">Salt Lake City </w:t>
      </w:r>
      <w:r>
        <w:rPr>
          <w:rFonts w:asciiTheme="minorHAnsi" w:hAnsiTheme="minorHAnsi" w:cstheme="minorHAnsi"/>
          <w:color w:val="404040" w:themeColor="text1" w:themeTint="BF"/>
          <w:szCs w:val="20"/>
        </w:rPr>
        <w:t>continued to make progress on its strategic plan goals during year three of the plan.</w:t>
      </w:r>
      <w:r w:rsidRPr="00711E46">
        <w:rPr>
          <w:rFonts w:asciiTheme="minorHAnsi" w:hAnsiTheme="minorHAnsi" w:cstheme="minorHAnsi"/>
          <w:color w:val="404040" w:themeColor="text1" w:themeTint="BF"/>
          <w:szCs w:val="20"/>
        </w:rPr>
        <w:t xml:space="preserve"> </w:t>
      </w:r>
    </w:p>
    <w:p w14:paraId="79B413D8" w14:textId="77777777" w:rsidR="005068B5" w:rsidRDefault="005068B5" w:rsidP="005068B5">
      <w:pPr>
        <w:spacing w:line="360" w:lineRule="auto"/>
        <w:ind w:right="360"/>
        <w:rPr>
          <w:rFonts w:asciiTheme="minorHAnsi" w:hAnsiTheme="minorHAnsi" w:cstheme="minorHAnsi"/>
          <w:color w:val="404040" w:themeColor="text1" w:themeTint="BF"/>
          <w:szCs w:val="20"/>
        </w:rPr>
      </w:pPr>
    </w:p>
    <w:p w14:paraId="0C6A35B7" w14:textId="0DD2AC6C" w:rsidR="005068B5" w:rsidRDefault="005068B5" w:rsidP="005068B5">
      <w:pPr>
        <w:spacing w:line="360" w:lineRule="auto"/>
        <w:ind w:right="360"/>
        <w:rPr>
          <w:rFonts w:asciiTheme="minorHAnsi" w:hAnsiTheme="minorHAnsi" w:cstheme="minorHAnsi"/>
          <w:color w:val="404040" w:themeColor="text1" w:themeTint="BF"/>
          <w:szCs w:val="20"/>
        </w:rPr>
      </w:pPr>
      <w:r>
        <w:rPr>
          <w:rFonts w:asciiTheme="minorHAnsi" w:hAnsiTheme="minorHAnsi" w:cstheme="minorHAnsi"/>
          <w:color w:val="404040" w:themeColor="text1" w:themeTint="BF"/>
          <w:szCs w:val="20"/>
        </w:rPr>
        <w:t xml:space="preserve">On the whole, the City has been using its HOPWA funding incredibly effectively, considerably outpacing expectations for annual performance, even as the public services category lags behind expectations. It is also helpful that HOPWA funding has increased as a result of </w:t>
      </w:r>
      <w:r w:rsidR="0020194F">
        <w:rPr>
          <w:rFonts w:asciiTheme="minorHAnsi" w:hAnsiTheme="minorHAnsi" w:cstheme="minorHAnsi"/>
          <w:color w:val="404040" w:themeColor="text1" w:themeTint="BF"/>
          <w:szCs w:val="20"/>
        </w:rPr>
        <w:t xml:space="preserve">the </w:t>
      </w:r>
      <w:r w:rsidR="0020194F" w:rsidRPr="0020194F">
        <w:rPr>
          <w:rFonts w:asciiTheme="minorHAnsi" w:hAnsiTheme="minorHAnsi" w:cstheme="minorHAnsi"/>
          <w:color w:val="404040" w:themeColor="text1" w:themeTint="BF"/>
          <w:szCs w:val="20"/>
        </w:rPr>
        <w:t>Housing Opportunity Through Modernization Act of 2016</w:t>
      </w:r>
    </w:p>
    <w:p w14:paraId="619B64DA" w14:textId="77777777" w:rsidR="005068B5" w:rsidRDefault="005068B5" w:rsidP="005068B5">
      <w:pPr>
        <w:spacing w:line="360" w:lineRule="auto"/>
        <w:ind w:right="360"/>
        <w:rPr>
          <w:rFonts w:asciiTheme="minorHAnsi" w:hAnsiTheme="minorHAnsi" w:cstheme="minorHAnsi"/>
          <w:color w:val="404040" w:themeColor="text1" w:themeTint="BF"/>
          <w:szCs w:val="20"/>
        </w:rPr>
      </w:pPr>
    </w:p>
    <w:p w14:paraId="2178E1F4" w14:textId="77777777" w:rsidR="005068B5" w:rsidRPr="00711E46" w:rsidRDefault="005068B5" w:rsidP="005068B5">
      <w:pPr>
        <w:spacing w:line="360" w:lineRule="auto"/>
        <w:ind w:right="360"/>
        <w:rPr>
          <w:rFonts w:asciiTheme="minorHAnsi" w:hAnsiTheme="minorHAnsi" w:cstheme="minorHAnsi"/>
          <w:color w:val="404040" w:themeColor="text1" w:themeTint="BF"/>
          <w:szCs w:val="20"/>
        </w:rPr>
      </w:pPr>
      <w:r>
        <w:rPr>
          <w:rFonts w:asciiTheme="minorHAnsi" w:hAnsiTheme="minorHAnsi" w:cstheme="minorHAnsi"/>
          <w:color w:val="404040" w:themeColor="text1" w:themeTint="BF"/>
          <w:szCs w:val="20"/>
        </w:rPr>
        <w:t xml:space="preserve">Expanding homeownership continues to be a hurdle. This is largely in part to the housing market in Salt Lake City. Prices have risen significantly and this makes it difficult to find housing options for eligible clients. </w:t>
      </w:r>
    </w:p>
    <w:p w14:paraId="3581108D" w14:textId="77777777" w:rsidR="005068B5" w:rsidRDefault="005068B5" w:rsidP="005068B5">
      <w:pPr>
        <w:spacing w:line="360" w:lineRule="auto"/>
        <w:ind w:right="360"/>
        <w:rPr>
          <w:rFonts w:asciiTheme="minorHAnsi" w:hAnsiTheme="minorHAnsi" w:cstheme="minorHAnsi"/>
          <w:color w:val="404040" w:themeColor="text1" w:themeTint="BF"/>
          <w:szCs w:val="20"/>
        </w:rPr>
      </w:pPr>
    </w:p>
    <w:p w14:paraId="3364D2EE" w14:textId="77777777" w:rsidR="005068B5" w:rsidRDefault="005068B5" w:rsidP="005068B5">
      <w:pPr>
        <w:spacing w:line="360" w:lineRule="auto"/>
        <w:ind w:right="360"/>
        <w:rPr>
          <w:rFonts w:asciiTheme="minorHAnsi" w:hAnsiTheme="minorHAnsi" w:cstheme="minorHAnsi"/>
          <w:color w:val="404040" w:themeColor="text1" w:themeTint="BF"/>
          <w:szCs w:val="20"/>
        </w:rPr>
      </w:pPr>
      <w:r>
        <w:rPr>
          <w:rFonts w:asciiTheme="minorHAnsi" w:hAnsiTheme="minorHAnsi" w:cstheme="minorHAnsi"/>
          <w:color w:val="404040" w:themeColor="text1" w:themeTint="BF"/>
          <w:szCs w:val="20"/>
        </w:rPr>
        <w:t xml:space="preserve">The City’s efforts around housing rehabilitation have continued to be successful. Rehabilitation of existing housing stock continues to be an important goal for Salt Lake City.  </w:t>
      </w:r>
    </w:p>
    <w:p w14:paraId="3DFCC8E8" w14:textId="77777777" w:rsidR="005068B5" w:rsidRDefault="005068B5" w:rsidP="005068B5">
      <w:pPr>
        <w:spacing w:line="360" w:lineRule="auto"/>
        <w:ind w:right="360"/>
        <w:rPr>
          <w:rFonts w:asciiTheme="minorHAnsi" w:hAnsiTheme="minorHAnsi" w:cstheme="minorHAnsi"/>
          <w:color w:val="404040" w:themeColor="text1" w:themeTint="BF"/>
          <w:szCs w:val="20"/>
        </w:rPr>
      </w:pPr>
    </w:p>
    <w:p w14:paraId="25B43AF5" w14:textId="77777777" w:rsidR="005068B5" w:rsidRDefault="005068B5" w:rsidP="005068B5">
      <w:pPr>
        <w:spacing w:line="360" w:lineRule="auto"/>
        <w:ind w:right="360"/>
        <w:rPr>
          <w:rFonts w:asciiTheme="minorHAnsi" w:hAnsiTheme="minorHAnsi" w:cstheme="minorHAnsi"/>
          <w:color w:val="404040" w:themeColor="text1" w:themeTint="BF"/>
          <w:szCs w:val="20"/>
        </w:rPr>
      </w:pPr>
      <w:r>
        <w:rPr>
          <w:rFonts w:asciiTheme="minorHAnsi" w:hAnsiTheme="minorHAnsi" w:cstheme="minorHAnsi"/>
          <w:color w:val="404040" w:themeColor="text1" w:themeTint="BF"/>
          <w:szCs w:val="20"/>
        </w:rPr>
        <w:t xml:space="preserve">The City is also providing an enormous amount of day-to-day services for the homeless, even though the total being served is lower than expectations. This is at least partially due to shifting more of the burden for funding these services to local, City resources, and away from federal funding. The City has been very successful in providing housing for those experiencing homelessness, particularly with TBRA and RRH. The number of clients served during the first three years of the strategic plan has nearly reached the five year goal. </w:t>
      </w:r>
    </w:p>
    <w:p w14:paraId="0E469835" w14:textId="77777777" w:rsidR="005068B5" w:rsidRDefault="005068B5" w:rsidP="005068B5">
      <w:pPr>
        <w:spacing w:line="360" w:lineRule="auto"/>
        <w:ind w:right="360"/>
        <w:rPr>
          <w:rFonts w:asciiTheme="minorHAnsi" w:hAnsiTheme="minorHAnsi" w:cstheme="minorHAnsi"/>
          <w:color w:val="404040" w:themeColor="text1" w:themeTint="BF"/>
          <w:szCs w:val="20"/>
        </w:rPr>
      </w:pPr>
    </w:p>
    <w:p w14:paraId="4549DC81" w14:textId="77777777" w:rsidR="005068B5" w:rsidRDefault="005068B5" w:rsidP="005068B5">
      <w:pPr>
        <w:spacing w:line="360" w:lineRule="auto"/>
        <w:ind w:right="360"/>
        <w:rPr>
          <w:rFonts w:asciiTheme="minorHAnsi" w:hAnsiTheme="minorHAnsi" w:cstheme="minorHAnsi"/>
          <w:color w:val="404040" w:themeColor="text1" w:themeTint="BF"/>
          <w:szCs w:val="20"/>
        </w:rPr>
      </w:pPr>
      <w:r>
        <w:rPr>
          <w:rFonts w:asciiTheme="minorHAnsi" w:hAnsiTheme="minorHAnsi" w:cstheme="minorHAnsi"/>
          <w:color w:val="404040" w:themeColor="text1" w:themeTint="BF"/>
          <w:szCs w:val="20"/>
        </w:rPr>
        <w:t xml:space="preserve">Expanding opportunities for self-sufficiency to at-risk populations has decreased from previous years. This is largely due to the fact that two food pantries, which provided services to large numbers of clients, did not apply or did not receive funding for the 17-18 program year. </w:t>
      </w:r>
    </w:p>
    <w:p w14:paraId="3D9D23FE" w14:textId="77777777" w:rsidR="005068B5" w:rsidRDefault="005068B5" w:rsidP="005068B5">
      <w:pPr>
        <w:spacing w:line="360" w:lineRule="auto"/>
        <w:ind w:right="360"/>
        <w:rPr>
          <w:rFonts w:asciiTheme="minorHAnsi" w:hAnsiTheme="minorHAnsi" w:cstheme="minorHAnsi"/>
          <w:color w:val="404040" w:themeColor="text1" w:themeTint="BF"/>
          <w:szCs w:val="20"/>
        </w:rPr>
      </w:pPr>
    </w:p>
    <w:p w14:paraId="507AAD06" w14:textId="0FC034CB" w:rsidR="005068B5" w:rsidRDefault="005068B5" w:rsidP="005068B5">
      <w:pPr>
        <w:spacing w:line="360" w:lineRule="auto"/>
        <w:ind w:right="360"/>
        <w:rPr>
          <w:rFonts w:asciiTheme="minorHAnsi" w:hAnsiTheme="minorHAnsi" w:cstheme="minorHAnsi"/>
          <w:color w:val="404040" w:themeColor="text1" w:themeTint="BF"/>
          <w:szCs w:val="20"/>
        </w:rPr>
      </w:pPr>
      <w:r>
        <w:rPr>
          <w:rFonts w:asciiTheme="minorHAnsi" w:hAnsiTheme="minorHAnsi" w:cstheme="minorHAnsi"/>
          <w:color w:val="404040" w:themeColor="text1" w:themeTint="BF"/>
          <w:szCs w:val="20"/>
        </w:rPr>
        <w:t>The City’s progress around revitalizing business nodes through the new Economic Development</w:t>
      </w:r>
      <w:r w:rsidR="005D238D">
        <w:rPr>
          <w:rFonts w:asciiTheme="minorHAnsi" w:hAnsiTheme="minorHAnsi" w:cstheme="minorHAnsi"/>
          <w:color w:val="404040" w:themeColor="text1" w:themeTint="BF"/>
          <w:szCs w:val="20"/>
        </w:rPr>
        <w:t xml:space="preserve"> Façade Improvements Program was lower than anticipated. This was</w:t>
      </w:r>
      <w:r>
        <w:rPr>
          <w:rFonts w:asciiTheme="minorHAnsi" w:hAnsiTheme="minorHAnsi" w:cstheme="minorHAnsi"/>
          <w:color w:val="404040" w:themeColor="text1" w:themeTint="BF"/>
          <w:szCs w:val="20"/>
        </w:rPr>
        <w:t xml:space="preserve"> largely in part to an over-anticipation of the number of business that would be served at the onset of the program. It took some time to build recognition of the program. However, once the initial projects were seen in the community, awareness of the program grew significantly. The Façade Program now receives many applicants for the year. Additionally, the Façade Program has received a larger amount of funding for the 18-19 program year and this will help the program reduce the gap in year 4 of the</w:t>
      </w:r>
      <w:r w:rsidR="005D238D">
        <w:rPr>
          <w:rFonts w:asciiTheme="minorHAnsi" w:hAnsiTheme="minorHAnsi" w:cstheme="minorHAnsi"/>
          <w:color w:val="404040" w:themeColor="text1" w:themeTint="BF"/>
          <w:szCs w:val="20"/>
        </w:rPr>
        <w:t xml:space="preserve"> Consolidated P</w:t>
      </w:r>
      <w:r>
        <w:rPr>
          <w:rFonts w:asciiTheme="minorHAnsi" w:hAnsiTheme="minorHAnsi" w:cstheme="minorHAnsi"/>
          <w:color w:val="404040" w:themeColor="text1" w:themeTint="BF"/>
          <w:szCs w:val="20"/>
        </w:rPr>
        <w:t xml:space="preserve">lan. </w:t>
      </w:r>
    </w:p>
    <w:p w14:paraId="4094B8B0" w14:textId="77777777" w:rsidR="0020194F" w:rsidRDefault="0020194F" w:rsidP="005068B5">
      <w:pPr>
        <w:spacing w:line="360" w:lineRule="auto"/>
        <w:ind w:right="360"/>
        <w:rPr>
          <w:rFonts w:asciiTheme="minorHAnsi" w:hAnsiTheme="minorHAnsi" w:cstheme="minorHAnsi"/>
          <w:color w:val="404040" w:themeColor="text1" w:themeTint="BF"/>
          <w:szCs w:val="20"/>
        </w:rPr>
      </w:pPr>
    </w:p>
    <w:p w14:paraId="247E1214" w14:textId="78FB99DC" w:rsidR="0020194F" w:rsidRDefault="0020194F" w:rsidP="005068B5">
      <w:pPr>
        <w:spacing w:line="360" w:lineRule="auto"/>
        <w:ind w:right="360"/>
        <w:rPr>
          <w:rFonts w:asciiTheme="minorHAnsi" w:hAnsiTheme="minorHAnsi" w:cstheme="minorHAnsi"/>
          <w:color w:val="404040" w:themeColor="text1" w:themeTint="BF"/>
          <w:szCs w:val="20"/>
        </w:rPr>
      </w:pPr>
      <w:r>
        <w:rPr>
          <w:rFonts w:asciiTheme="minorHAnsi" w:hAnsiTheme="minorHAnsi" w:cstheme="minorHAnsi"/>
          <w:color w:val="404040" w:themeColor="text1" w:themeTint="BF"/>
          <w:szCs w:val="20"/>
        </w:rPr>
        <w:t xml:space="preserve">Salt Lake City has selected the location of two new homeless resource centers and has transferred ownership to Shelter the Homeless, a local nonprofit that in addition to being the property owners for the new resource centers will provide high-level oversight and guidance for the homeless services system. In addition, to the two resource centers located in Salt Lake City, a third resource center is being constructed in the neighboring municipality of South Salt Lake. The Shelter the Homeless board consists of community leaders and representatives from the State of Utah, Salt Lake County, and the municipalities in which homeless services exist, including Salt Lake City. Salt Lake City will continue to collaborate with government and nonprofit agencies as well as community stakeholders as we continue to transform our homeless services delivery system.  </w:t>
      </w:r>
    </w:p>
    <w:p w14:paraId="4CA22589" w14:textId="77777777" w:rsidR="0020194F" w:rsidRDefault="0020194F" w:rsidP="005068B5">
      <w:pPr>
        <w:spacing w:line="360" w:lineRule="auto"/>
        <w:ind w:right="360"/>
        <w:rPr>
          <w:rFonts w:asciiTheme="minorHAnsi" w:hAnsiTheme="minorHAnsi" w:cstheme="minorHAnsi"/>
          <w:color w:val="404040" w:themeColor="text1" w:themeTint="BF"/>
          <w:szCs w:val="20"/>
        </w:rPr>
      </w:pPr>
    </w:p>
    <w:p w14:paraId="0FE8592F" w14:textId="0386C56D" w:rsidR="0020194F" w:rsidRDefault="0020194F" w:rsidP="005068B5">
      <w:pPr>
        <w:spacing w:line="360" w:lineRule="auto"/>
        <w:ind w:right="360"/>
        <w:rPr>
          <w:rFonts w:asciiTheme="minorHAnsi" w:hAnsiTheme="minorHAnsi" w:cstheme="minorHAnsi"/>
          <w:color w:val="404040" w:themeColor="text1" w:themeTint="BF"/>
          <w:szCs w:val="20"/>
        </w:rPr>
      </w:pPr>
      <w:r>
        <w:rPr>
          <w:rFonts w:asciiTheme="minorHAnsi" w:hAnsiTheme="minorHAnsi" w:cstheme="minorHAnsi"/>
          <w:color w:val="404040" w:themeColor="text1" w:themeTint="BF"/>
          <w:szCs w:val="20"/>
        </w:rPr>
        <w:t xml:space="preserve">Operation Rio Grande began in August 2017 and is ongoing. The first phase focused on law enforcement and on creating a safe environment in the Rio Grande neighborhood so that clients could safely seek homeless services. The second and third phases are focused on connecting clients to mental health and substance use disorder services as well as job resources. To date, 132 individuals have received treatment for substance use disorders and 106 individuals have found employment.  </w:t>
      </w:r>
    </w:p>
    <w:p w14:paraId="0D4CB2A6" w14:textId="77777777" w:rsidR="005068B5" w:rsidRDefault="005068B5" w:rsidP="005068B5">
      <w:pPr>
        <w:spacing w:line="360" w:lineRule="auto"/>
        <w:ind w:right="360"/>
        <w:rPr>
          <w:rFonts w:asciiTheme="minorHAnsi" w:hAnsiTheme="minorHAnsi" w:cstheme="minorHAnsi"/>
          <w:color w:val="404040" w:themeColor="text1" w:themeTint="BF"/>
          <w:szCs w:val="20"/>
        </w:rPr>
      </w:pPr>
    </w:p>
    <w:p w14:paraId="526E3A42" w14:textId="77777777" w:rsidR="005068B5" w:rsidRPr="005945B3" w:rsidRDefault="005068B5" w:rsidP="005068B5">
      <w:pPr>
        <w:spacing w:line="360" w:lineRule="auto"/>
        <w:ind w:right="360"/>
        <w:rPr>
          <w:rFonts w:asciiTheme="minorHAnsi" w:hAnsiTheme="minorHAnsi" w:cstheme="minorHAnsi"/>
          <w:b/>
          <w:color w:val="404040" w:themeColor="text1" w:themeTint="BF"/>
          <w:szCs w:val="20"/>
        </w:rPr>
      </w:pPr>
      <w:r w:rsidRPr="005945B3">
        <w:rPr>
          <w:rFonts w:asciiTheme="minorHAnsi" w:hAnsiTheme="minorHAnsi" w:cstheme="minorHAnsi"/>
          <w:b/>
          <w:color w:val="404040" w:themeColor="text1" w:themeTint="BF"/>
          <w:szCs w:val="20"/>
        </w:rPr>
        <w:t xml:space="preserve">Assess how Salt Lake City’s use of funds, particularly CDBG, addresses the priorities and specific objectives outlined in the Plan, giving special attention to the highest priority activities identified. </w:t>
      </w:r>
    </w:p>
    <w:p w14:paraId="69BDD967" w14:textId="29ED5128" w:rsidR="005068B5" w:rsidRDefault="005068B5" w:rsidP="005068B5">
      <w:pPr>
        <w:spacing w:line="360" w:lineRule="auto"/>
        <w:ind w:right="360"/>
        <w:rPr>
          <w:rFonts w:asciiTheme="minorHAnsi" w:hAnsiTheme="minorHAnsi" w:cstheme="minorHAnsi"/>
          <w:color w:val="404040" w:themeColor="text1" w:themeTint="BF"/>
          <w:szCs w:val="20"/>
        </w:rPr>
      </w:pPr>
      <w:r>
        <w:rPr>
          <w:rFonts w:asciiTheme="minorHAnsi" w:hAnsiTheme="minorHAnsi" w:cstheme="minorHAnsi"/>
          <w:color w:val="404040" w:themeColor="text1" w:themeTint="BF"/>
          <w:szCs w:val="20"/>
        </w:rPr>
        <w:t xml:space="preserve">During the Consolidated Planning process, five (5) high priority needs were identified. They are as follows: Affordable housing development and preservation; Homeless: mitigation, preservation and public services; Public services to expand opportunity and self-sufficiency; Economic development to expand opportunity; and Public infrastructure improvements. In the 2017-18 program year, CDBG funds were used to address each of these needs. </w:t>
      </w:r>
    </w:p>
    <w:p w14:paraId="334A460C" w14:textId="77777777" w:rsidR="005068B5" w:rsidRDefault="005068B5" w:rsidP="005068B5">
      <w:pPr>
        <w:spacing w:line="360" w:lineRule="auto"/>
        <w:ind w:right="360"/>
        <w:rPr>
          <w:rFonts w:asciiTheme="minorHAnsi" w:hAnsiTheme="minorHAnsi" w:cstheme="minorHAnsi"/>
          <w:color w:val="404040" w:themeColor="text1" w:themeTint="BF"/>
          <w:szCs w:val="20"/>
        </w:rPr>
      </w:pPr>
    </w:p>
    <w:p w14:paraId="436DF6FA" w14:textId="77777777" w:rsidR="005068B5" w:rsidRDefault="005068B5" w:rsidP="005068B5">
      <w:pPr>
        <w:spacing w:line="360" w:lineRule="auto"/>
        <w:ind w:right="360"/>
        <w:rPr>
          <w:rFonts w:asciiTheme="minorHAnsi" w:hAnsiTheme="minorHAnsi" w:cstheme="minorHAnsi"/>
          <w:color w:val="404040" w:themeColor="text1" w:themeTint="BF"/>
          <w:szCs w:val="20"/>
        </w:rPr>
      </w:pPr>
      <w:r>
        <w:rPr>
          <w:rFonts w:asciiTheme="minorHAnsi" w:hAnsiTheme="minorHAnsi" w:cstheme="minorHAnsi"/>
          <w:color w:val="404040" w:themeColor="text1" w:themeTint="BF"/>
          <w:szCs w:val="20"/>
        </w:rPr>
        <w:t xml:space="preserve">Affordable housing needs were addressed by improving and preserving the existing housing stock and expanding the affordable housing stock. As with many communities, providing for the unique needs of our homeless population continues to be a top need and a high priority. CDBG funds assisted by providing for day-to-day services for the homeless community as well as funding emergency shelter. </w:t>
      </w:r>
    </w:p>
    <w:p w14:paraId="6CA8ACA2" w14:textId="77777777" w:rsidR="005068B5" w:rsidRDefault="005068B5" w:rsidP="005068B5">
      <w:pPr>
        <w:spacing w:line="360" w:lineRule="auto"/>
        <w:ind w:right="360"/>
        <w:rPr>
          <w:rFonts w:asciiTheme="minorHAnsi" w:hAnsiTheme="minorHAnsi" w:cstheme="minorHAnsi"/>
          <w:color w:val="404040" w:themeColor="text1" w:themeTint="BF"/>
          <w:szCs w:val="20"/>
        </w:rPr>
      </w:pPr>
    </w:p>
    <w:p w14:paraId="1DF3BE90" w14:textId="77777777" w:rsidR="005068B5" w:rsidRDefault="005068B5" w:rsidP="005068B5">
      <w:pPr>
        <w:spacing w:line="360" w:lineRule="auto"/>
        <w:ind w:right="360"/>
        <w:rPr>
          <w:rFonts w:asciiTheme="minorHAnsi" w:hAnsiTheme="minorHAnsi" w:cstheme="minorHAnsi"/>
          <w:color w:val="404040" w:themeColor="text1" w:themeTint="BF"/>
          <w:szCs w:val="20"/>
        </w:rPr>
      </w:pPr>
      <w:r>
        <w:rPr>
          <w:rFonts w:asciiTheme="minorHAnsi" w:hAnsiTheme="minorHAnsi" w:cstheme="minorHAnsi"/>
          <w:color w:val="404040" w:themeColor="text1" w:themeTint="BF"/>
          <w:szCs w:val="20"/>
        </w:rPr>
        <w:t>The City continued its investment from the previous program year by funding job training programs as a way to promote self-sufficiency. The City was also able to see the Economic Development Façade Program continue to bring opportunity to economically disadvantaged areas</w:t>
      </w:r>
      <w:r w:rsidRPr="002053D6">
        <w:rPr>
          <w:rFonts w:asciiTheme="minorHAnsi" w:hAnsiTheme="minorHAnsi" w:cstheme="minorHAnsi"/>
          <w:color w:val="404040" w:themeColor="text1" w:themeTint="BF"/>
          <w:szCs w:val="20"/>
        </w:rPr>
        <w:t xml:space="preserve">. </w:t>
      </w:r>
    </w:p>
    <w:p w14:paraId="2AE24998" w14:textId="77777777" w:rsidR="005068B5" w:rsidRDefault="005068B5" w:rsidP="005068B5">
      <w:pPr>
        <w:spacing w:line="360" w:lineRule="auto"/>
        <w:ind w:right="360"/>
        <w:rPr>
          <w:rFonts w:asciiTheme="minorHAnsi" w:hAnsiTheme="minorHAnsi" w:cstheme="minorHAnsi"/>
          <w:color w:val="404040" w:themeColor="text1" w:themeTint="BF"/>
          <w:szCs w:val="20"/>
        </w:rPr>
      </w:pPr>
    </w:p>
    <w:p w14:paraId="562B0531" w14:textId="77777777" w:rsidR="005068B5" w:rsidRDefault="005068B5" w:rsidP="005068B5">
      <w:pPr>
        <w:spacing w:line="360" w:lineRule="auto"/>
        <w:ind w:right="360"/>
        <w:rPr>
          <w:rFonts w:asciiTheme="minorHAnsi" w:hAnsiTheme="minorHAnsi" w:cstheme="minorHAnsi"/>
          <w:color w:val="404040" w:themeColor="text1" w:themeTint="BF"/>
          <w:szCs w:val="20"/>
        </w:rPr>
      </w:pPr>
      <w:r w:rsidRPr="00711E46">
        <w:rPr>
          <w:rFonts w:asciiTheme="minorHAnsi" w:hAnsiTheme="minorHAnsi" w:cstheme="minorHAnsi"/>
          <w:color w:val="404040" w:themeColor="text1" w:themeTint="BF"/>
          <w:szCs w:val="20"/>
        </w:rPr>
        <w:t>CDBG funding was</w:t>
      </w:r>
      <w:r w:rsidRPr="002053D6">
        <w:rPr>
          <w:rFonts w:asciiTheme="minorHAnsi" w:hAnsiTheme="minorHAnsi" w:cstheme="minorHAnsi"/>
          <w:color w:val="404040" w:themeColor="text1" w:themeTint="BF"/>
          <w:szCs w:val="20"/>
        </w:rPr>
        <w:t xml:space="preserve"> allocated to support infrastructure needs in a specific geographical area of the City. While these projects take multiple years to complete, these efforts </w:t>
      </w:r>
      <w:r>
        <w:rPr>
          <w:rFonts w:asciiTheme="minorHAnsi" w:hAnsiTheme="minorHAnsi" w:cstheme="minorHAnsi"/>
          <w:color w:val="404040" w:themeColor="text1" w:themeTint="BF"/>
          <w:szCs w:val="20"/>
        </w:rPr>
        <w:t>include</w:t>
      </w:r>
      <w:r w:rsidRPr="002053D6">
        <w:rPr>
          <w:rFonts w:asciiTheme="minorHAnsi" w:hAnsiTheme="minorHAnsi" w:cstheme="minorHAnsi"/>
          <w:color w:val="404040" w:themeColor="text1" w:themeTint="BF"/>
          <w:szCs w:val="20"/>
        </w:rPr>
        <w:t xml:space="preserve"> AD</w:t>
      </w:r>
      <w:r>
        <w:rPr>
          <w:rFonts w:asciiTheme="minorHAnsi" w:hAnsiTheme="minorHAnsi" w:cstheme="minorHAnsi"/>
          <w:color w:val="404040" w:themeColor="text1" w:themeTint="BF"/>
          <w:szCs w:val="20"/>
        </w:rPr>
        <w:t>A compliant sidewalks and ramps,</w:t>
      </w:r>
      <w:r w:rsidRPr="002053D6">
        <w:rPr>
          <w:rFonts w:asciiTheme="minorHAnsi" w:hAnsiTheme="minorHAnsi" w:cstheme="minorHAnsi"/>
          <w:color w:val="404040" w:themeColor="text1" w:themeTint="BF"/>
          <w:szCs w:val="20"/>
        </w:rPr>
        <w:t xml:space="preserve"> a</w:t>
      </w:r>
      <w:r>
        <w:rPr>
          <w:rFonts w:asciiTheme="minorHAnsi" w:hAnsiTheme="minorHAnsi" w:cstheme="minorHAnsi"/>
          <w:color w:val="404040" w:themeColor="text1" w:themeTint="BF"/>
          <w:szCs w:val="20"/>
        </w:rPr>
        <w:t xml:space="preserve">nd improved streets and parks. </w:t>
      </w:r>
      <w:r w:rsidRPr="002053D6">
        <w:rPr>
          <w:rFonts w:asciiTheme="minorHAnsi" w:hAnsiTheme="minorHAnsi" w:cstheme="minorHAnsi"/>
          <w:color w:val="404040" w:themeColor="text1" w:themeTint="BF"/>
          <w:szCs w:val="20"/>
        </w:rPr>
        <w:t xml:space="preserve"> </w:t>
      </w:r>
    </w:p>
    <w:p w14:paraId="4B72F9F3" w14:textId="77777777" w:rsidR="005068B5" w:rsidRDefault="005068B5" w:rsidP="005068B5">
      <w:pPr>
        <w:spacing w:line="360" w:lineRule="auto"/>
        <w:ind w:right="360"/>
        <w:rPr>
          <w:rFonts w:asciiTheme="minorHAnsi" w:hAnsiTheme="minorHAnsi" w:cstheme="minorHAnsi"/>
          <w:color w:val="404040" w:themeColor="text1" w:themeTint="BF"/>
          <w:szCs w:val="20"/>
        </w:rPr>
      </w:pPr>
    </w:p>
    <w:p w14:paraId="14EBAE41" w14:textId="77777777" w:rsidR="005068B5" w:rsidRDefault="005068B5" w:rsidP="005068B5">
      <w:pPr>
        <w:spacing w:line="360" w:lineRule="auto"/>
        <w:ind w:right="360"/>
        <w:rPr>
          <w:rFonts w:asciiTheme="minorHAnsi" w:hAnsiTheme="minorHAnsi" w:cstheme="minorHAnsi"/>
          <w:b/>
          <w:color w:val="FF0000"/>
          <w:szCs w:val="20"/>
        </w:rPr>
      </w:pPr>
      <w:r>
        <w:rPr>
          <w:rFonts w:asciiTheme="minorHAnsi" w:hAnsiTheme="minorHAnsi" w:cstheme="minorHAnsi"/>
          <w:color w:val="404040" w:themeColor="text1" w:themeTint="BF"/>
          <w:szCs w:val="20"/>
        </w:rPr>
        <w:t xml:space="preserve">The City has also placed greater focus on improving nodes, significant intersections, and pedestrian infrastructure in target neighborhoods by rolling out projects detailed in the Westside Master Plan under HAND’s direction.  </w:t>
      </w:r>
    </w:p>
    <w:p w14:paraId="61E07955" w14:textId="77777777" w:rsidR="00B10F1E" w:rsidRPr="00C83460" w:rsidRDefault="005068B5" w:rsidP="00B10F1E">
      <w:pPr>
        <w:spacing w:line="276" w:lineRule="auto"/>
        <w:ind w:right="360"/>
        <w:rPr>
          <w:rFonts w:asciiTheme="minorHAnsi" w:hAnsiTheme="minorHAnsi" w:cstheme="minorHAnsi"/>
          <w:i/>
          <w:color w:val="FF0000"/>
          <w:sz w:val="18"/>
          <w:szCs w:val="18"/>
        </w:rPr>
      </w:pPr>
      <w:r w:rsidRPr="00C83460">
        <w:rPr>
          <w:rFonts w:ascii="Arial" w:hAnsi="Arial" w:cs="Arial"/>
          <w:color w:val="FF0000"/>
          <w:sz w:val="22"/>
          <w:szCs w:val="22"/>
          <w:u w:val="single"/>
        </w:rPr>
        <w:br w:type="page"/>
      </w:r>
      <w:r w:rsidR="00B10F1E" w:rsidRPr="009629AD">
        <w:rPr>
          <w:rFonts w:asciiTheme="minorHAnsi" w:hAnsiTheme="minorHAnsi" w:cstheme="minorHAnsi"/>
          <w:noProof/>
          <w:color w:val="1F497D" w:themeColor="text2"/>
          <w:sz w:val="24"/>
        </w:rPr>
        <mc:AlternateContent>
          <mc:Choice Requires="wps">
            <w:drawing>
              <wp:anchor distT="0" distB="0" distL="114300" distR="114300" simplePos="0" relativeHeight="251767808" behindDoc="0" locked="0" layoutInCell="1" allowOverlap="1" wp14:anchorId="7BCA73C3" wp14:editId="20C80584">
                <wp:simplePos x="0" y="0"/>
                <wp:positionH relativeFrom="column">
                  <wp:posOffset>-190500</wp:posOffset>
                </wp:positionH>
                <wp:positionV relativeFrom="paragraph">
                  <wp:posOffset>-38100</wp:posOffset>
                </wp:positionV>
                <wp:extent cx="6779895" cy="635"/>
                <wp:effectExtent l="9525" t="9525" r="11430" b="8890"/>
                <wp:wrapNone/>
                <wp:docPr id="3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989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0D827" id="AutoShape 15" o:spid="_x0000_s1026" type="#_x0000_t32" style="position:absolute;margin-left:-15pt;margin-top:-3pt;width:533.85pt;height:.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" strokecolor="#548dd4"/>
            </w:pict>
          </mc:Fallback>
        </mc:AlternateContent>
      </w:r>
      <w:r w:rsidR="00B10F1E" w:rsidRPr="009629AD">
        <w:rPr>
          <w:rFonts w:asciiTheme="minorHAnsi" w:hAnsiTheme="minorHAnsi" w:cstheme="minorHAnsi"/>
          <w:b/>
          <w:color w:val="1F497D" w:themeColor="text2"/>
          <w:sz w:val="24"/>
        </w:rPr>
        <w:t>CR-</w:t>
      </w:r>
      <w:r w:rsidR="00B10F1E">
        <w:rPr>
          <w:rFonts w:asciiTheme="minorHAnsi" w:hAnsiTheme="minorHAnsi" w:cstheme="minorHAnsi"/>
          <w:b/>
          <w:color w:val="1F497D" w:themeColor="text2"/>
          <w:sz w:val="24"/>
        </w:rPr>
        <w:t>10</w:t>
      </w:r>
      <w:r w:rsidR="00B10F1E" w:rsidRPr="009629AD">
        <w:rPr>
          <w:rFonts w:asciiTheme="minorHAnsi" w:hAnsiTheme="minorHAnsi" w:cstheme="minorHAnsi"/>
          <w:b/>
          <w:color w:val="1F497D" w:themeColor="text2"/>
          <w:sz w:val="24"/>
        </w:rPr>
        <w:t xml:space="preserve"> </w:t>
      </w:r>
      <w:r w:rsidR="00B10F1E">
        <w:rPr>
          <w:rFonts w:asciiTheme="minorHAnsi" w:hAnsiTheme="minorHAnsi" w:cstheme="minorHAnsi"/>
          <w:b/>
          <w:color w:val="1F497D" w:themeColor="text2"/>
          <w:sz w:val="24"/>
        </w:rPr>
        <w:t xml:space="preserve">RACIAL AND ETHNIC COMPOSITION OF FAMILIES ASSISTED </w:t>
      </w:r>
      <w:r w:rsidR="00B10F1E">
        <w:rPr>
          <w:rFonts w:asciiTheme="minorHAnsi" w:hAnsiTheme="minorHAnsi" w:cstheme="minorHAnsi"/>
          <w:i/>
          <w:color w:val="1F497D" w:themeColor="text2"/>
          <w:sz w:val="18"/>
          <w:szCs w:val="18"/>
        </w:rPr>
        <w:t>– 91.520(a)</w:t>
      </w:r>
    </w:p>
    <w:p w14:paraId="7B9B9634" w14:textId="77777777" w:rsidR="00B10F1E" w:rsidRDefault="00B10F1E" w:rsidP="00B10F1E">
      <w:pPr>
        <w:spacing w:line="276" w:lineRule="auto"/>
        <w:ind w:right="360"/>
        <w:rPr>
          <w:rFonts w:asciiTheme="minorHAnsi" w:hAnsiTheme="minorHAnsi" w:cstheme="minorHAnsi"/>
          <w:b/>
          <w:color w:val="FF0000"/>
          <w:szCs w:val="20"/>
        </w:rPr>
      </w:pPr>
    </w:p>
    <w:p w14:paraId="1ADE516A" w14:textId="77777777" w:rsidR="00B10F1E" w:rsidRPr="006723EF" w:rsidRDefault="00B10F1E" w:rsidP="00B10F1E">
      <w:pPr>
        <w:spacing w:line="276" w:lineRule="auto"/>
        <w:ind w:right="360"/>
        <w:rPr>
          <w:rFonts w:asciiTheme="minorHAnsi" w:hAnsiTheme="minorHAnsi" w:cstheme="minorHAnsi"/>
          <w:i/>
          <w:color w:val="404040" w:themeColor="text1" w:themeTint="BF"/>
          <w:sz w:val="18"/>
          <w:szCs w:val="18"/>
        </w:rPr>
      </w:pPr>
      <w:r w:rsidRPr="006723EF">
        <w:rPr>
          <w:rFonts w:asciiTheme="minorHAnsi" w:hAnsiTheme="minorHAnsi" w:cstheme="minorHAnsi"/>
          <w:b/>
          <w:color w:val="404040" w:themeColor="text1" w:themeTint="BF"/>
          <w:szCs w:val="20"/>
        </w:rPr>
        <w:t xml:space="preserve">Describe the families assisted with grant funds </w:t>
      </w:r>
    </w:p>
    <w:p w14:paraId="5DE6012F" w14:textId="77777777" w:rsidR="00B10F1E" w:rsidRPr="006723EF" w:rsidRDefault="00B10F1E" w:rsidP="00B10F1E">
      <w:pPr>
        <w:spacing w:line="276" w:lineRule="auto"/>
        <w:ind w:right="360"/>
        <w:rPr>
          <w:rFonts w:asciiTheme="minorHAnsi" w:hAnsiTheme="minorHAnsi" w:cstheme="minorHAnsi"/>
          <w:i/>
          <w:color w:val="404040" w:themeColor="text1" w:themeTint="BF"/>
          <w:sz w:val="18"/>
          <w:szCs w:val="18"/>
        </w:rPr>
      </w:pPr>
      <w:r w:rsidRPr="006723EF">
        <w:rPr>
          <w:rFonts w:asciiTheme="minorHAnsi" w:hAnsiTheme="minorHAnsi" w:cstheme="minorHAnsi"/>
          <w:i/>
          <w:color w:val="404040" w:themeColor="text1" w:themeTint="BF"/>
          <w:sz w:val="18"/>
          <w:szCs w:val="18"/>
        </w:rPr>
        <w:t>Include the racial and ethnic status of families assisted</w:t>
      </w:r>
    </w:p>
    <w:p w14:paraId="5BC85252" w14:textId="77777777" w:rsidR="00B10F1E" w:rsidRDefault="00B10F1E" w:rsidP="00B10F1E">
      <w:pPr>
        <w:spacing w:line="276" w:lineRule="auto"/>
        <w:ind w:right="360"/>
        <w:rPr>
          <w:rFonts w:asciiTheme="minorHAnsi" w:hAnsiTheme="minorHAnsi" w:cstheme="minorHAnsi"/>
          <w:b/>
          <w:color w:val="FF0000"/>
          <w:szCs w:val="20"/>
        </w:rPr>
      </w:pPr>
    </w:p>
    <w:p w14:paraId="2F0B035C" w14:textId="77777777" w:rsidR="00B10F1E" w:rsidRPr="006723EF" w:rsidRDefault="00B10F1E" w:rsidP="00B10F1E">
      <w:pPr>
        <w:spacing w:line="276" w:lineRule="auto"/>
        <w:ind w:right="360"/>
        <w:rPr>
          <w:rFonts w:asciiTheme="minorHAnsi" w:hAnsiTheme="minorHAnsi" w:cstheme="minorHAnsi"/>
          <w:b/>
          <w:color w:val="404040" w:themeColor="text1" w:themeTint="BF"/>
          <w:szCs w:val="20"/>
        </w:rPr>
      </w:pPr>
      <w:r w:rsidRPr="006723EF">
        <w:rPr>
          <w:rFonts w:asciiTheme="minorHAnsi" w:hAnsiTheme="minorHAnsi" w:cstheme="minorHAnsi"/>
          <w:b/>
          <w:color w:val="404040" w:themeColor="text1" w:themeTint="BF"/>
          <w:szCs w:val="20"/>
        </w:rPr>
        <w:t xml:space="preserve">Table 2: Table of Assistance to Racial and Ethnic Populations by Source of Funds </w:t>
      </w:r>
    </w:p>
    <w:tbl>
      <w:tblPr>
        <w:tblW w:w="7760" w:type="dxa"/>
        <w:tblInd w:w="-5" w:type="dxa"/>
        <w:tblLook w:val="04A0" w:firstRow="1" w:lastRow="0" w:firstColumn="1" w:lastColumn="0" w:noHBand="0" w:noVBand="1"/>
      </w:tblPr>
      <w:tblGrid>
        <w:gridCol w:w="3760"/>
        <w:gridCol w:w="1000"/>
        <w:gridCol w:w="1000"/>
        <w:gridCol w:w="1000"/>
        <w:gridCol w:w="1000"/>
      </w:tblGrid>
      <w:tr w:rsidR="00B10F1E" w:rsidRPr="006723EF" w14:paraId="532099A1" w14:textId="77777777" w:rsidTr="00816745">
        <w:trPr>
          <w:trHeight w:val="288"/>
        </w:trPr>
        <w:tc>
          <w:tcPr>
            <w:tcW w:w="37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548CA5A8" w14:textId="77777777" w:rsidR="00B10F1E" w:rsidRPr="00613A40" w:rsidRDefault="00B10F1E" w:rsidP="00816745">
            <w:pPr>
              <w:jc w:val="center"/>
              <w:rPr>
                <w:rFonts w:asciiTheme="minorHAnsi" w:eastAsia="Times New Roman" w:hAnsiTheme="minorHAnsi"/>
                <w:b/>
                <w:color w:val="404040" w:themeColor="text1" w:themeTint="BF"/>
                <w:szCs w:val="20"/>
              </w:rPr>
            </w:pPr>
            <w:r w:rsidRPr="00613A40">
              <w:rPr>
                <w:rFonts w:asciiTheme="minorHAnsi" w:eastAsia="Times New Roman" w:hAnsiTheme="minorHAnsi"/>
                <w:b/>
                <w:color w:val="404040" w:themeColor="text1" w:themeTint="BF"/>
                <w:szCs w:val="20"/>
              </w:rPr>
              <w:t> </w:t>
            </w:r>
            <w:r w:rsidRPr="006723EF">
              <w:rPr>
                <w:rFonts w:asciiTheme="minorHAnsi" w:eastAsia="Times New Roman" w:hAnsiTheme="minorHAnsi"/>
                <w:b/>
                <w:color w:val="404040" w:themeColor="text1" w:themeTint="BF"/>
                <w:szCs w:val="20"/>
              </w:rPr>
              <w:t>Race</w:t>
            </w:r>
          </w:p>
        </w:tc>
        <w:tc>
          <w:tcPr>
            <w:tcW w:w="1000"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32BBF194" w14:textId="77777777" w:rsidR="00B10F1E" w:rsidRPr="00613A40" w:rsidRDefault="00B10F1E" w:rsidP="00816745">
            <w:pPr>
              <w:jc w:val="center"/>
              <w:rPr>
                <w:rFonts w:asciiTheme="minorHAnsi" w:eastAsia="Times New Roman" w:hAnsiTheme="minorHAnsi"/>
                <w:b/>
                <w:color w:val="404040" w:themeColor="text1" w:themeTint="BF"/>
                <w:szCs w:val="20"/>
              </w:rPr>
            </w:pPr>
            <w:r w:rsidRPr="00613A40">
              <w:rPr>
                <w:rFonts w:asciiTheme="minorHAnsi" w:eastAsia="Times New Roman" w:hAnsiTheme="minorHAnsi"/>
                <w:b/>
                <w:color w:val="404040" w:themeColor="text1" w:themeTint="BF"/>
                <w:szCs w:val="20"/>
              </w:rPr>
              <w:t>CDBG</w:t>
            </w:r>
          </w:p>
        </w:tc>
        <w:tc>
          <w:tcPr>
            <w:tcW w:w="1000"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6F2F828B" w14:textId="77777777" w:rsidR="00B10F1E" w:rsidRPr="00613A40" w:rsidRDefault="00B10F1E" w:rsidP="00816745">
            <w:pPr>
              <w:jc w:val="center"/>
              <w:rPr>
                <w:rFonts w:asciiTheme="minorHAnsi" w:eastAsia="Times New Roman" w:hAnsiTheme="minorHAnsi"/>
                <w:b/>
                <w:color w:val="404040" w:themeColor="text1" w:themeTint="BF"/>
                <w:szCs w:val="20"/>
              </w:rPr>
            </w:pPr>
            <w:r w:rsidRPr="00613A40">
              <w:rPr>
                <w:rFonts w:asciiTheme="minorHAnsi" w:eastAsia="Times New Roman" w:hAnsiTheme="minorHAnsi"/>
                <w:b/>
                <w:color w:val="404040" w:themeColor="text1" w:themeTint="BF"/>
                <w:szCs w:val="20"/>
              </w:rPr>
              <w:t>HOME</w:t>
            </w:r>
          </w:p>
        </w:tc>
        <w:tc>
          <w:tcPr>
            <w:tcW w:w="1000"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0CB00F27" w14:textId="77777777" w:rsidR="00B10F1E" w:rsidRPr="00613A40" w:rsidRDefault="00B10F1E" w:rsidP="00816745">
            <w:pPr>
              <w:jc w:val="center"/>
              <w:rPr>
                <w:rFonts w:asciiTheme="minorHAnsi" w:eastAsia="Times New Roman" w:hAnsiTheme="minorHAnsi"/>
                <w:b/>
                <w:color w:val="404040" w:themeColor="text1" w:themeTint="BF"/>
                <w:szCs w:val="20"/>
              </w:rPr>
            </w:pPr>
            <w:r w:rsidRPr="00613A40">
              <w:rPr>
                <w:rFonts w:asciiTheme="minorHAnsi" w:eastAsia="Times New Roman" w:hAnsiTheme="minorHAnsi"/>
                <w:b/>
                <w:color w:val="404040" w:themeColor="text1" w:themeTint="BF"/>
                <w:szCs w:val="20"/>
              </w:rPr>
              <w:t>HOPWA</w:t>
            </w:r>
          </w:p>
        </w:tc>
        <w:tc>
          <w:tcPr>
            <w:tcW w:w="1000"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5941F9FF" w14:textId="77777777" w:rsidR="00B10F1E" w:rsidRPr="00613A40" w:rsidRDefault="00B10F1E" w:rsidP="00816745">
            <w:pPr>
              <w:jc w:val="center"/>
              <w:rPr>
                <w:rFonts w:asciiTheme="minorHAnsi" w:eastAsia="Times New Roman" w:hAnsiTheme="minorHAnsi"/>
                <w:b/>
                <w:color w:val="404040" w:themeColor="text1" w:themeTint="BF"/>
                <w:szCs w:val="20"/>
              </w:rPr>
            </w:pPr>
            <w:r w:rsidRPr="00613A40">
              <w:rPr>
                <w:rFonts w:asciiTheme="minorHAnsi" w:eastAsia="Times New Roman" w:hAnsiTheme="minorHAnsi"/>
                <w:b/>
                <w:color w:val="404040" w:themeColor="text1" w:themeTint="BF"/>
                <w:szCs w:val="20"/>
              </w:rPr>
              <w:t>ESG</w:t>
            </w:r>
          </w:p>
        </w:tc>
      </w:tr>
      <w:tr w:rsidR="00B10F1E" w:rsidRPr="006723EF" w14:paraId="09E9849A" w14:textId="77777777" w:rsidTr="00816745">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24B2A835" w14:textId="77777777" w:rsidR="00B10F1E" w:rsidRPr="00613A40" w:rsidRDefault="00B10F1E" w:rsidP="00816745">
            <w:pPr>
              <w:rPr>
                <w:rFonts w:asciiTheme="minorHAnsi" w:eastAsia="Times New Roman" w:hAnsiTheme="minorHAnsi"/>
                <w:color w:val="404040" w:themeColor="text1" w:themeTint="BF"/>
                <w:szCs w:val="20"/>
              </w:rPr>
            </w:pPr>
            <w:r w:rsidRPr="00613A40">
              <w:rPr>
                <w:rFonts w:asciiTheme="minorHAnsi" w:eastAsia="Times New Roman" w:hAnsiTheme="minorHAnsi"/>
                <w:color w:val="404040" w:themeColor="text1" w:themeTint="BF"/>
                <w:szCs w:val="20"/>
              </w:rPr>
              <w:t>White</w:t>
            </w:r>
          </w:p>
        </w:tc>
        <w:tc>
          <w:tcPr>
            <w:tcW w:w="1000" w:type="dxa"/>
            <w:tcBorders>
              <w:top w:val="nil"/>
              <w:left w:val="nil"/>
              <w:bottom w:val="single" w:sz="4" w:space="0" w:color="auto"/>
              <w:right w:val="single" w:sz="4" w:space="0" w:color="auto"/>
            </w:tcBorders>
            <w:shd w:val="clear" w:color="auto" w:fill="auto"/>
            <w:noWrap/>
            <w:vAlign w:val="bottom"/>
            <w:hideMark/>
          </w:tcPr>
          <w:p w14:paraId="74EBB040" w14:textId="77777777" w:rsidR="00B10F1E" w:rsidRPr="00613A40" w:rsidRDefault="00B10F1E" w:rsidP="00816745">
            <w:pPr>
              <w:jc w:val="center"/>
              <w:rPr>
                <w:rFonts w:asciiTheme="minorHAnsi" w:eastAsia="Times New Roman" w:hAnsiTheme="minorHAnsi"/>
                <w:color w:val="404040" w:themeColor="text1" w:themeTint="BF"/>
                <w:szCs w:val="20"/>
              </w:rPr>
            </w:pPr>
            <w:r>
              <w:rPr>
                <w:rFonts w:asciiTheme="minorHAnsi" w:eastAsia="Times New Roman" w:hAnsiTheme="minorHAnsi"/>
                <w:color w:val="404040" w:themeColor="text1" w:themeTint="BF"/>
                <w:szCs w:val="20"/>
              </w:rPr>
              <w:t>1,955</w:t>
            </w:r>
          </w:p>
        </w:tc>
        <w:tc>
          <w:tcPr>
            <w:tcW w:w="1000" w:type="dxa"/>
            <w:tcBorders>
              <w:top w:val="nil"/>
              <w:left w:val="nil"/>
              <w:bottom w:val="single" w:sz="4" w:space="0" w:color="auto"/>
              <w:right w:val="single" w:sz="4" w:space="0" w:color="auto"/>
            </w:tcBorders>
            <w:shd w:val="clear" w:color="auto" w:fill="auto"/>
            <w:noWrap/>
            <w:vAlign w:val="bottom"/>
            <w:hideMark/>
          </w:tcPr>
          <w:p w14:paraId="10D56D88" w14:textId="77777777" w:rsidR="00B10F1E" w:rsidRPr="00613A40" w:rsidRDefault="00B10F1E" w:rsidP="00816745">
            <w:pPr>
              <w:jc w:val="center"/>
              <w:rPr>
                <w:rFonts w:asciiTheme="minorHAnsi" w:eastAsia="Times New Roman" w:hAnsiTheme="minorHAnsi"/>
                <w:color w:val="404040" w:themeColor="text1" w:themeTint="BF"/>
                <w:szCs w:val="20"/>
              </w:rPr>
            </w:pPr>
            <w:r>
              <w:rPr>
                <w:rFonts w:asciiTheme="minorHAnsi" w:eastAsia="Times New Roman" w:hAnsiTheme="minorHAnsi"/>
                <w:color w:val="404040" w:themeColor="text1" w:themeTint="BF"/>
                <w:szCs w:val="20"/>
              </w:rPr>
              <w:t>320</w:t>
            </w:r>
          </w:p>
        </w:tc>
        <w:tc>
          <w:tcPr>
            <w:tcW w:w="1000" w:type="dxa"/>
            <w:tcBorders>
              <w:top w:val="nil"/>
              <w:left w:val="nil"/>
              <w:bottom w:val="single" w:sz="4" w:space="0" w:color="auto"/>
              <w:right w:val="single" w:sz="4" w:space="0" w:color="auto"/>
            </w:tcBorders>
            <w:shd w:val="clear" w:color="auto" w:fill="auto"/>
            <w:noWrap/>
            <w:vAlign w:val="bottom"/>
            <w:hideMark/>
          </w:tcPr>
          <w:p w14:paraId="66D7ABA2" w14:textId="77777777" w:rsidR="00B10F1E" w:rsidRPr="00C00622" w:rsidRDefault="00B10F1E" w:rsidP="00816745">
            <w:pPr>
              <w:jc w:val="center"/>
              <w:rPr>
                <w:rFonts w:asciiTheme="minorHAnsi" w:eastAsia="Times New Roman" w:hAnsiTheme="minorHAnsi"/>
                <w:color w:val="404040" w:themeColor="text1" w:themeTint="BF"/>
                <w:szCs w:val="20"/>
              </w:rPr>
            </w:pPr>
            <w:r w:rsidRPr="00C00622">
              <w:rPr>
                <w:rFonts w:asciiTheme="minorHAnsi" w:eastAsia="Times New Roman" w:hAnsiTheme="minorHAnsi"/>
                <w:color w:val="404040" w:themeColor="text1" w:themeTint="BF"/>
                <w:szCs w:val="20"/>
              </w:rPr>
              <w:t>80</w:t>
            </w:r>
          </w:p>
        </w:tc>
        <w:tc>
          <w:tcPr>
            <w:tcW w:w="1000" w:type="dxa"/>
            <w:tcBorders>
              <w:top w:val="nil"/>
              <w:left w:val="nil"/>
              <w:bottom w:val="single" w:sz="4" w:space="0" w:color="auto"/>
              <w:right w:val="single" w:sz="4" w:space="0" w:color="auto"/>
            </w:tcBorders>
            <w:shd w:val="clear" w:color="auto" w:fill="auto"/>
            <w:noWrap/>
            <w:vAlign w:val="bottom"/>
            <w:hideMark/>
          </w:tcPr>
          <w:p w14:paraId="7AE04CA6" w14:textId="77777777" w:rsidR="00B10F1E" w:rsidRPr="004B2462" w:rsidRDefault="00B10F1E" w:rsidP="00816745">
            <w:pPr>
              <w:jc w:val="center"/>
              <w:rPr>
                <w:rFonts w:asciiTheme="minorHAnsi" w:eastAsia="Times New Roman" w:hAnsiTheme="minorHAnsi"/>
                <w:color w:val="404040" w:themeColor="text1" w:themeTint="BF"/>
                <w:szCs w:val="20"/>
                <w:highlight w:val="yellow"/>
              </w:rPr>
            </w:pPr>
            <w:r>
              <w:rPr>
                <w:rFonts w:ascii="Calibri" w:eastAsia="Times New Roman" w:hAnsi="Calibri"/>
                <w:color w:val="404040"/>
                <w:szCs w:val="20"/>
              </w:rPr>
              <w:t>412</w:t>
            </w:r>
          </w:p>
        </w:tc>
      </w:tr>
      <w:tr w:rsidR="00B10F1E" w:rsidRPr="006723EF" w14:paraId="43C46E5D" w14:textId="77777777" w:rsidTr="00816745">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5E90CB01" w14:textId="77777777" w:rsidR="00B10F1E" w:rsidRPr="00613A40" w:rsidRDefault="00B10F1E" w:rsidP="00816745">
            <w:pPr>
              <w:rPr>
                <w:rFonts w:asciiTheme="minorHAnsi" w:eastAsia="Times New Roman" w:hAnsiTheme="minorHAnsi"/>
                <w:color w:val="404040" w:themeColor="text1" w:themeTint="BF"/>
                <w:szCs w:val="20"/>
              </w:rPr>
            </w:pPr>
            <w:r w:rsidRPr="00613A40">
              <w:rPr>
                <w:rFonts w:asciiTheme="minorHAnsi" w:eastAsia="Times New Roman" w:hAnsiTheme="minorHAnsi"/>
                <w:color w:val="404040" w:themeColor="text1" w:themeTint="BF"/>
                <w:szCs w:val="20"/>
              </w:rPr>
              <w:t>Black or African American</w:t>
            </w:r>
          </w:p>
        </w:tc>
        <w:tc>
          <w:tcPr>
            <w:tcW w:w="1000" w:type="dxa"/>
            <w:tcBorders>
              <w:top w:val="nil"/>
              <w:left w:val="nil"/>
              <w:bottom w:val="single" w:sz="4" w:space="0" w:color="auto"/>
              <w:right w:val="single" w:sz="4" w:space="0" w:color="auto"/>
            </w:tcBorders>
            <w:shd w:val="clear" w:color="auto" w:fill="auto"/>
            <w:noWrap/>
            <w:vAlign w:val="bottom"/>
            <w:hideMark/>
          </w:tcPr>
          <w:p w14:paraId="73C8D501" w14:textId="77777777" w:rsidR="00B10F1E" w:rsidRPr="00613A40" w:rsidRDefault="00B10F1E" w:rsidP="00816745">
            <w:pPr>
              <w:jc w:val="center"/>
              <w:rPr>
                <w:rFonts w:asciiTheme="minorHAnsi" w:eastAsia="Times New Roman" w:hAnsiTheme="minorHAnsi"/>
                <w:color w:val="404040" w:themeColor="text1" w:themeTint="BF"/>
                <w:szCs w:val="20"/>
              </w:rPr>
            </w:pPr>
            <w:r>
              <w:rPr>
                <w:rFonts w:asciiTheme="minorHAnsi" w:eastAsia="Times New Roman" w:hAnsiTheme="minorHAnsi"/>
                <w:color w:val="404040" w:themeColor="text1" w:themeTint="BF"/>
                <w:szCs w:val="20"/>
              </w:rPr>
              <w:t>204</w:t>
            </w:r>
          </w:p>
        </w:tc>
        <w:tc>
          <w:tcPr>
            <w:tcW w:w="1000" w:type="dxa"/>
            <w:tcBorders>
              <w:top w:val="nil"/>
              <w:left w:val="nil"/>
              <w:bottom w:val="single" w:sz="4" w:space="0" w:color="auto"/>
              <w:right w:val="single" w:sz="4" w:space="0" w:color="auto"/>
            </w:tcBorders>
            <w:shd w:val="clear" w:color="auto" w:fill="auto"/>
            <w:noWrap/>
            <w:vAlign w:val="bottom"/>
            <w:hideMark/>
          </w:tcPr>
          <w:p w14:paraId="7AA079ED" w14:textId="77777777" w:rsidR="00B10F1E" w:rsidRPr="00613A40" w:rsidRDefault="00B10F1E" w:rsidP="00816745">
            <w:pPr>
              <w:jc w:val="center"/>
              <w:rPr>
                <w:rFonts w:asciiTheme="minorHAnsi" w:eastAsia="Times New Roman" w:hAnsiTheme="minorHAnsi"/>
                <w:color w:val="404040" w:themeColor="text1" w:themeTint="BF"/>
                <w:szCs w:val="20"/>
              </w:rPr>
            </w:pPr>
            <w:r>
              <w:rPr>
                <w:rFonts w:asciiTheme="minorHAnsi" w:eastAsia="Times New Roman" w:hAnsiTheme="minorHAnsi"/>
                <w:color w:val="404040" w:themeColor="text1" w:themeTint="BF"/>
                <w:szCs w:val="20"/>
              </w:rPr>
              <w:t>37</w:t>
            </w:r>
          </w:p>
        </w:tc>
        <w:tc>
          <w:tcPr>
            <w:tcW w:w="1000" w:type="dxa"/>
            <w:tcBorders>
              <w:top w:val="nil"/>
              <w:left w:val="nil"/>
              <w:bottom w:val="single" w:sz="4" w:space="0" w:color="auto"/>
              <w:right w:val="single" w:sz="4" w:space="0" w:color="auto"/>
            </w:tcBorders>
            <w:shd w:val="clear" w:color="auto" w:fill="auto"/>
            <w:noWrap/>
            <w:vAlign w:val="bottom"/>
            <w:hideMark/>
          </w:tcPr>
          <w:p w14:paraId="79726EF5" w14:textId="77777777" w:rsidR="00B10F1E" w:rsidRPr="00C00622" w:rsidRDefault="00B10F1E" w:rsidP="00816745">
            <w:pPr>
              <w:jc w:val="center"/>
              <w:rPr>
                <w:rFonts w:asciiTheme="minorHAnsi" w:eastAsia="Times New Roman" w:hAnsiTheme="minorHAnsi"/>
                <w:color w:val="404040" w:themeColor="text1" w:themeTint="BF"/>
                <w:szCs w:val="20"/>
              </w:rPr>
            </w:pPr>
            <w:r w:rsidRPr="00C00622">
              <w:rPr>
                <w:rFonts w:asciiTheme="minorHAnsi" w:eastAsia="Times New Roman" w:hAnsiTheme="minorHAnsi"/>
                <w:color w:val="404040" w:themeColor="text1" w:themeTint="BF"/>
                <w:szCs w:val="20"/>
              </w:rPr>
              <w:t>28</w:t>
            </w:r>
          </w:p>
        </w:tc>
        <w:tc>
          <w:tcPr>
            <w:tcW w:w="1000" w:type="dxa"/>
            <w:tcBorders>
              <w:top w:val="nil"/>
              <w:left w:val="nil"/>
              <w:bottom w:val="single" w:sz="4" w:space="0" w:color="auto"/>
              <w:right w:val="single" w:sz="4" w:space="0" w:color="auto"/>
            </w:tcBorders>
            <w:shd w:val="clear" w:color="auto" w:fill="auto"/>
            <w:noWrap/>
            <w:vAlign w:val="bottom"/>
            <w:hideMark/>
          </w:tcPr>
          <w:p w14:paraId="3617A291" w14:textId="77777777" w:rsidR="00B10F1E" w:rsidRPr="004B2462" w:rsidRDefault="00B10F1E" w:rsidP="00816745">
            <w:pPr>
              <w:jc w:val="center"/>
              <w:rPr>
                <w:rFonts w:asciiTheme="minorHAnsi" w:eastAsia="Times New Roman" w:hAnsiTheme="minorHAnsi"/>
                <w:color w:val="404040" w:themeColor="text1" w:themeTint="BF"/>
                <w:szCs w:val="20"/>
                <w:highlight w:val="yellow"/>
              </w:rPr>
            </w:pPr>
            <w:r>
              <w:rPr>
                <w:rFonts w:ascii="Calibri" w:eastAsia="Times New Roman" w:hAnsi="Calibri"/>
                <w:color w:val="404040"/>
                <w:szCs w:val="20"/>
              </w:rPr>
              <w:t>81</w:t>
            </w:r>
          </w:p>
        </w:tc>
      </w:tr>
      <w:tr w:rsidR="00B10F1E" w:rsidRPr="006723EF" w14:paraId="083792D5" w14:textId="77777777" w:rsidTr="00816745">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61CACFE2" w14:textId="77777777" w:rsidR="00B10F1E" w:rsidRPr="00613A40" w:rsidRDefault="00B10F1E" w:rsidP="00816745">
            <w:pPr>
              <w:rPr>
                <w:rFonts w:asciiTheme="minorHAnsi" w:eastAsia="Times New Roman" w:hAnsiTheme="minorHAnsi"/>
                <w:color w:val="404040" w:themeColor="text1" w:themeTint="BF"/>
                <w:szCs w:val="20"/>
              </w:rPr>
            </w:pPr>
            <w:r w:rsidRPr="00613A40">
              <w:rPr>
                <w:rFonts w:asciiTheme="minorHAnsi" w:eastAsia="Times New Roman" w:hAnsiTheme="minorHAnsi"/>
                <w:color w:val="404040" w:themeColor="text1" w:themeTint="BF"/>
                <w:szCs w:val="20"/>
              </w:rPr>
              <w:t>Asian</w:t>
            </w:r>
          </w:p>
        </w:tc>
        <w:tc>
          <w:tcPr>
            <w:tcW w:w="1000" w:type="dxa"/>
            <w:tcBorders>
              <w:top w:val="nil"/>
              <w:left w:val="nil"/>
              <w:bottom w:val="single" w:sz="4" w:space="0" w:color="auto"/>
              <w:right w:val="single" w:sz="4" w:space="0" w:color="auto"/>
            </w:tcBorders>
            <w:shd w:val="clear" w:color="auto" w:fill="auto"/>
            <w:noWrap/>
            <w:vAlign w:val="bottom"/>
            <w:hideMark/>
          </w:tcPr>
          <w:p w14:paraId="3C95F2BC" w14:textId="77777777" w:rsidR="00B10F1E" w:rsidRPr="00613A40" w:rsidRDefault="00B10F1E" w:rsidP="00816745">
            <w:pPr>
              <w:jc w:val="center"/>
              <w:rPr>
                <w:rFonts w:asciiTheme="minorHAnsi" w:eastAsia="Times New Roman" w:hAnsiTheme="minorHAnsi"/>
                <w:color w:val="404040" w:themeColor="text1" w:themeTint="BF"/>
                <w:szCs w:val="20"/>
              </w:rPr>
            </w:pPr>
            <w:r>
              <w:rPr>
                <w:rFonts w:asciiTheme="minorHAnsi" w:eastAsia="Times New Roman" w:hAnsiTheme="minorHAnsi"/>
                <w:color w:val="404040" w:themeColor="text1" w:themeTint="BF"/>
                <w:szCs w:val="20"/>
              </w:rPr>
              <w:t>40</w:t>
            </w:r>
          </w:p>
        </w:tc>
        <w:tc>
          <w:tcPr>
            <w:tcW w:w="1000" w:type="dxa"/>
            <w:tcBorders>
              <w:top w:val="nil"/>
              <w:left w:val="nil"/>
              <w:bottom w:val="single" w:sz="4" w:space="0" w:color="auto"/>
              <w:right w:val="single" w:sz="4" w:space="0" w:color="auto"/>
            </w:tcBorders>
            <w:shd w:val="clear" w:color="auto" w:fill="auto"/>
            <w:noWrap/>
            <w:vAlign w:val="bottom"/>
            <w:hideMark/>
          </w:tcPr>
          <w:p w14:paraId="5F8DE3C5" w14:textId="77777777" w:rsidR="00B10F1E" w:rsidRPr="00613A40" w:rsidRDefault="00B10F1E" w:rsidP="00816745">
            <w:pPr>
              <w:jc w:val="center"/>
              <w:rPr>
                <w:rFonts w:asciiTheme="minorHAnsi" w:eastAsia="Times New Roman" w:hAnsiTheme="minorHAnsi"/>
                <w:color w:val="404040" w:themeColor="text1" w:themeTint="BF"/>
                <w:szCs w:val="20"/>
              </w:rPr>
            </w:pPr>
            <w:r>
              <w:rPr>
                <w:rFonts w:asciiTheme="minorHAnsi" w:eastAsia="Times New Roman" w:hAnsiTheme="minorHAnsi"/>
                <w:color w:val="404040" w:themeColor="text1" w:themeTint="BF"/>
                <w:szCs w:val="20"/>
              </w:rPr>
              <w:t>7</w:t>
            </w:r>
          </w:p>
        </w:tc>
        <w:tc>
          <w:tcPr>
            <w:tcW w:w="1000" w:type="dxa"/>
            <w:tcBorders>
              <w:top w:val="nil"/>
              <w:left w:val="nil"/>
              <w:bottom w:val="single" w:sz="4" w:space="0" w:color="auto"/>
              <w:right w:val="single" w:sz="4" w:space="0" w:color="auto"/>
            </w:tcBorders>
            <w:shd w:val="clear" w:color="auto" w:fill="auto"/>
            <w:noWrap/>
            <w:vAlign w:val="bottom"/>
            <w:hideMark/>
          </w:tcPr>
          <w:p w14:paraId="6167F5B9" w14:textId="77777777" w:rsidR="00B10F1E" w:rsidRPr="00C00622" w:rsidRDefault="00B10F1E" w:rsidP="00816745">
            <w:pPr>
              <w:jc w:val="center"/>
              <w:rPr>
                <w:rFonts w:asciiTheme="minorHAnsi" w:eastAsia="Times New Roman" w:hAnsiTheme="minorHAnsi"/>
                <w:color w:val="404040" w:themeColor="text1" w:themeTint="BF"/>
                <w:szCs w:val="20"/>
              </w:rPr>
            </w:pPr>
            <w:r w:rsidRPr="00C00622">
              <w:rPr>
                <w:rFonts w:asciiTheme="minorHAnsi" w:eastAsia="Times New Roman" w:hAnsiTheme="minorHAnsi"/>
                <w:color w:val="404040" w:themeColor="text1" w:themeTint="BF"/>
                <w:szCs w:val="20"/>
              </w:rPr>
              <w:t>7</w:t>
            </w:r>
          </w:p>
        </w:tc>
        <w:tc>
          <w:tcPr>
            <w:tcW w:w="1000" w:type="dxa"/>
            <w:tcBorders>
              <w:top w:val="nil"/>
              <w:left w:val="nil"/>
              <w:bottom w:val="single" w:sz="4" w:space="0" w:color="auto"/>
              <w:right w:val="single" w:sz="4" w:space="0" w:color="auto"/>
            </w:tcBorders>
            <w:shd w:val="clear" w:color="auto" w:fill="auto"/>
            <w:noWrap/>
            <w:vAlign w:val="bottom"/>
            <w:hideMark/>
          </w:tcPr>
          <w:p w14:paraId="6C4AAF64" w14:textId="77777777" w:rsidR="00B10F1E" w:rsidRPr="004B2462" w:rsidRDefault="00B10F1E" w:rsidP="00816745">
            <w:pPr>
              <w:jc w:val="center"/>
              <w:rPr>
                <w:rFonts w:asciiTheme="minorHAnsi" w:eastAsia="Times New Roman" w:hAnsiTheme="minorHAnsi"/>
                <w:color w:val="404040" w:themeColor="text1" w:themeTint="BF"/>
                <w:szCs w:val="20"/>
                <w:highlight w:val="yellow"/>
              </w:rPr>
            </w:pPr>
            <w:r>
              <w:rPr>
                <w:rFonts w:ascii="Calibri" w:eastAsia="Times New Roman" w:hAnsi="Calibri"/>
                <w:color w:val="404040"/>
                <w:szCs w:val="20"/>
              </w:rPr>
              <w:t>13</w:t>
            </w:r>
          </w:p>
        </w:tc>
      </w:tr>
      <w:tr w:rsidR="00B10F1E" w:rsidRPr="006723EF" w14:paraId="0137126B" w14:textId="77777777" w:rsidTr="00816745">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5708A076" w14:textId="77777777" w:rsidR="00B10F1E" w:rsidRPr="00613A40" w:rsidRDefault="00B10F1E" w:rsidP="00816745">
            <w:pPr>
              <w:rPr>
                <w:rFonts w:asciiTheme="minorHAnsi" w:eastAsia="Times New Roman" w:hAnsiTheme="minorHAnsi"/>
                <w:color w:val="404040" w:themeColor="text1" w:themeTint="BF"/>
                <w:szCs w:val="20"/>
              </w:rPr>
            </w:pPr>
            <w:r w:rsidRPr="00613A40">
              <w:rPr>
                <w:rFonts w:asciiTheme="minorHAnsi" w:eastAsia="Times New Roman" w:hAnsiTheme="minorHAnsi"/>
                <w:color w:val="404040" w:themeColor="text1" w:themeTint="BF"/>
                <w:szCs w:val="20"/>
              </w:rPr>
              <w:t>American Indian or American Native</w:t>
            </w:r>
          </w:p>
        </w:tc>
        <w:tc>
          <w:tcPr>
            <w:tcW w:w="1000" w:type="dxa"/>
            <w:tcBorders>
              <w:top w:val="nil"/>
              <w:left w:val="nil"/>
              <w:bottom w:val="single" w:sz="4" w:space="0" w:color="auto"/>
              <w:right w:val="single" w:sz="4" w:space="0" w:color="auto"/>
            </w:tcBorders>
            <w:shd w:val="clear" w:color="auto" w:fill="auto"/>
            <w:noWrap/>
            <w:vAlign w:val="bottom"/>
            <w:hideMark/>
          </w:tcPr>
          <w:p w14:paraId="0100B9B8" w14:textId="77777777" w:rsidR="00B10F1E" w:rsidRPr="00613A40" w:rsidRDefault="00B10F1E" w:rsidP="00816745">
            <w:pPr>
              <w:jc w:val="center"/>
              <w:rPr>
                <w:rFonts w:asciiTheme="minorHAnsi" w:eastAsia="Times New Roman" w:hAnsiTheme="minorHAnsi"/>
                <w:color w:val="404040" w:themeColor="text1" w:themeTint="BF"/>
                <w:szCs w:val="20"/>
              </w:rPr>
            </w:pPr>
            <w:r>
              <w:rPr>
                <w:rFonts w:asciiTheme="minorHAnsi" w:eastAsia="Times New Roman" w:hAnsiTheme="minorHAnsi"/>
                <w:color w:val="404040" w:themeColor="text1" w:themeTint="BF"/>
                <w:szCs w:val="20"/>
              </w:rPr>
              <w:t>102</w:t>
            </w:r>
          </w:p>
        </w:tc>
        <w:tc>
          <w:tcPr>
            <w:tcW w:w="1000" w:type="dxa"/>
            <w:tcBorders>
              <w:top w:val="nil"/>
              <w:left w:val="nil"/>
              <w:bottom w:val="single" w:sz="4" w:space="0" w:color="auto"/>
              <w:right w:val="single" w:sz="4" w:space="0" w:color="auto"/>
            </w:tcBorders>
            <w:shd w:val="clear" w:color="auto" w:fill="auto"/>
            <w:noWrap/>
            <w:vAlign w:val="bottom"/>
            <w:hideMark/>
          </w:tcPr>
          <w:p w14:paraId="13E17C12" w14:textId="77777777" w:rsidR="00B10F1E" w:rsidRPr="00613A40" w:rsidRDefault="00B10F1E" w:rsidP="00816745">
            <w:pPr>
              <w:jc w:val="center"/>
              <w:rPr>
                <w:rFonts w:asciiTheme="minorHAnsi" w:eastAsia="Times New Roman" w:hAnsiTheme="minorHAnsi"/>
                <w:color w:val="404040" w:themeColor="text1" w:themeTint="BF"/>
                <w:szCs w:val="20"/>
              </w:rPr>
            </w:pPr>
            <w:r>
              <w:rPr>
                <w:rFonts w:asciiTheme="minorHAnsi" w:eastAsia="Times New Roman" w:hAnsiTheme="minorHAnsi"/>
                <w:color w:val="404040" w:themeColor="text1" w:themeTint="BF"/>
                <w:szCs w:val="20"/>
              </w:rPr>
              <w:t>21</w:t>
            </w:r>
          </w:p>
        </w:tc>
        <w:tc>
          <w:tcPr>
            <w:tcW w:w="1000" w:type="dxa"/>
            <w:tcBorders>
              <w:top w:val="nil"/>
              <w:left w:val="nil"/>
              <w:bottom w:val="single" w:sz="4" w:space="0" w:color="auto"/>
              <w:right w:val="single" w:sz="4" w:space="0" w:color="auto"/>
            </w:tcBorders>
            <w:shd w:val="clear" w:color="auto" w:fill="auto"/>
            <w:noWrap/>
            <w:vAlign w:val="bottom"/>
            <w:hideMark/>
          </w:tcPr>
          <w:p w14:paraId="4C61892B" w14:textId="77777777" w:rsidR="00B10F1E" w:rsidRPr="00C00622" w:rsidRDefault="00B10F1E" w:rsidP="00816745">
            <w:pPr>
              <w:jc w:val="center"/>
              <w:rPr>
                <w:rFonts w:asciiTheme="minorHAnsi" w:eastAsia="Times New Roman" w:hAnsiTheme="minorHAnsi"/>
                <w:color w:val="404040" w:themeColor="text1" w:themeTint="BF"/>
                <w:szCs w:val="20"/>
              </w:rPr>
            </w:pPr>
            <w:r w:rsidRPr="00C00622">
              <w:rPr>
                <w:rFonts w:asciiTheme="minorHAnsi" w:eastAsia="Times New Roman" w:hAnsiTheme="minorHAnsi"/>
                <w:color w:val="404040" w:themeColor="text1" w:themeTint="BF"/>
                <w:szCs w:val="20"/>
              </w:rPr>
              <w:t>2</w:t>
            </w:r>
          </w:p>
        </w:tc>
        <w:tc>
          <w:tcPr>
            <w:tcW w:w="1000" w:type="dxa"/>
            <w:tcBorders>
              <w:top w:val="nil"/>
              <w:left w:val="nil"/>
              <w:bottom w:val="single" w:sz="4" w:space="0" w:color="auto"/>
              <w:right w:val="single" w:sz="4" w:space="0" w:color="auto"/>
            </w:tcBorders>
            <w:shd w:val="clear" w:color="auto" w:fill="auto"/>
            <w:noWrap/>
            <w:vAlign w:val="bottom"/>
            <w:hideMark/>
          </w:tcPr>
          <w:p w14:paraId="54D818AA" w14:textId="77777777" w:rsidR="00B10F1E" w:rsidRPr="004B2462" w:rsidRDefault="00B10F1E" w:rsidP="00816745">
            <w:pPr>
              <w:jc w:val="center"/>
              <w:rPr>
                <w:rFonts w:asciiTheme="minorHAnsi" w:eastAsia="Times New Roman" w:hAnsiTheme="minorHAnsi"/>
                <w:color w:val="404040" w:themeColor="text1" w:themeTint="BF"/>
                <w:szCs w:val="20"/>
                <w:highlight w:val="yellow"/>
              </w:rPr>
            </w:pPr>
            <w:r>
              <w:rPr>
                <w:rFonts w:ascii="Calibri" w:eastAsia="Times New Roman" w:hAnsi="Calibri"/>
                <w:color w:val="404040"/>
                <w:szCs w:val="20"/>
              </w:rPr>
              <w:t>46</w:t>
            </w:r>
          </w:p>
        </w:tc>
      </w:tr>
      <w:tr w:rsidR="00B10F1E" w:rsidRPr="006723EF" w14:paraId="2F18B744" w14:textId="77777777" w:rsidTr="00816745">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38CA527C" w14:textId="77777777" w:rsidR="00B10F1E" w:rsidRPr="00613A40" w:rsidRDefault="00B10F1E" w:rsidP="00816745">
            <w:pPr>
              <w:rPr>
                <w:rFonts w:asciiTheme="minorHAnsi" w:eastAsia="Times New Roman" w:hAnsiTheme="minorHAnsi"/>
                <w:color w:val="404040" w:themeColor="text1" w:themeTint="BF"/>
                <w:szCs w:val="20"/>
              </w:rPr>
            </w:pPr>
            <w:r w:rsidRPr="00613A40">
              <w:rPr>
                <w:rFonts w:asciiTheme="minorHAnsi" w:eastAsia="Times New Roman" w:hAnsiTheme="minorHAnsi"/>
                <w:color w:val="404040" w:themeColor="text1" w:themeTint="BF"/>
                <w:szCs w:val="20"/>
              </w:rPr>
              <w:t>Native Hawaiian or Other Pacific Islander</w:t>
            </w:r>
          </w:p>
        </w:tc>
        <w:tc>
          <w:tcPr>
            <w:tcW w:w="1000" w:type="dxa"/>
            <w:tcBorders>
              <w:top w:val="nil"/>
              <w:left w:val="nil"/>
              <w:bottom w:val="single" w:sz="4" w:space="0" w:color="auto"/>
              <w:right w:val="single" w:sz="4" w:space="0" w:color="auto"/>
            </w:tcBorders>
            <w:shd w:val="clear" w:color="auto" w:fill="auto"/>
            <w:noWrap/>
            <w:vAlign w:val="bottom"/>
            <w:hideMark/>
          </w:tcPr>
          <w:p w14:paraId="44CB410E" w14:textId="77777777" w:rsidR="00B10F1E" w:rsidRPr="00613A40" w:rsidRDefault="00B10F1E" w:rsidP="00816745">
            <w:pPr>
              <w:jc w:val="center"/>
              <w:rPr>
                <w:rFonts w:asciiTheme="minorHAnsi" w:eastAsia="Times New Roman" w:hAnsiTheme="minorHAnsi"/>
                <w:color w:val="404040" w:themeColor="text1" w:themeTint="BF"/>
                <w:szCs w:val="20"/>
              </w:rPr>
            </w:pPr>
            <w:r>
              <w:rPr>
                <w:rFonts w:asciiTheme="minorHAnsi" w:eastAsia="Times New Roman" w:hAnsiTheme="minorHAnsi"/>
                <w:color w:val="404040" w:themeColor="text1" w:themeTint="BF"/>
                <w:szCs w:val="20"/>
              </w:rPr>
              <w:t>67</w:t>
            </w:r>
          </w:p>
        </w:tc>
        <w:tc>
          <w:tcPr>
            <w:tcW w:w="1000" w:type="dxa"/>
            <w:tcBorders>
              <w:top w:val="nil"/>
              <w:left w:val="nil"/>
              <w:bottom w:val="single" w:sz="4" w:space="0" w:color="auto"/>
              <w:right w:val="single" w:sz="4" w:space="0" w:color="auto"/>
            </w:tcBorders>
            <w:shd w:val="clear" w:color="auto" w:fill="auto"/>
            <w:noWrap/>
            <w:vAlign w:val="bottom"/>
            <w:hideMark/>
          </w:tcPr>
          <w:p w14:paraId="448B8B81" w14:textId="77777777" w:rsidR="00B10F1E" w:rsidRPr="00613A40" w:rsidRDefault="00B10F1E" w:rsidP="00816745">
            <w:pPr>
              <w:jc w:val="center"/>
              <w:rPr>
                <w:rFonts w:asciiTheme="minorHAnsi" w:eastAsia="Times New Roman" w:hAnsiTheme="minorHAnsi"/>
                <w:color w:val="404040" w:themeColor="text1" w:themeTint="BF"/>
                <w:szCs w:val="20"/>
              </w:rPr>
            </w:pPr>
            <w:r>
              <w:rPr>
                <w:rFonts w:asciiTheme="minorHAnsi" w:eastAsia="Times New Roman" w:hAnsiTheme="minorHAnsi"/>
                <w:color w:val="404040" w:themeColor="text1" w:themeTint="BF"/>
                <w:szCs w:val="20"/>
              </w:rPr>
              <w:t>25</w:t>
            </w:r>
          </w:p>
        </w:tc>
        <w:tc>
          <w:tcPr>
            <w:tcW w:w="1000" w:type="dxa"/>
            <w:tcBorders>
              <w:top w:val="nil"/>
              <w:left w:val="nil"/>
              <w:bottom w:val="single" w:sz="4" w:space="0" w:color="auto"/>
              <w:right w:val="single" w:sz="4" w:space="0" w:color="auto"/>
            </w:tcBorders>
            <w:shd w:val="clear" w:color="auto" w:fill="auto"/>
            <w:noWrap/>
            <w:vAlign w:val="bottom"/>
            <w:hideMark/>
          </w:tcPr>
          <w:p w14:paraId="3873B067" w14:textId="77777777" w:rsidR="00B10F1E" w:rsidRPr="00C00622" w:rsidRDefault="00B10F1E" w:rsidP="00816745">
            <w:pPr>
              <w:jc w:val="center"/>
              <w:rPr>
                <w:rFonts w:asciiTheme="minorHAnsi" w:eastAsia="Times New Roman" w:hAnsiTheme="minorHAnsi"/>
                <w:color w:val="404040" w:themeColor="text1" w:themeTint="BF"/>
                <w:szCs w:val="20"/>
              </w:rPr>
            </w:pPr>
            <w:r w:rsidRPr="00C00622">
              <w:rPr>
                <w:rFonts w:asciiTheme="minorHAnsi" w:eastAsia="Times New Roman" w:hAnsiTheme="minorHAnsi"/>
                <w:color w:val="404040" w:themeColor="text1" w:themeTint="BF"/>
                <w:szCs w:val="20"/>
              </w:rPr>
              <w:t>0</w:t>
            </w:r>
          </w:p>
        </w:tc>
        <w:tc>
          <w:tcPr>
            <w:tcW w:w="1000" w:type="dxa"/>
            <w:tcBorders>
              <w:top w:val="nil"/>
              <w:left w:val="nil"/>
              <w:bottom w:val="single" w:sz="4" w:space="0" w:color="auto"/>
              <w:right w:val="single" w:sz="4" w:space="0" w:color="auto"/>
            </w:tcBorders>
            <w:shd w:val="clear" w:color="auto" w:fill="auto"/>
            <w:noWrap/>
            <w:vAlign w:val="bottom"/>
            <w:hideMark/>
          </w:tcPr>
          <w:p w14:paraId="49431F68" w14:textId="77777777" w:rsidR="00B10F1E" w:rsidRPr="004B2462" w:rsidRDefault="00B10F1E" w:rsidP="00816745">
            <w:pPr>
              <w:jc w:val="center"/>
              <w:rPr>
                <w:rFonts w:asciiTheme="minorHAnsi" w:eastAsia="Times New Roman" w:hAnsiTheme="minorHAnsi"/>
                <w:color w:val="404040" w:themeColor="text1" w:themeTint="BF"/>
                <w:szCs w:val="20"/>
                <w:highlight w:val="yellow"/>
              </w:rPr>
            </w:pPr>
            <w:r>
              <w:rPr>
                <w:rFonts w:ascii="Calibri" w:eastAsia="Times New Roman" w:hAnsi="Calibri"/>
                <w:color w:val="404040"/>
                <w:szCs w:val="20"/>
              </w:rPr>
              <w:t>11</w:t>
            </w:r>
          </w:p>
        </w:tc>
      </w:tr>
      <w:tr w:rsidR="00B10F1E" w:rsidRPr="006723EF" w14:paraId="25FF335A" w14:textId="77777777" w:rsidTr="00816745">
        <w:trPr>
          <w:trHeight w:val="288"/>
        </w:trPr>
        <w:tc>
          <w:tcPr>
            <w:tcW w:w="3760" w:type="dxa"/>
            <w:tcBorders>
              <w:top w:val="nil"/>
              <w:left w:val="single" w:sz="4" w:space="0" w:color="auto"/>
              <w:bottom w:val="single" w:sz="4" w:space="0" w:color="auto"/>
              <w:right w:val="single" w:sz="4" w:space="0" w:color="auto"/>
            </w:tcBorders>
            <w:shd w:val="clear" w:color="000000" w:fill="D9D9D9"/>
            <w:noWrap/>
            <w:vAlign w:val="bottom"/>
            <w:hideMark/>
          </w:tcPr>
          <w:p w14:paraId="623B876A" w14:textId="77777777" w:rsidR="00B10F1E" w:rsidRPr="00613A40" w:rsidRDefault="00B10F1E" w:rsidP="00816745">
            <w:pPr>
              <w:rPr>
                <w:rFonts w:asciiTheme="minorHAnsi" w:eastAsia="Times New Roman" w:hAnsiTheme="minorHAnsi"/>
                <w:b/>
                <w:bCs/>
                <w:color w:val="404040" w:themeColor="text1" w:themeTint="BF"/>
                <w:szCs w:val="20"/>
              </w:rPr>
            </w:pPr>
            <w:r w:rsidRPr="00613A40">
              <w:rPr>
                <w:rFonts w:asciiTheme="minorHAnsi" w:eastAsia="Times New Roman" w:hAnsiTheme="minorHAnsi"/>
                <w:b/>
                <w:bCs/>
                <w:color w:val="404040" w:themeColor="text1" w:themeTint="BF"/>
                <w:szCs w:val="20"/>
              </w:rPr>
              <w:t>Total</w:t>
            </w:r>
          </w:p>
        </w:tc>
        <w:tc>
          <w:tcPr>
            <w:tcW w:w="1000" w:type="dxa"/>
            <w:tcBorders>
              <w:top w:val="nil"/>
              <w:left w:val="nil"/>
              <w:bottom w:val="single" w:sz="4" w:space="0" w:color="auto"/>
              <w:right w:val="single" w:sz="4" w:space="0" w:color="auto"/>
            </w:tcBorders>
            <w:shd w:val="clear" w:color="000000" w:fill="D9D9D9"/>
            <w:noWrap/>
            <w:vAlign w:val="bottom"/>
            <w:hideMark/>
          </w:tcPr>
          <w:p w14:paraId="20C6D3F0" w14:textId="77777777" w:rsidR="00B10F1E" w:rsidRPr="00613A40" w:rsidRDefault="00B10F1E" w:rsidP="00816745">
            <w:pPr>
              <w:jc w:val="center"/>
              <w:rPr>
                <w:rFonts w:asciiTheme="minorHAnsi" w:eastAsia="Times New Roman" w:hAnsiTheme="minorHAnsi"/>
                <w:b/>
                <w:bCs/>
                <w:color w:val="404040" w:themeColor="text1" w:themeTint="BF"/>
                <w:szCs w:val="20"/>
              </w:rPr>
            </w:pPr>
            <w:r>
              <w:rPr>
                <w:rFonts w:asciiTheme="minorHAnsi" w:eastAsia="Times New Roman" w:hAnsiTheme="minorHAnsi"/>
                <w:b/>
                <w:bCs/>
                <w:color w:val="404040" w:themeColor="text1" w:themeTint="BF"/>
                <w:szCs w:val="20"/>
              </w:rPr>
              <w:t>2,368</w:t>
            </w:r>
          </w:p>
        </w:tc>
        <w:tc>
          <w:tcPr>
            <w:tcW w:w="1000" w:type="dxa"/>
            <w:tcBorders>
              <w:top w:val="nil"/>
              <w:left w:val="nil"/>
              <w:bottom w:val="single" w:sz="4" w:space="0" w:color="auto"/>
              <w:right w:val="single" w:sz="4" w:space="0" w:color="auto"/>
            </w:tcBorders>
            <w:shd w:val="clear" w:color="000000" w:fill="D9D9D9"/>
            <w:noWrap/>
            <w:vAlign w:val="bottom"/>
            <w:hideMark/>
          </w:tcPr>
          <w:p w14:paraId="06BD5D48" w14:textId="77777777" w:rsidR="00B10F1E" w:rsidRPr="00613A40" w:rsidRDefault="00B10F1E" w:rsidP="00816745">
            <w:pPr>
              <w:jc w:val="center"/>
              <w:rPr>
                <w:rFonts w:asciiTheme="minorHAnsi" w:eastAsia="Times New Roman" w:hAnsiTheme="minorHAnsi"/>
                <w:b/>
                <w:bCs/>
                <w:color w:val="404040" w:themeColor="text1" w:themeTint="BF"/>
                <w:szCs w:val="20"/>
              </w:rPr>
            </w:pPr>
            <w:r>
              <w:rPr>
                <w:rFonts w:asciiTheme="minorHAnsi" w:eastAsia="Times New Roman" w:hAnsiTheme="minorHAnsi"/>
                <w:b/>
                <w:bCs/>
                <w:color w:val="404040" w:themeColor="text1" w:themeTint="BF"/>
                <w:szCs w:val="20"/>
              </w:rPr>
              <w:t>410</w:t>
            </w:r>
          </w:p>
        </w:tc>
        <w:tc>
          <w:tcPr>
            <w:tcW w:w="1000" w:type="dxa"/>
            <w:tcBorders>
              <w:top w:val="nil"/>
              <w:left w:val="nil"/>
              <w:bottom w:val="single" w:sz="4" w:space="0" w:color="auto"/>
              <w:right w:val="single" w:sz="4" w:space="0" w:color="auto"/>
            </w:tcBorders>
            <w:shd w:val="clear" w:color="000000" w:fill="D9D9D9"/>
            <w:noWrap/>
            <w:vAlign w:val="bottom"/>
            <w:hideMark/>
          </w:tcPr>
          <w:p w14:paraId="29B04463" w14:textId="77777777" w:rsidR="00B10F1E" w:rsidRPr="00C00622" w:rsidRDefault="00B10F1E" w:rsidP="00816745">
            <w:pPr>
              <w:jc w:val="center"/>
              <w:rPr>
                <w:rFonts w:asciiTheme="minorHAnsi" w:eastAsia="Times New Roman" w:hAnsiTheme="minorHAnsi"/>
                <w:b/>
                <w:bCs/>
                <w:color w:val="404040" w:themeColor="text1" w:themeTint="BF"/>
                <w:szCs w:val="20"/>
              </w:rPr>
            </w:pPr>
            <w:r w:rsidRPr="00C00622">
              <w:rPr>
                <w:rFonts w:asciiTheme="minorHAnsi" w:eastAsia="Times New Roman" w:hAnsiTheme="minorHAnsi"/>
                <w:b/>
                <w:bCs/>
                <w:color w:val="404040" w:themeColor="text1" w:themeTint="BF"/>
                <w:szCs w:val="20"/>
              </w:rPr>
              <w:t>117</w:t>
            </w:r>
          </w:p>
        </w:tc>
        <w:tc>
          <w:tcPr>
            <w:tcW w:w="1000" w:type="dxa"/>
            <w:tcBorders>
              <w:top w:val="nil"/>
              <w:left w:val="nil"/>
              <w:bottom w:val="single" w:sz="4" w:space="0" w:color="auto"/>
              <w:right w:val="single" w:sz="4" w:space="0" w:color="auto"/>
            </w:tcBorders>
            <w:shd w:val="clear" w:color="000000" w:fill="D9D9D9"/>
            <w:noWrap/>
            <w:vAlign w:val="bottom"/>
            <w:hideMark/>
          </w:tcPr>
          <w:p w14:paraId="6A3C4A67" w14:textId="77777777" w:rsidR="00B10F1E" w:rsidRPr="001A4989" w:rsidRDefault="00B10F1E" w:rsidP="00816745">
            <w:pPr>
              <w:jc w:val="center"/>
              <w:rPr>
                <w:rFonts w:asciiTheme="minorHAnsi" w:eastAsia="Times New Roman" w:hAnsiTheme="minorHAnsi"/>
                <w:b/>
                <w:bCs/>
                <w:color w:val="404040" w:themeColor="text1" w:themeTint="BF"/>
                <w:szCs w:val="20"/>
              </w:rPr>
            </w:pPr>
            <w:r>
              <w:rPr>
                <w:rFonts w:asciiTheme="minorHAnsi" w:eastAsia="Times New Roman" w:hAnsiTheme="minorHAnsi"/>
                <w:b/>
                <w:bCs/>
                <w:color w:val="404040" w:themeColor="text1" w:themeTint="BF"/>
                <w:szCs w:val="20"/>
              </w:rPr>
              <w:t>563</w:t>
            </w:r>
          </w:p>
        </w:tc>
      </w:tr>
      <w:tr w:rsidR="00B10F1E" w:rsidRPr="006723EF" w14:paraId="32EEF260" w14:textId="77777777" w:rsidTr="00816745">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4A61C6AE" w14:textId="77777777" w:rsidR="00B10F1E" w:rsidRPr="00613A40" w:rsidRDefault="00B10F1E" w:rsidP="00816745">
            <w:pPr>
              <w:rPr>
                <w:rFonts w:asciiTheme="minorHAnsi" w:eastAsia="Times New Roman" w:hAnsiTheme="minorHAnsi"/>
                <w:color w:val="404040" w:themeColor="text1" w:themeTint="BF"/>
                <w:szCs w:val="20"/>
              </w:rPr>
            </w:pPr>
            <w:r w:rsidRPr="00613A40">
              <w:rPr>
                <w:rFonts w:asciiTheme="minorHAnsi" w:eastAsia="Times New Roman" w:hAnsiTheme="minorHAnsi"/>
                <w:color w:val="404040" w:themeColor="text1" w:themeTint="BF"/>
                <w:szCs w:val="20"/>
              </w:rPr>
              <w:t>Hispanic</w:t>
            </w:r>
          </w:p>
        </w:tc>
        <w:tc>
          <w:tcPr>
            <w:tcW w:w="1000" w:type="dxa"/>
            <w:tcBorders>
              <w:top w:val="nil"/>
              <w:left w:val="nil"/>
              <w:bottom w:val="single" w:sz="4" w:space="0" w:color="auto"/>
              <w:right w:val="single" w:sz="4" w:space="0" w:color="auto"/>
            </w:tcBorders>
            <w:shd w:val="clear" w:color="auto" w:fill="auto"/>
            <w:noWrap/>
            <w:vAlign w:val="bottom"/>
            <w:hideMark/>
          </w:tcPr>
          <w:p w14:paraId="240FE9E3" w14:textId="77777777" w:rsidR="00B10F1E" w:rsidRPr="00613A40" w:rsidRDefault="00B10F1E" w:rsidP="00816745">
            <w:pPr>
              <w:jc w:val="center"/>
              <w:rPr>
                <w:rFonts w:asciiTheme="minorHAnsi" w:eastAsia="Times New Roman" w:hAnsiTheme="minorHAnsi"/>
                <w:color w:val="404040" w:themeColor="text1" w:themeTint="BF"/>
                <w:szCs w:val="20"/>
              </w:rPr>
            </w:pPr>
            <w:r>
              <w:rPr>
                <w:rFonts w:asciiTheme="minorHAnsi" w:eastAsia="Times New Roman" w:hAnsiTheme="minorHAnsi"/>
                <w:color w:val="404040" w:themeColor="text1" w:themeTint="BF"/>
                <w:szCs w:val="20"/>
              </w:rPr>
              <w:t>889</w:t>
            </w:r>
          </w:p>
        </w:tc>
        <w:tc>
          <w:tcPr>
            <w:tcW w:w="1000" w:type="dxa"/>
            <w:tcBorders>
              <w:top w:val="nil"/>
              <w:left w:val="nil"/>
              <w:bottom w:val="single" w:sz="4" w:space="0" w:color="auto"/>
              <w:right w:val="single" w:sz="4" w:space="0" w:color="auto"/>
            </w:tcBorders>
            <w:shd w:val="clear" w:color="auto" w:fill="auto"/>
            <w:noWrap/>
            <w:vAlign w:val="bottom"/>
            <w:hideMark/>
          </w:tcPr>
          <w:p w14:paraId="118C79CB" w14:textId="77777777" w:rsidR="00B10F1E" w:rsidRPr="00613A40" w:rsidRDefault="00B10F1E" w:rsidP="00816745">
            <w:pPr>
              <w:jc w:val="center"/>
              <w:rPr>
                <w:rFonts w:asciiTheme="minorHAnsi" w:eastAsia="Times New Roman" w:hAnsiTheme="minorHAnsi"/>
                <w:color w:val="404040" w:themeColor="text1" w:themeTint="BF"/>
                <w:szCs w:val="20"/>
              </w:rPr>
            </w:pPr>
            <w:r>
              <w:rPr>
                <w:rFonts w:asciiTheme="minorHAnsi" w:eastAsia="Times New Roman" w:hAnsiTheme="minorHAnsi"/>
                <w:color w:val="404040" w:themeColor="text1" w:themeTint="BF"/>
                <w:szCs w:val="20"/>
              </w:rPr>
              <w:t>149</w:t>
            </w:r>
          </w:p>
        </w:tc>
        <w:tc>
          <w:tcPr>
            <w:tcW w:w="1000" w:type="dxa"/>
            <w:tcBorders>
              <w:top w:val="nil"/>
              <w:left w:val="nil"/>
              <w:bottom w:val="single" w:sz="4" w:space="0" w:color="auto"/>
              <w:right w:val="single" w:sz="4" w:space="0" w:color="auto"/>
            </w:tcBorders>
            <w:shd w:val="clear" w:color="auto" w:fill="auto"/>
            <w:noWrap/>
            <w:vAlign w:val="bottom"/>
            <w:hideMark/>
          </w:tcPr>
          <w:p w14:paraId="5529096E" w14:textId="77777777" w:rsidR="00B10F1E" w:rsidRPr="00C00622" w:rsidRDefault="00B10F1E" w:rsidP="00816745">
            <w:pPr>
              <w:jc w:val="center"/>
              <w:rPr>
                <w:rFonts w:asciiTheme="minorHAnsi" w:eastAsia="Times New Roman" w:hAnsiTheme="minorHAnsi"/>
                <w:color w:val="404040" w:themeColor="text1" w:themeTint="BF"/>
                <w:szCs w:val="20"/>
              </w:rPr>
            </w:pPr>
            <w:r w:rsidRPr="00C00622">
              <w:rPr>
                <w:rFonts w:asciiTheme="minorHAnsi" w:eastAsia="Times New Roman" w:hAnsiTheme="minorHAnsi"/>
                <w:color w:val="404040" w:themeColor="text1" w:themeTint="BF"/>
                <w:szCs w:val="20"/>
              </w:rPr>
              <w:t>14</w:t>
            </w:r>
          </w:p>
        </w:tc>
        <w:tc>
          <w:tcPr>
            <w:tcW w:w="1000" w:type="dxa"/>
            <w:tcBorders>
              <w:top w:val="nil"/>
              <w:left w:val="nil"/>
              <w:bottom w:val="single" w:sz="4" w:space="0" w:color="auto"/>
              <w:right w:val="single" w:sz="4" w:space="0" w:color="auto"/>
            </w:tcBorders>
            <w:shd w:val="clear" w:color="auto" w:fill="auto"/>
            <w:noWrap/>
            <w:vAlign w:val="bottom"/>
            <w:hideMark/>
          </w:tcPr>
          <w:p w14:paraId="225BB301" w14:textId="77777777" w:rsidR="00B10F1E" w:rsidRPr="001A4989" w:rsidRDefault="00B10F1E" w:rsidP="00816745">
            <w:pPr>
              <w:jc w:val="center"/>
              <w:rPr>
                <w:rFonts w:asciiTheme="minorHAnsi" w:eastAsia="Times New Roman" w:hAnsiTheme="minorHAnsi"/>
                <w:color w:val="404040" w:themeColor="text1" w:themeTint="BF"/>
                <w:szCs w:val="20"/>
              </w:rPr>
            </w:pPr>
            <w:r>
              <w:rPr>
                <w:rFonts w:ascii="Calibri" w:eastAsia="Times New Roman" w:hAnsi="Calibri"/>
                <w:color w:val="404040"/>
                <w:szCs w:val="20"/>
              </w:rPr>
              <w:t>134</w:t>
            </w:r>
          </w:p>
        </w:tc>
      </w:tr>
      <w:tr w:rsidR="00B10F1E" w:rsidRPr="006723EF" w14:paraId="3D0D252B" w14:textId="77777777" w:rsidTr="00816745">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13D50B85" w14:textId="77777777" w:rsidR="00B10F1E" w:rsidRPr="00613A40" w:rsidRDefault="00B10F1E" w:rsidP="00816745">
            <w:pPr>
              <w:rPr>
                <w:rFonts w:asciiTheme="minorHAnsi" w:eastAsia="Times New Roman" w:hAnsiTheme="minorHAnsi"/>
                <w:color w:val="404040" w:themeColor="text1" w:themeTint="BF"/>
                <w:szCs w:val="20"/>
              </w:rPr>
            </w:pPr>
            <w:r w:rsidRPr="00613A40">
              <w:rPr>
                <w:rFonts w:asciiTheme="minorHAnsi" w:eastAsia="Times New Roman" w:hAnsiTheme="minorHAnsi"/>
                <w:color w:val="404040" w:themeColor="text1" w:themeTint="BF"/>
                <w:szCs w:val="20"/>
              </w:rPr>
              <w:t>Not Hispanic</w:t>
            </w:r>
          </w:p>
        </w:tc>
        <w:tc>
          <w:tcPr>
            <w:tcW w:w="1000" w:type="dxa"/>
            <w:tcBorders>
              <w:top w:val="nil"/>
              <w:left w:val="nil"/>
              <w:bottom w:val="single" w:sz="4" w:space="0" w:color="auto"/>
              <w:right w:val="single" w:sz="4" w:space="0" w:color="auto"/>
            </w:tcBorders>
            <w:shd w:val="clear" w:color="auto" w:fill="auto"/>
            <w:noWrap/>
            <w:vAlign w:val="bottom"/>
            <w:hideMark/>
          </w:tcPr>
          <w:p w14:paraId="6F279B18" w14:textId="77777777" w:rsidR="00B10F1E" w:rsidRPr="00613A40" w:rsidRDefault="00B10F1E" w:rsidP="00816745">
            <w:pPr>
              <w:jc w:val="center"/>
              <w:rPr>
                <w:rFonts w:asciiTheme="minorHAnsi" w:eastAsia="Times New Roman" w:hAnsiTheme="minorHAnsi"/>
                <w:color w:val="404040" w:themeColor="text1" w:themeTint="BF"/>
                <w:szCs w:val="20"/>
              </w:rPr>
            </w:pPr>
            <w:r>
              <w:rPr>
                <w:rFonts w:asciiTheme="minorHAnsi" w:eastAsia="Times New Roman" w:hAnsiTheme="minorHAnsi"/>
                <w:color w:val="404040" w:themeColor="text1" w:themeTint="BF"/>
                <w:szCs w:val="20"/>
              </w:rPr>
              <w:t>1,479</w:t>
            </w:r>
          </w:p>
        </w:tc>
        <w:tc>
          <w:tcPr>
            <w:tcW w:w="1000" w:type="dxa"/>
            <w:tcBorders>
              <w:top w:val="nil"/>
              <w:left w:val="nil"/>
              <w:bottom w:val="single" w:sz="4" w:space="0" w:color="auto"/>
              <w:right w:val="single" w:sz="4" w:space="0" w:color="auto"/>
            </w:tcBorders>
            <w:shd w:val="clear" w:color="auto" w:fill="auto"/>
            <w:noWrap/>
            <w:vAlign w:val="bottom"/>
            <w:hideMark/>
          </w:tcPr>
          <w:p w14:paraId="5D75E73F" w14:textId="77777777" w:rsidR="00B10F1E" w:rsidRPr="00613A40" w:rsidRDefault="00B10F1E" w:rsidP="00816745">
            <w:pPr>
              <w:jc w:val="center"/>
              <w:rPr>
                <w:rFonts w:asciiTheme="minorHAnsi" w:eastAsia="Times New Roman" w:hAnsiTheme="minorHAnsi"/>
                <w:color w:val="404040" w:themeColor="text1" w:themeTint="BF"/>
                <w:szCs w:val="20"/>
              </w:rPr>
            </w:pPr>
            <w:r>
              <w:rPr>
                <w:rFonts w:asciiTheme="minorHAnsi" w:eastAsia="Times New Roman" w:hAnsiTheme="minorHAnsi"/>
                <w:color w:val="404040" w:themeColor="text1" w:themeTint="BF"/>
                <w:szCs w:val="20"/>
              </w:rPr>
              <w:t>261</w:t>
            </w:r>
          </w:p>
        </w:tc>
        <w:tc>
          <w:tcPr>
            <w:tcW w:w="1000" w:type="dxa"/>
            <w:tcBorders>
              <w:top w:val="nil"/>
              <w:left w:val="nil"/>
              <w:bottom w:val="single" w:sz="4" w:space="0" w:color="auto"/>
              <w:right w:val="single" w:sz="4" w:space="0" w:color="auto"/>
            </w:tcBorders>
            <w:shd w:val="clear" w:color="auto" w:fill="auto"/>
            <w:noWrap/>
            <w:vAlign w:val="bottom"/>
            <w:hideMark/>
          </w:tcPr>
          <w:p w14:paraId="0F353BB9" w14:textId="77777777" w:rsidR="00B10F1E" w:rsidRPr="00C00622" w:rsidRDefault="00B10F1E" w:rsidP="00816745">
            <w:pPr>
              <w:jc w:val="center"/>
              <w:rPr>
                <w:rFonts w:asciiTheme="minorHAnsi" w:eastAsia="Times New Roman" w:hAnsiTheme="minorHAnsi"/>
                <w:color w:val="404040" w:themeColor="text1" w:themeTint="BF"/>
                <w:szCs w:val="20"/>
              </w:rPr>
            </w:pPr>
            <w:r w:rsidRPr="00C00622">
              <w:rPr>
                <w:rFonts w:asciiTheme="minorHAnsi" w:eastAsia="Times New Roman" w:hAnsiTheme="minorHAnsi"/>
                <w:color w:val="404040" w:themeColor="text1" w:themeTint="BF"/>
                <w:szCs w:val="20"/>
              </w:rPr>
              <w:t>103</w:t>
            </w:r>
          </w:p>
        </w:tc>
        <w:tc>
          <w:tcPr>
            <w:tcW w:w="1000" w:type="dxa"/>
            <w:tcBorders>
              <w:top w:val="nil"/>
              <w:left w:val="nil"/>
              <w:bottom w:val="single" w:sz="4" w:space="0" w:color="auto"/>
              <w:right w:val="single" w:sz="4" w:space="0" w:color="auto"/>
            </w:tcBorders>
            <w:shd w:val="clear" w:color="auto" w:fill="auto"/>
            <w:noWrap/>
            <w:vAlign w:val="bottom"/>
            <w:hideMark/>
          </w:tcPr>
          <w:p w14:paraId="0840E7E6" w14:textId="77777777" w:rsidR="00B10F1E" w:rsidRPr="001A4989" w:rsidRDefault="00B10F1E" w:rsidP="00816745">
            <w:pPr>
              <w:jc w:val="center"/>
              <w:rPr>
                <w:rFonts w:asciiTheme="minorHAnsi" w:eastAsia="Times New Roman" w:hAnsiTheme="minorHAnsi"/>
                <w:color w:val="404040" w:themeColor="text1" w:themeTint="BF"/>
                <w:szCs w:val="20"/>
              </w:rPr>
            </w:pPr>
            <w:r>
              <w:rPr>
                <w:rFonts w:ascii="Calibri" w:eastAsia="Times New Roman" w:hAnsi="Calibri"/>
                <w:color w:val="404040"/>
                <w:szCs w:val="20"/>
              </w:rPr>
              <w:t>429</w:t>
            </w:r>
          </w:p>
        </w:tc>
      </w:tr>
    </w:tbl>
    <w:p w14:paraId="3C57A874" w14:textId="77777777" w:rsidR="00B10F1E" w:rsidRDefault="00B10F1E" w:rsidP="00B10F1E">
      <w:pPr>
        <w:spacing w:line="360" w:lineRule="auto"/>
        <w:ind w:right="360"/>
        <w:rPr>
          <w:rFonts w:asciiTheme="minorHAnsi" w:hAnsiTheme="minorHAnsi" w:cstheme="minorHAnsi"/>
          <w:color w:val="404040" w:themeColor="text1" w:themeTint="BF"/>
          <w:szCs w:val="20"/>
        </w:rPr>
      </w:pPr>
    </w:p>
    <w:p w14:paraId="09E64F13" w14:textId="77777777" w:rsidR="00B10F1E" w:rsidRDefault="00B10F1E" w:rsidP="00B10F1E">
      <w:pPr>
        <w:spacing w:line="360" w:lineRule="auto"/>
        <w:ind w:right="360"/>
        <w:rPr>
          <w:rFonts w:asciiTheme="minorHAnsi" w:hAnsiTheme="minorHAnsi" w:cstheme="minorHAnsi"/>
          <w:color w:val="404040" w:themeColor="text1" w:themeTint="BF"/>
          <w:szCs w:val="20"/>
        </w:rPr>
      </w:pPr>
      <w:r>
        <w:rPr>
          <w:rFonts w:asciiTheme="minorHAnsi" w:hAnsiTheme="minorHAnsi" w:cstheme="minorHAnsi"/>
          <w:color w:val="404040" w:themeColor="text1" w:themeTint="BF"/>
          <w:szCs w:val="20"/>
        </w:rPr>
        <w:t>Table 2 identifies Race &amp; Ethnicities served utilizing CDBG, HOME, HOPWA, and ESG funding.</w:t>
      </w:r>
      <w:r w:rsidRPr="00BD266E">
        <w:rPr>
          <w:rFonts w:asciiTheme="minorHAnsi" w:hAnsiTheme="minorHAnsi" w:cstheme="minorHAnsi"/>
          <w:color w:val="404040" w:themeColor="text1" w:themeTint="BF"/>
          <w:szCs w:val="20"/>
        </w:rPr>
        <w:t xml:space="preserve"> During the reporting period, the City collected data on several more races including the following: Asian &amp; White, Black or African American &amp; White, </w:t>
      </w:r>
      <w:r w:rsidRPr="006723EF">
        <w:rPr>
          <w:rFonts w:asciiTheme="minorHAnsi" w:hAnsiTheme="minorHAnsi" w:cstheme="minorHAnsi"/>
          <w:color w:val="404040" w:themeColor="text1" w:themeTint="BF"/>
          <w:szCs w:val="20"/>
        </w:rPr>
        <w:t xml:space="preserve">American Indian or Alaska Native &amp; Black or African American, and Multi-Racial/Other. </w:t>
      </w:r>
      <w:r w:rsidRPr="001A4989">
        <w:rPr>
          <w:rFonts w:asciiTheme="minorHAnsi" w:hAnsiTheme="minorHAnsi" w:cstheme="minorHAnsi"/>
          <w:color w:val="404040" w:themeColor="text1" w:themeTint="BF"/>
          <w:szCs w:val="20"/>
        </w:rPr>
        <w:t xml:space="preserve">Across CDBG, HOME, and ESG programming, an additional </w:t>
      </w:r>
      <w:r>
        <w:rPr>
          <w:rFonts w:asciiTheme="minorHAnsi" w:hAnsiTheme="minorHAnsi" w:cstheme="minorHAnsi"/>
          <w:color w:val="404040" w:themeColor="text1" w:themeTint="BF"/>
          <w:szCs w:val="20"/>
        </w:rPr>
        <w:t>377</w:t>
      </w:r>
      <w:r w:rsidRPr="001A4989">
        <w:rPr>
          <w:rFonts w:asciiTheme="minorHAnsi" w:hAnsiTheme="minorHAnsi" w:cstheme="minorHAnsi"/>
          <w:color w:val="404040" w:themeColor="text1" w:themeTint="BF"/>
          <w:szCs w:val="20"/>
        </w:rPr>
        <w:t xml:space="preserve"> individuals were served who fall outside of the racial designations listed above. </w:t>
      </w:r>
    </w:p>
    <w:p w14:paraId="4C9C91A9" w14:textId="77777777" w:rsidR="00EC57C4" w:rsidRPr="001A4989" w:rsidRDefault="00EC57C4" w:rsidP="00B10F1E">
      <w:pPr>
        <w:spacing w:line="360" w:lineRule="auto"/>
        <w:ind w:right="360"/>
        <w:rPr>
          <w:rFonts w:asciiTheme="minorHAnsi" w:hAnsiTheme="minorHAnsi" w:cstheme="minorHAnsi"/>
          <w:color w:val="404040" w:themeColor="text1" w:themeTint="BF"/>
          <w:szCs w:val="20"/>
        </w:rPr>
      </w:pPr>
    </w:p>
    <w:p w14:paraId="637432B7" w14:textId="30DB22DB" w:rsidR="00B10F1E" w:rsidRPr="00097698" w:rsidRDefault="00B10F1E" w:rsidP="00B10F1E">
      <w:pPr>
        <w:spacing w:line="360" w:lineRule="auto"/>
        <w:ind w:right="360"/>
        <w:rPr>
          <w:rFonts w:asciiTheme="minorHAnsi" w:hAnsiTheme="minorHAnsi" w:cstheme="minorHAnsi"/>
          <w:color w:val="404040" w:themeColor="text1" w:themeTint="BF"/>
          <w:szCs w:val="20"/>
        </w:rPr>
      </w:pPr>
      <w:r>
        <w:rPr>
          <w:rFonts w:asciiTheme="minorHAnsi" w:hAnsiTheme="minorHAnsi" w:cstheme="minorHAnsi"/>
          <w:color w:val="404040" w:themeColor="text1" w:themeTint="BF"/>
          <w:szCs w:val="20"/>
        </w:rPr>
        <w:t>A total of 3,835</w:t>
      </w:r>
      <w:r w:rsidRPr="00FB4B80">
        <w:rPr>
          <w:rFonts w:asciiTheme="minorHAnsi" w:hAnsiTheme="minorHAnsi" w:cstheme="minorHAnsi"/>
          <w:color w:val="404040" w:themeColor="text1" w:themeTint="BF"/>
          <w:szCs w:val="20"/>
        </w:rPr>
        <w:t xml:space="preserve"> residents/households</w:t>
      </w:r>
      <w:r>
        <w:rPr>
          <w:rFonts w:asciiTheme="minorHAnsi" w:hAnsiTheme="minorHAnsi" w:cstheme="minorHAnsi"/>
          <w:color w:val="404040" w:themeColor="text1" w:themeTint="BF"/>
          <w:szCs w:val="20"/>
        </w:rPr>
        <w:t xml:space="preserve"> directly received access to programs that supported the Consolidated Plan’s overarching goals to increase access to housing, education, health, transportation and economic development. This was done by improving access to programs that assist in closing the gap in a number of socioeconomic indicators </w:t>
      </w:r>
      <w:r w:rsidRPr="0055384D">
        <w:rPr>
          <w:rFonts w:asciiTheme="minorHAnsi" w:hAnsiTheme="minorHAnsi"/>
          <w:color w:val="404040" w:themeColor="text1" w:themeTint="BF"/>
          <w:szCs w:val="20"/>
        </w:rPr>
        <w:t>such as housing affordability, school-readiness of young children, employment skills</w:t>
      </w:r>
      <w:r>
        <w:rPr>
          <w:rFonts w:asciiTheme="minorHAnsi" w:hAnsiTheme="minorHAnsi"/>
          <w:color w:val="404040" w:themeColor="text1" w:themeTint="BF"/>
          <w:szCs w:val="20"/>
        </w:rPr>
        <w:t xml:space="preserve"> of at-risk adults, access to tr</w:t>
      </w:r>
      <w:r w:rsidRPr="0055384D">
        <w:rPr>
          <w:rFonts w:asciiTheme="minorHAnsi" w:hAnsiTheme="minorHAnsi"/>
          <w:color w:val="404040" w:themeColor="text1" w:themeTint="BF"/>
          <w:szCs w:val="20"/>
        </w:rPr>
        <w:t>ansportation for low-income households, access to fresh foods for food-insecure families and</w:t>
      </w:r>
      <w:r>
        <w:rPr>
          <w:rFonts w:asciiTheme="minorHAnsi" w:hAnsiTheme="minorHAnsi"/>
          <w:color w:val="404040" w:themeColor="text1" w:themeTint="BF"/>
          <w:szCs w:val="20"/>
        </w:rPr>
        <w:t xml:space="preserve"> supporting economic diversity </w:t>
      </w:r>
      <w:r w:rsidRPr="0055384D">
        <w:rPr>
          <w:rFonts w:asciiTheme="minorHAnsi" w:hAnsiTheme="minorHAnsi"/>
          <w:color w:val="404040" w:themeColor="text1" w:themeTint="BF"/>
          <w:szCs w:val="20"/>
        </w:rPr>
        <w:t xml:space="preserve">within </w:t>
      </w:r>
      <w:r w:rsidRPr="00D31352">
        <w:rPr>
          <w:rFonts w:asciiTheme="minorHAnsi" w:hAnsiTheme="minorHAnsi"/>
          <w:color w:val="404040" w:themeColor="text1" w:themeTint="BF"/>
          <w:szCs w:val="20"/>
        </w:rPr>
        <w:t xml:space="preserve">neighborhoods. </w:t>
      </w:r>
      <w:r>
        <w:rPr>
          <w:rFonts w:asciiTheme="minorHAnsi" w:hAnsiTheme="minorHAnsi"/>
          <w:color w:val="404040" w:themeColor="text1" w:themeTint="BF"/>
          <w:szCs w:val="20"/>
        </w:rPr>
        <w:t>29</w:t>
      </w:r>
      <w:r w:rsidRPr="00FB4B80">
        <w:rPr>
          <w:rFonts w:asciiTheme="minorHAnsi" w:hAnsiTheme="minorHAnsi"/>
          <w:color w:val="404040" w:themeColor="text1" w:themeTint="BF"/>
          <w:szCs w:val="20"/>
        </w:rPr>
        <w:t>%</w:t>
      </w:r>
      <w:r w:rsidR="00593019">
        <w:rPr>
          <w:rFonts w:asciiTheme="minorHAnsi" w:hAnsiTheme="minorHAnsi"/>
          <w:color w:val="404040" w:themeColor="text1" w:themeTint="BF"/>
          <w:szCs w:val="20"/>
        </w:rPr>
        <w:t xml:space="preserve"> of the residents served were</w:t>
      </w:r>
      <w:r w:rsidRPr="00D31352">
        <w:rPr>
          <w:rFonts w:asciiTheme="minorHAnsi" w:hAnsiTheme="minorHAnsi"/>
          <w:color w:val="404040" w:themeColor="text1" w:themeTint="BF"/>
          <w:szCs w:val="20"/>
        </w:rPr>
        <w:t xml:space="preserve"> of a minority race and/or Hispanic.</w:t>
      </w:r>
      <w:r>
        <w:rPr>
          <w:rFonts w:asciiTheme="minorHAnsi" w:hAnsiTheme="minorHAnsi"/>
          <w:color w:val="404040" w:themeColor="text1" w:themeTint="BF"/>
          <w:szCs w:val="20"/>
        </w:rPr>
        <w:t xml:space="preserve"> </w:t>
      </w:r>
    </w:p>
    <w:p w14:paraId="0A169D6A" w14:textId="77777777" w:rsidR="00B10F1E" w:rsidRDefault="00B10F1E" w:rsidP="00B10F1E">
      <w:pPr>
        <w:spacing w:line="276" w:lineRule="auto"/>
        <w:ind w:right="360"/>
        <w:rPr>
          <w:rFonts w:asciiTheme="minorHAnsi" w:hAnsiTheme="minorHAnsi" w:cstheme="minorHAnsi"/>
          <w:b/>
          <w:color w:val="FF0000"/>
          <w:szCs w:val="20"/>
        </w:rPr>
      </w:pPr>
    </w:p>
    <w:p w14:paraId="20A19937" w14:textId="77777777" w:rsidR="00B10F1E" w:rsidRPr="002A15C2" w:rsidRDefault="00B10F1E" w:rsidP="00B10F1E">
      <w:pPr>
        <w:spacing w:line="276" w:lineRule="auto"/>
        <w:ind w:right="360"/>
        <w:rPr>
          <w:rFonts w:asciiTheme="minorHAnsi" w:hAnsiTheme="minorHAnsi" w:cstheme="minorHAnsi"/>
          <w:b/>
          <w:color w:val="F79646" w:themeColor="accent6"/>
          <w:szCs w:val="20"/>
        </w:rPr>
      </w:pPr>
    </w:p>
    <w:p w14:paraId="727FA52D" w14:textId="77777777" w:rsidR="00B10F1E" w:rsidRPr="00C83460" w:rsidRDefault="00B10F1E" w:rsidP="00B10F1E">
      <w:pPr>
        <w:spacing w:line="276" w:lineRule="auto"/>
        <w:ind w:right="360"/>
        <w:rPr>
          <w:rFonts w:asciiTheme="minorHAnsi" w:hAnsiTheme="minorHAnsi" w:cstheme="minorHAnsi"/>
          <w:i/>
          <w:color w:val="FF0000"/>
          <w:sz w:val="18"/>
          <w:szCs w:val="18"/>
        </w:rPr>
      </w:pPr>
      <w:r w:rsidRPr="00C83460">
        <w:rPr>
          <w:rFonts w:ascii="Arial" w:hAnsi="Arial" w:cs="Arial"/>
          <w:color w:val="FF0000"/>
          <w:sz w:val="22"/>
          <w:szCs w:val="22"/>
          <w:u w:val="single"/>
        </w:rPr>
        <w:br w:type="page"/>
      </w:r>
      <w:r w:rsidRPr="009629AD">
        <w:rPr>
          <w:rFonts w:asciiTheme="minorHAnsi" w:hAnsiTheme="minorHAnsi" w:cstheme="minorHAnsi"/>
          <w:noProof/>
          <w:color w:val="1F497D" w:themeColor="text2"/>
          <w:sz w:val="24"/>
        </w:rPr>
        <mc:AlternateContent>
          <mc:Choice Requires="wps">
            <w:drawing>
              <wp:anchor distT="0" distB="0" distL="114300" distR="114300" simplePos="0" relativeHeight="251769856" behindDoc="0" locked="0" layoutInCell="1" allowOverlap="1" wp14:anchorId="1FE0781A" wp14:editId="11620062">
                <wp:simplePos x="0" y="0"/>
                <wp:positionH relativeFrom="column">
                  <wp:posOffset>-228600</wp:posOffset>
                </wp:positionH>
                <wp:positionV relativeFrom="paragraph">
                  <wp:posOffset>-85725</wp:posOffset>
                </wp:positionV>
                <wp:extent cx="6779895" cy="635"/>
                <wp:effectExtent l="9525" t="9525" r="11430" b="8890"/>
                <wp:wrapNone/>
                <wp:docPr id="3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989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77CA7" id="AutoShape 15" o:spid="_x0000_s1026" type="#_x0000_t32" style="position:absolute;margin-left:-18pt;margin-top:-6.75pt;width:533.85pt;height:.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" strokecolor="#548dd4"/>
            </w:pict>
          </mc:Fallback>
        </mc:AlternateContent>
      </w:r>
      <w:r w:rsidRPr="009629AD">
        <w:rPr>
          <w:rFonts w:asciiTheme="minorHAnsi" w:hAnsiTheme="minorHAnsi" w:cstheme="minorHAnsi"/>
          <w:b/>
          <w:color w:val="1F497D" w:themeColor="text2"/>
          <w:sz w:val="24"/>
        </w:rPr>
        <w:t>CR-</w:t>
      </w:r>
      <w:r>
        <w:rPr>
          <w:rFonts w:asciiTheme="minorHAnsi" w:hAnsiTheme="minorHAnsi" w:cstheme="minorHAnsi"/>
          <w:b/>
          <w:color w:val="1F497D" w:themeColor="text2"/>
          <w:sz w:val="24"/>
        </w:rPr>
        <w:t>15</w:t>
      </w:r>
      <w:r w:rsidRPr="009629AD">
        <w:rPr>
          <w:rFonts w:asciiTheme="minorHAnsi" w:hAnsiTheme="minorHAnsi" w:cstheme="minorHAnsi"/>
          <w:b/>
          <w:color w:val="1F497D" w:themeColor="text2"/>
          <w:sz w:val="24"/>
        </w:rPr>
        <w:t xml:space="preserve"> </w:t>
      </w:r>
      <w:r>
        <w:rPr>
          <w:rFonts w:asciiTheme="minorHAnsi" w:hAnsiTheme="minorHAnsi" w:cstheme="minorHAnsi"/>
          <w:b/>
          <w:color w:val="1F497D" w:themeColor="text2"/>
          <w:sz w:val="24"/>
        </w:rPr>
        <w:t xml:space="preserve">RESOURCES AND INVESTMENTS </w:t>
      </w:r>
      <w:r>
        <w:rPr>
          <w:rFonts w:asciiTheme="minorHAnsi" w:hAnsiTheme="minorHAnsi" w:cstheme="minorHAnsi"/>
          <w:i/>
          <w:color w:val="1F497D" w:themeColor="text2"/>
          <w:sz w:val="18"/>
          <w:szCs w:val="18"/>
        </w:rPr>
        <w:t>– 91.520(a)</w:t>
      </w:r>
    </w:p>
    <w:p w14:paraId="25F09327" w14:textId="77777777" w:rsidR="00B10F1E" w:rsidRDefault="00B10F1E" w:rsidP="00B10F1E">
      <w:pPr>
        <w:spacing w:line="276" w:lineRule="auto"/>
        <w:ind w:right="360"/>
        <w:rPr>
          <w:rFonts w:asciiTheme="minorHAnsi" w:hAnsiTheme="minorHAnsi" w:cstheme="minorHAnsi"/>
          <w:b/>
          <w:color w:val="FF0000"/>
          <w:szCs w:val="20"/>
        </w:rPr>
      </w:pPr>
    </w:p>
    <w:p w14:paraId="194A16E9" w14:textId="77777777" w:rsidR="00B10F1E" w:rsidRPr="006723EF" w:rsidRDefault="00B10F1E" w:rsidP="00B10F1E">
      <w:pPr>
        <w:spacing w:line="276" w:lineRule="auto"/>
        <w:ind w:right="360"/>
        <w:rPr>
          <w:rFonts w:asciiTheme="minorHAnsi" w:hAnsiTheme="minorHAnsi" w:cstheme="minorHAnsi"/>
          <w:b/>
          <w:color w:val="404040" w:themeColor="text1" w:themeTint="BF"/>
          <w:szCs w:val="20"/>
        </w:rPr>
      </w:pPr>
      <w:r w:rsidRPr="006723EF">
        <w:rPr>
          <w:rFonts w:asciiTheme="minorHAnsi" w:hAnsiTheme="minorHAnsi" w:cstheme="minorHAnsi"/>
          <w:b/>
          <w:color w:val="404040" w:themeColor="text1" w:themeTint="BF"/>
          <w:szCs w:val="20"/>
        </w:rPr>
        <w:t>Table 3 – Resources Made Available</w:t>
      </w:r>
    </w:p>
    <w:tbl>
      <w:tblPr>
        <w:tblW w:w="7380" w:type="dxa"/>
        <w:tblInd w:w="-5" w:type="dxa"/>
        <w:tblLook w:val="04A0" w:firstRow="1" w:lastRow="0" w:firstColumn="1" w:lastColumn="0" w:noHBand="0" w:noVBand="1"/>
      </w:tblPr>
      <w:tblGrid>
        <w:gridCol w:w="1220"/>
        <w:gridCol w:w="1840"/>
        <w:gridCol w:w="2070"/>
        <w:gridCol w:w="2250"/>
      </w:tblGrid>
      <w:tr w:rsidR="00B10F1E" w:rsidRPr="006723EF" w14:paraId="477F427A" w14:textId="77777777" w:rsidTr="00816745">
        <w:trPr>
          <w:trHeight w:val="588"/>
        </w:trPr>
        <w:tc>
          <w:tcPr>
            <w:tcW w:w="12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14:paraId="4A5DB705" w14:textId="77777777" w:rsidR="00B10F1E" w:rsidRPr="006723EF" w:rsidRDefault="00B10F1E" w:rsidP="00816745">
            <w:pPr>
              <w:jc w:val="center"/>
              <w:rPr>
                <w:rFonts w:ascii="Calibri" w:eastAsia="Times New Roman" w:hAnsi="Calibri"/>
                <w:b/>
                <w:bCs/>
                <w:color w:val="404040"/>
                <w:szCs w:val="20"/>
              </w:rPr>
            </w:pPr>
            <w:r w:rsidRPr="006723EF">
              <w:rPr>
                <w:rFonts w:ascii="Calibri" w:eastAsia="Times New Roman" w:hAnsi="Calibri"/>
                <w:b/>
                <w:bCs/>
                <w:color w:val="404040"/>
                <w:szCs w:val="20"/>
              </w:rPr>
              <w:t>Source of Funds</w:t>
            </w:r>
          </w:p>
        </w:tc>
        <w:tc>
          <w:tcPr>
            <w:tcW w:w="1840" w:type="dxa"/>
            <w:tcBorders>
              <w:top w:val="single" w:sz="4" w:space="0" w:color="auto"/>
              <w:left w:val="nil"/>
              <w:bottom w:val="single" w:sz="4" w:space="0" w:color="auto"/>
              <w:right w:val="single" w:sz="4" w:space="0" w:color="auto"/>
            </w:tcBorders>
            <w:shd w:val="clear" w:color="auto" w:fill="C6D9F1" w:themeFill="text2" w:themeFillTint="33"/>
            <w:vAlign w:val="bottom"/>
            <w:hideMark/>
          </w:tcPr>
          <w:p w14:paraId="08431482" w14:textId="77777777" w:rsidR="00B10F1E" w:rsidRPr="006723EF" w:rsidRDefault="00B10F1E" w:rsidP="00816745">
            <w:pPr>
              <w:jc w:val="center"/>
              <w:rPr>
                <w:rFonts w:ascii="Calibri" w:eastAsia="Times New Roman" w:hAnsi="Calibri"/>
                <w:b/>
                <w:bCs/>
                <w:color w:val="404040"/>
                <w:szCs w:val="20"/>
              </w:rPr>
            </w:pPr>
            <w:r w:rsidRPr="006723EF">
              <w:rPr>
                <w:rFonts w:ascii="Calibri" w:eastAsia="Times New Roman" w:hAnsi="Calibri"/>
                <w:b/>
                <w:bCs/>
                <w:color w:val="404040"/>
                <w:szCs w:val="20"/>
              </w:rPr>
              <w:t>Source</w:t>
            </w:r>
          </w:p>
        </w:tc>
        <w:tc>
          <w:tcPr>
            <w:tcW w:w="2070" w:type="dxa"/>
            <w:tcBorders>
              <w:top w:val="single" w:sz="4" w:space="0" w:color="auto"/>
              <w:left w:val="nil"/>
              <w:bottom w:val="single" w:sz="4" w:space="0" w:color="auto"/>
              <w:right w:val="single" w:sz="4" w:space="0" w:color="auto"/>
            </w:tcBorders>
            <w:shd w:val="clear" w:color="auto" w:fill="C6D9F1" w:themeFill="text2" w:themeFillTint="33"/>
            <w:vAlign w:val="bottom"/>
            <w:hideMark/>
          </w:tcPr>
          <w:p w14:paraId="107682F7" w14:textId="77777777" w:rsidR="00B10F1E" w:rsidRPr="006723EF" w:rsidRDefault="00B10F1E" w:rsidP="00816745">
            <w:pPr>
              <w:jc w:val="center"/>
              <w:rPr>
                <w:rFonts w:ascii="Calibri" w:eastAsia="Times New Roman" w:hAnsi="Calibri"/>
                <w:b/>
                <w:bCs/>
                <w:color w:val="404040"/>
                <w:szCs w:val="20"/>
              </w:rPr>
            </w:pPr>
            <w:r w:rsidRPr="006723EF">
              <w:rPr>
                <w:rFonts w:ascii="Calibri" w:eastAsia="Times New Roman" w:hAnsi="Calibri"/>
                <w:b/>
                <w:bCs/>
                <w:color w:val="404040"/>
                <w:szCs w:val="20"/>
              </w:rPr>
              <w:t>Resources Made Available</w:t>
            </w:r>
          </w:p>
        </w:tc>
        <w:tc>
          <w:tcPr>
            <w:tcW w:w="2250" w:type="dxa"/>
            <w:tcBorders>
              <w:top w:val="single" w:sz="4" w:space="0" w:color="auto"/>
              <w:left w:val="nil"/>
              <w:bottom w:val="single" w:sz="4" w:space="0" w:color="auto"/>
              <w:right w:val="single" w:sz="4" w:space="0" w:color="auto"/>
            </w:tcBorders>
            <w:shd w:val="clear" w:color="auto" w:fill="C6D9F1" w:themeFill="text2" w:themeFillTint="33"/>
            <w:vAlign w:val="bottom"/>
            <w:hideMark/>
          </w:tcPr>
          <w:p w14:paraId="2D8AF900" w14:textId="77777777" w:rsidR="00B10F1E" w:rsidRPr="006723EF" w:rsidRDefault="00B10F1E" w:rsidP="00816745">
            <w:pPr>
              <w:jc w:val="center"/>
              <w:rPr>
                <w:rFonts w:ascii="Calibri" w:eastAsia="Times New Roman" w:hAnsi="Calibri"/>
                <w:b/>
                <w:bCs/>
                <w:color w:val="404040"/>
                <w:szCs w:val="20"/>
              </w:rPr>
            </w:pPr>
            <w:r w:rsidRPr="006723EF">
              <w:rPr>
                <w:rFonts w:ascii="Calibri" w:eastAsia="Times New Roman" w:hAnsi="Calibri"/>
                <w:b/>
                <w:bCs/>
                <w:color w:val="404040"/>
                <w:szCs w:val="20"/>
              </w:rPr>
              <w:t>Amount Expended During Program Year</w:t>
            </w:r>
          </w:p>
        </w:tc>
      </w:tr>
      <w:tr w:rsidR="00B10F1E" w:rsidRPr="006723EF" w14:paraId="0F56B67D" w14:textId="77777777" w:rsidTr="00816745">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826151D" w14:textId="77777777" w:rsidR="00B10F1E" w:rsidRPr="006723EF" w:rsidRDefault="00B10F1E" w:rsidP="00816745">
            <w:pPr>
              <w:rPr>
                <w:rFonts w:ascii="Calibri" w:eastAsia="Times New Roman" w:hAnsi="Calibri"/>
                <w:color w:val="404040"/>
                <w:szCs w:val="20"/>
              </w:rPr>
            </w:pPr>
            <w:r w:rsidRPr="006723EF">
              <w:rPr>
                <w:rFonts w:ascii="Calibri" w:eastAsia="Times New Roman" w:hAnsi="Calibri"/>
                <w:color w:val="404040"/>
                <w:szCs w:val="20"/>
              </w:rPr>
              <w:t>CDBG</w:t>
            </w:r>
          </w:p>
        </w:tc>
        <w:tc>
          <w:tcPr>
            <w:tcW w:w="1840" w:type="dxa"/>
            <w:tcBorders>
              <w:top w:val="nil"/>
              <w:left w:val="nil"/>
              <w:bottom w:val="single" w:sz="4" w:space="0" w:color="auto"/>
              <w:right w:val="single" w:sz="4" w:space="0" w:color="auto"/>
            </w:tcBorders>
            <w:shd w:val="clear" w:color="auto" w:fill="auto"/>
            <w:noWrap/>
            <w:vAlign w:val="bottom"/>
            <w:hideMark/>
          </w:tcPr>
          <w:p w14:paraId="6804EEB9" w14:textId="77777777" w:rsidR="00B10F1E" w:rsidRPr="006723EF" w:rsidRDefault="00B10F1E" w:rsidP="00816745">
            <w:pPr>
              <w:rPr>
                <w:rFonts w:ascii="Calibri" w:eastAsia="Times New Roman" w:hAnsi="Calibri"/>
                <w:color w:val="404040"/>
                <w:szCs w:val="20"/>
              </w:rPr>
            </w:pPr>
            <w:r w:rsidRPr="006723EF">
              <w:rPr>
                <w:rFonts w:ascii="Calibri" w:eastAsia="Times New Roman" w:hAnsi="Calibri"/>
                <w:color w:val="404040"/>
                <w:szCs w:val="20"/>
              </w:rPr>
              <w:t>Public - Federal</w:t>
            </w:r>
          </w:p>
        </w:tc>
        <w:tc>
          <w:tcPr>
            <w:tcW w:w="2070" w:type="dxa"/>
            <w:tcBorders>
              <w:top w:val="nil"/>
              <w:left w:val="nil"/>
              <w:bottom w:val="single" w:sz="4" w:space="0" w:color="auto"/>
              <w:right w:val="single" w:sz="4" w:space="0" w:color="auto"/>
            </w:tcBorders>
            <w:shd w:val="clear" w:color="auto" w:fill="auto"/>
            <w:noWrap/>
            <w:vAlign w:val="bottom"/>
            <w:hideMark/>
          </w:tcPr>
          <w:p w14:paraId="20470C58" w14:textId="77777777" w:rsidR="00B10F1E" w:rsidRPr="006723EF" w:rsidRDefault="00B10F1E" w:rsidP="00816745">
            <w:pPr>
              <w:jc w:val="center"/>
              <w:rPr>
                <w:rFonts w:ascii="Calibri" w:eastAsia="Times New Roman" w:hAnsi="Calibri"/>
                <w:color w:val="404040"/>
                <w:szCs w:val="20"/>
              </w:rPr>
            </w:pPr>
            <w:r>
              <w:rPr>
                <w:rFonts w:ascii="Calibri" w:eastAsia="Times New Roman" w:hAnsi="Calibri"/>
                <w:color w:val="404040"/>
                <w:szCs w:val="20"/>
              </w:rPr>
              <w:t>$3,660,164</w:t>
            </w:r>
          </w:p>
        </w:tc>
        <w:tc>
          <w:tcPr>
            <w:tcW w:w="2250" w:type="dxa"/>
            <w:tcBorders>
              <w:top w:val="nil"/>
              <w:left w:val="nil"/>
              <w:bottom w:val="single" w:sz="4" w:space="0" w:color="auto"/>
              <w:right w:val="single" w:sz="4" w:space="0" w:color="auto"/>
            </w:tcBorders>
            <w:shd w:val="clear" w:color="auto" w:fill="auto"/>
            <w:noWrap/>
            <w:vAlign w:val="bottom"/>
            <w:hideMark/>
          </w:tcPr>
          <w:p w14:paraId="60B15D57" w14:textId="44DCE715" w:rsidR="00B10F1E" w:rsidRPr="009729F1" w:rsidRDefault="00B10F1E" w:rsidP="009E672C">
            <w:pPr>
              <w:jc w:val="center"/>
              <w:rPr>
                <w:rFonts w:ascii="Calibri" w:eastAsia="Times New Roman" w:hAnsi="Calibri"/>
                <w:color w:val="404040"/>
                <w:szCs w:val="20"/>
                <w:highlight w:val="yellow"/>
              </w:rPr>
            </w:pPr>
            <w:r w:rsidRPr="001C223F">
              <w:rPr>
                <w:rFonts w:ascii="Calibri" w:eastAsia="Times New Roman" w:hAnsi="Calibri"/>
                <w:color w:val="404040"/>
                <w:szCs w:val="20"/>
              </w:rPr>
              <w:t>$</w:t>
            </w:r>
            <w:r w:rsidR="009E672C">
              <w:rPr>
                <w:rFonts w:ascii="Calibri" w:eastAsia="Times New Roman" w:hAnsi="Calibri"/>
                <w:color w:val="404040"/>
                <w:szCs w:val="20"/>
              </w:rPr>
              <w:t>2,925,888</w:t>
            </w:r>
          </w:p>
        </w:tc>
      </w:tr>
      <w:tr w:rsidR="00B10F1E" w:rsidRPr="006723EF" w14:paraId="444617C0" w14:textId="77777777" w:rsidTr="00816745">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0CA391C2" w14:textId="77777777" w:rsidR="00B10F1E" w:rsidRPr="006723EF" w:rsidRDefault="00B10F1E" w:rsidP="00816745">
            <w:pPr>
              <w:rPr>
                <w:rFonts w:ascii="Calibri" w:eastAsia="Times New Roman" w:hAnsi="Calibri"/>
                <w:color w:val="404040"/>
                <w:szCs w:val="20"/>
              </w:rPr>
            </w:pPr>
            <w:r w:rsidRPr="006723EF">
              <w:rPr>
                <w:rFonts w:ascii="Calibri" w:eastAsia="Times New Roman" w:hAnsi="Calibri"/>
                <w:color w:val="404040"/>
                <w:szCs w:val="20"/>
              </w:rPr>
              <w:t>HOME</w:t>
            </w:r>
          </w:p>
        </w:tc>
        <w:tc>
          <w:tcPr>
            <w:tcW w:w="1840" w:type="dxa"/>
            <w:tcBorders>
              <w:top w:val="nil"/>
              <w:left w:val="nil"/>
              <w:bottom w:val="single" w:sz="4" w:space="0" w:color="auto"/>
              <w:right w:val="single" w:sz="4" w:space="0" w:color="auto"/>
            </w:tcBorders>
            <w:shd w:val="clear" w:color="auto" w:fill="auto"/>
            <w:noWrap/>
            <w:vAlign w:val="bottom"/>
            <w:hideMark/>
          </w:tcPr>
          <w:p w14:paraId="7A1B89BA" w14:textId="77777777" w:rsidR="00B10F1E" w:rsidRPr="006723EF" w:rsidRDefault="00B10F1E" w:rsidP="00816745">
            <w:pPr>
              <w:rPr>
                <w:rFonts w:ascii="Calibri" w:eastAsia="Times New Roman" w:hAnsi="Calibri"/>
                <w:color w:val="404040"/>
                <w:szCs w:val="20"/>
              </w:rPr>
            </w:pPr>
            <w:r w:rsidRPr="006723EF">
              <w:rPr>
                <w:rFonts w:ascii="Calibri" w:eastAsia="Times New Roman" w:hAnsi="Calibri"/>
                <w:color w:val="404040"/>
                <w:szCs w:val="20"/>
              </w:rPr>
              <w:t>Public - Federal</w:t>
            </w:r>
          </w:p>
        </w:tc>
        <w:tc>
          <w:tcPr>
            <w:tcW w:w="2070" w:type="dxa"/>
            <w:tcBorders>
              <w:top w:val="nil"/>
              <w:left w:val="nil"/>
              <w:bottom w:val="single" w:sz="4" w:space="0" w:color="auto"/>
              <w:right w:val="single" w:sz="4" w:space="0" w:color="auto"/>
            </w:tcBorders>
            <w:shd w:val="clear" w:color="auto" w:fill="auto"/>
            <w:noWrap/>
            <w:vAlign w:val="bottom"/>
            <w:hideMark/>
          </w:tcPr>
          <w:p w14:paraId="0D7FA500" w14:textId="77777777" w:rsidR="00B10F1E" w:rsidRPr="006723EF" w:rsidRDefault="00B10F1E" w:rsidP="00816745">
            <w:pPr>
              <w:jc w:val="center"/>
              <w:rPr>
                <w:rFonts w:ascii="Calibri" w:eastAsia="Times New Roman" w:hAnsi="Calibri"/>
                <w:color w:val="404040"/>
                <w:szCs w:val="20"/>
              </w:rPr>
            </w:pPr>
            <w:r>
              <w:rPr>
                <w:rFonts w:ascii="Calibri" w:eastAsia="Times New Roman" w:hAnsi="Calibri"/>
                <w:color w:val="404040"/>
                <w:szCs w:val="20"/>
              </w:rPr>
              <w:t>$1,289,578</w:t>
            </w:r>
          </w:p>
        </w:tc>
        <w:tc>
          <w:tcPr>
            <w:tcW w:w="2250" w:type="dxa"/>
            <w:tcBorders>
              <w:top w:val="nil"/>
              <w:left w:val="nil"/>
              <w:bottom w:val="single" w:sz="4" w:space="0" w:color="auto"/>
              <w:right w:val="single" w:sz="4" w:space="0" w:color="auto"/>
            </w:tcBorders>
            <w:shd w:val="clear" w:color="auto" w:fill="auto"/>
            <w:noWrap/>
            <w:vAlign w:val="bottom"/>
            <w:hideMark/>
          </w:tcPr>
          <w:p w14:paraId="74E9B15C" w14:textId="136B878A" w:rsidR="00B10F1E" w:rsidRPr="009729F1" w:rsidRDefault="00B10F1E" w:rsidP="009E672C">
            <w:pPr>
              <w:jc w:val="center"/>
              <w:rPr>
                <w:rFonts w:ascii="Calibri" w:eastAsia="Times New Roman" w:hAnsi="Calibri"/>
                <w:color w:val="404040"/>
                <w:szCs w:val="20"/>
                <w:highlight w:val="yellow"/>
              </w:rPr>
            </w:pPr>
            <w:r w:rsidRPr="001C223F">
              <w:rPr>
                <w:rFonts w:ascii="Calibri" w:eastAsia="Times New Roman" w:hAnsi="Calibri"/>
                <w:color w:val="404040"/>
                <w:szCs w:val="20"/>
              </w:rPr>
              <w:t>$</w:t>
            </w:r>
            <w:r w:rsidR="009E672C">
              <w:rPr>
                <w:rFonts w:ascii="Calibri" w:eastAsia="Times New Roman" w:hAnsi="Calibri"/>
                <w:color w:val="404040"/>
                <w:szCs w:val="20"/>
              </w:rPr>
              <w:t>560,695</w:t>
            </w:r>
          </w:p>
        </w:tc>
      </w:tr>
      <w:tr w:rsidR="00B10F1E" w:rsidRPr="006723EF" w14:paraId="56DC0177" w14:textId="77777777" w:rsidTr="00816745">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009E802" w14:textId="77777777" w:rsidR="00B10F1E" w:rsidRPr="006723EF" w:rsidRDefault="00B10F1E" w:rsidP="00816745">
            <w:pPr>
              <w:rPr>
                <w:rFonts w:ascii="Calibri" w:eastAsia="Times New Roman" w:hAnsi="Calibri"/>
                <w:color w:val="404040"/>
                <w:szCs w:val="20"/>
              </w:rPr>
            </w:pPr>
            <w:r w:rsidRPr="006723EF">
              <w:rPr>
                <w:rFonts w:ascii="Calibri" w:eastAsia="Times New Roman" w:hAnsi="Calibri"/>
                <w:color w:val="404040"/>
                <w:szCs w:val="20"/>
              </w:rPr>
              <w:t>HOPWA</w:t>
            </w:r>
          </w:p>
        </w:tc>
        <w:tc>
          <w:tcPr>
            <w:tcW w:w="1840" w:type="dxa"/>
            <w:tcBorders>
              <w:top w:val="nil"/>
              <w:left w:val="nil"/>
              <w:bottom w:val="single" w:sz="4" w:space="0" w:color="auto"/>
              <w:right w:val="single" w:sz="4" w:space="0" w:color="auto"/>
            </w:tcBorders>
            <w:shd w:val="clear" w:color="auto" w:fill="auto"/>
            <w:noWrap/>
            <w:vAlign w:val="bottom"/>
            <w:hideMark/>
          </w:tcPr>
          <w:p w14:paraId="2716649A" w14:textId="77777777" w:rsidR="00B10F1E" w:rsidRPr="006723EF" w:rsidRDefault="00B10F1E" w:rsidP="00816745">
            <w:pPr>
              <w:rPr>
                <w:rFonts w:ascii="Calibri" w:eastAsia="Times New Roman" w:hAnsi="Calibri"/>
                <w:color w:val="404040"/>
                <w:szCs w:val="20"/>
              </w:rPr>
            </w:pPr>
            <w:r w:rsidRPr="006723EF">
              <w:rPr>
                <w:rFonts w:ascii="Calibri" w:eastAsia="Times New Roman" w:hAnsi="Calibri"/>
                <w:color w:val="404040"/>
                <w:szCs w:val="20"/>
              </w:rPr>
              <w:t>Public - Federal</w:t>
            </w:r>
          </w:p>
        </w:tc>
        <w:tc>
          <w:tcPr>
            <w:tcW w:w="2070" w:type="dxa"/>
            <w:tcBorders>
              <w:top w:val="nil"/>
              <w:left w:val="nil"/>
              <w:bottom w:val="single" w:sz="4" w:space="0" w:color="auto"/>
              <w:right w:val="single" w:sz="4" w:space="0" w:color="auto"/>
            </w:tcBorders>
            <w:shd w:val="clear" w:color="auto" w:fill="auto"/>
            <w:noWrap/>
            <w:vAlign w:val="bottom"/>
            <w:hideMark/>
          </w:tcPr>
          <w:p w14:paraId="211E338D" w14:textId="77777777" w:rsidR="00B10F1E" w:rsidRPr="006723EF" w:rsidRDefault="00B10F1E" w:rsidP="00816745">
            <w:pPr>
              <w:jc w:val="center"/>
              <w:rPr>
                <w:rFonts w:ascii="Calibri" w:eastAsia="Times New Roman" w:hAnsi="Calibri"/>
                <w:color w:val="404040"/>
                <w:szCs w:val="20"/>
              </w:rPr>
            </w:pPr>
            <w:r>
              <w:rPr>
                <w:rFonts w:ascii="Calibri" w:eastAsia="Times New Roman" w:hAnsi="Calibri"/>
                <w:color w:val="404040"/>
                <w:szCs w:val="20"/>
              </w:rPr>
              <w:t>$443,995</w:t>
            </w:r>
          </w:p>
        </w:tc>
        <w:tc>
          <w:tcPr>
            <w:tcW w:w="2250" w:type="dxa"/>
            <w:tcBorders>
              <w:top w:val="nil"/>
              <w:left w:val="nil"/>
              <w:bottom w:val="single" w:sz="4" w:space="0" w:color="auto"/>
              <w:right w:val="single" w:sz="4" w:space="0" w:color="auto"/>
            </w:tcBorders>
            <w:shd w:val="clear" w:color="auto" w:fill="auto"/>
            <w:noWrap/>
            <w:vAlign w:val="bottom"/>
            <w:hideMark/>
          </w:tcPr>
          <w:p w14:paraId="1EAC6644" w14:textId="10228E80" w:rsidR="00B10F1E" w:rsidRPr="009729F1" w:rsidRDefault="00B10F1E" w:rsidP="009E672C">
            <w:pPr>
              <w:jc w:val="center"/>
              <w:rPr>
                <w:rFonts w:ascii="Calibri" w:eastAsia="Times New Roman" w:hAnsi="Calibri"/>
                <w:color w:val="404040"/>
                <w:szCs w:val="20"/>
                <w:highlight w:val="yellow"/>
              </w:rPr>
            </w:pPr>
            <w:r w:rsidRPr="001C223F">
              <w:rPr>
                <w:rFonts w:ascii="Calibri" w:eastAsia="Times New Roman" w:hAnsi="Calibri"/>
                <w:color w:val="404040"/>
                <w:szCs w:val="20"/>
              </w:rPr>
              <w:t>$</w:t>
            </w:r>
            <w:r w:rsidR="009E672C">
              <w:rPr>
                <w:rFonts w:ascii="Calibri" w:eastAsia="Times New Roman" w:hAnsi="Calibri"/>
                <w:color w:val="404040"/>
                <w:szCs w:val="20"/>
              </w:rPr>
              <w:t>153,081</w:t>
            </w:r>
          </w:p>
        </w:tc>
      </w:tr>
      <w:tr w:rsidR="00B10F1E" w:rsidRPr="006723EF" w14:paraId="47964281" w14:textId="77777777" w:rsidTr="00816745">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1310600" w14:textId="77777777" w:rsidR="00B10F1E" w:rsidRPr="006723EF" w:rsidRDefault="00B10F1E" w:rsidP="00816745">
            <w:pPr>
              <w:rPr>
                <w:rFonts w:ascii="Calibri" w:eastAsia="Times New Roman" w:hAnsi="Calibri"/>
                <w:color w:val="404040"/>
                <w:szCs w:val="20"/>
              </w:rPr>
            </w:pPr>
            <w:r w:rsidRPr="006723EF">
              <w:rPr>
                <w:rFonts w:ascii="Calibri" w:eastAsia="Times New Roman" w:hAnsi="Calibri"/>
                <w:color w:val="404040"/>
                <w:szCs w:val="20"/>
              </w:rPr>
              <w:t>ESG</w:t>
            </w:r>
          </w:p>
        </w:tc>
        <w:tc>
          <w:tcPr>
            <w:tcW w:w="1840" w:type="dxa"/>
            <w:tcBorders>
              <w:top w:val="nil"/>
              <w:left w:val="nil"/>
              <w:bottom w:val="single" w:sz="4" w:space="0" w:color="auto"/>
              <w:right w:val="single" w:sz="4" w:space="0" w:color="auto"/>
            </w:tcBorders>
            <w:shd w:val="clear" w:color="auto" w:fill="auto"/>
            <w:noWrap/>
            <w:vAlign w:val="bottom"/>
            <w:hideMark/>
          </w:tcPr>
          <w:p w14:paraId="60C00AAF" w14:textId="77777777" w:rsidR="00B10F1E" w:rsidRPr="006723EF" w:rsidRDefault="00B10F1E" w:rsidP="00816745">
            <w:pPr>
              <w:rPr>
                <w:rFonts w:ascii="Calibri" w:eastAsia="Times New Roman" w:hAnsi="Calibri"/>
                <w:color w:val="404040"/>
                <w:szCs w:val="20"/>
              </w:rPr>
            </w:pPr>
            <w:r w:rsidRPr="006723EF">
              <w:rPr>
                <w:rFonts w:ascii="Calibri" w:eastAsia="Times New Roman" w:hAnsi="Calibri"/>
                <w:color w:val="404040"/>
                <w:szCs w:val="20"/>
              </w:rPr>
              <w:t>Public - Federal</w:t>
            </w:r>
          </w:p>
        </w:tc>
        <w:tc>
          <w:tcPr>
            <w:tcW w:w="2070" w:type="dxa"/>
            <w:tcBorders>
              <w:top w:val="nil"/>
              <w:left w:val="nil"/>
              <w:bottom w:val="single" w:sz="4" w:space="0" w:color="auto"/>
              <w:right w:val="single" w:sz="4" w:space="0" w:color="auto"/>
            </w:tcBorders>
            <w:shd w:val="clear" w:color="auto" w:fill="auto"/>
            <w:noWrap/>
            <w:vAlign w:val="bottom"/>
            <w:hideMark/>
          </w:tcPr>
          <w:p w14:paraId="4266CFDD" w14:textId="77777777" w:rsidR="00B10F1E" w:rsidRPr="006723EF" w:rsidRDefault="00B10F1E" w:rsidP="00816745">
            <w:pPr>
              <w:jc w:val="center"/>
              <w:rPr>
                <w:rFonts w:ascii="Calibri" w:eastAsia="Times New Roman" w:hAnsi="Calibri"/>
                <w:color w:val="404040"/>
                <w:szCs w:val="20"/>
              </w:rPr>
            </w:pPr>
            <w:r>
              <w:rPr>
                <w:rFonts w:ascii="Calibri" w:eastAsia="Times New Roman" w:hAnsi="Calibri"/>
                <w:color w:val="404040"/>
                <w:szCs w:val="20"/>
              </w:rPr>
              <w:t>$303,282</w:t>
            </w:r>
          </w:p>
        </w:tc>
        <w:tc>
          <w:tcPr>
            <w:tcW w:w="2250" w:type="dxa"/>
            <w:tcBorders>
              <w:top w:val="nil"/>
              <w:left w:val="nil"/>
              <w:bottom w:val="single" w:sz="4" w:space="0" w:color="auto"/>
              <w:right w:val="single" w:sz="4" w:space="0" w:color="auto"/>
            </w:tcBorders>
            <w:shd w:val="clear" w:color="auto" w:fill="auto"/>
            <w:noWrap/>
            <w:vAlign w:val="bottom"/>
            <w:hideMark/>
          </w:tcPr>
          <w:p w14:paraId="7D412786" w14:textId="0E63C8D4" w:rsidR="00B10F1E" w:rsidRPr="001C223F" w:rsidRDefault="00B10F1E" w:rsidP="009E672C">
            <w:pPr>
              <w:jc w:val="center"/>
              <w:rPr>
                <w:rFonts w:ascii="Calibri" w:eastAsia="Times New Roman" w:hAnsi="Calibri"/>
                <w:color w:val="404040"/>
                <w:szCs w:val="20"/>
              </w:rPr>
            </w:pPr>
            <w:r w:rsidRPr="001C223F">
              <w:rPr>
                <w:rFonts w:ascii="Calibri" w:eastAsia="Times New Roman" w:hAnsi="Calibri"/>
                <w:color w:val="404040"/>
                <w:szCs w:val="20"/>
              </w:rPr>
              <w:t>$</w:t>
            </w:r>
            <w:r w:rsidR="009E672C">
              <w:rPr>
                <w:rFonts w:ascii="Calibri" w:eastAsia="Times New Roman" w:hAnsi="Calibri"/>
                <w:color w:val="404040"/>
                <w:szCs w:val="20"/>
              </w:rPr>
              <w:t>246,305</w:t>
            </w:r>
          </w:p>
        </w:tc>
      </w:tr>
    </w:tbl>
    <w:p w14:paraId="6A822E65" w14:textId="77777777" w:rsidR="00B10F1E" w:rsidRDefault="00B10F1E" w:rsidP="00B10F1E">
      <w:pPr>
        <w:spacing w:line="276" w:lineRule="auto"/>
        <w:ind w:right="360"/>
        <w:rPr>
          <w:rFonts w:asciiTheme="minorHAnsi" w:hAnsiTheme="minorHAnsi" w:cstheme="minorHAnsi"/>
          <w:b/>
          <w:color w:val="FF0000"/>
          <w:szCs w:val="20"/>
        </w:rPr>
      </w:pPr>
    </w:p>
    <w:p w14:paraId="1F3AC93C" w14:textId="4996CE0B" w:rsidR="00B10F1E" w:rsidRDefault="00593019" w:rsidP="00EC57C4">
      <w:pPr>
        <w:overflowPunct w:val="0"/>
        <w:autoSpaceDE w:val="0"/>
        <w:autoSpaceDN w:val="0"/>
        <w:adjustRightInd w:val="0"/>
        <w:spacing w:line="336" w:lineRule="auto"/>
        <w:textAlignment w:val="baseline"/>
        <w:rPr>
          <w:rFonts w:asciiTheme="minorHAnsi" w:hAnsiTheme="minorHAnsi" w:cstheme="minorHAnsi"/>
          <w:color w:val="404040" w:themeColor="text1" w:themeTint="BF"/>
          <w:szCs w:val="20"/>
        </w:rPr>
      </w:pPr>
      <w:r>
        <w:rPr>
          <w:rFonts w:asciiTheme="minorHAnsi" w:hAnsiTheme="minorHAnsi" w:cstheme="minorHAnsi"/>
          <w:color w:val="404040" w:themeColor="text1" w:themeTint="BF"/>
          <w:szCs w:val="20"/>
        </w:rPr>
        <w:t xml:space="preserve">Table 3 </w:t>
      </w:r>
      <w:r w:rsidR="00B10F1E">
        <w:rPr>
          <w:rFonts w:asciiTheme="minorHAnsi" w:hAnsiTheme="minorHAnsi" w:cstheme="minorHAnsi"/>
          <w:color w:val="404040" w:themeColor="text1" w:themeTint="BF"/>
          <w:szCs w:val="20"/>
        </w:rPr>
        <w:t xml:space="preserve">identifies grant funds, and leveraged funds made available during the year. </w:t>
      </w:r>
      <w:r w:rsidR="00B10F1E" w:rsidRPr="00BD266E">
        <w:rPr>
          <w:rFonts w:asciiTheme="minorHAnsi" w:hAnsiTheme="minorHAnsi" w:cstheme="minorHAnsi"/>
          <w:color w:val="404040" w:themeColor="text1" w:themeTint="BF"/>
          <w:szCs w:val="20"/>
        </w:rPr>
        <w:t>For the 201</w:t>
      </w:r>
      <w:r w:rsidR="00B10F1E">
        <w:rPr>
          <w:rFonts w:asciiTheme="minorHAnsi" w:hAnsiTheme="minorHAnsi" w:cstheme="minorHAnsi"/>
          <w:color w:val="404040" w:themeColor="text1" w:themeTint="BF"/>
          <w:szCs w:val="20"/>
        </w:rPr>
        <w:t>7-18</w:t>
      </w:r>
      <w:r w:rsidR="00B10F1E" w:rsidRPr="00BD266E">
        <w:rPr>
          <w:rFonts w:asciiTheme="minorHAnsi" w:hAnsiTheme="minorHAnsi" w:cstheme="minorHAnsi"/>
          <w:color w:val="404040" w:themeColor="text1" w:themeTint="BF"/>
          <w:szCs w:val="20"/>
        </w:rPr>
        <w:t xml:space="preserve"> program year, the City had a total of </w:t>
      </w:r>
      <w:r w:rsidR="00B10F1E">
        <w:rPr>
          <w:rFonts w:asciiTheme="minorHAnsi" w:hAnsiTheme="minorHAnsi" w:cstheme="minorHAnsi"/>
          <w:color w:val="404040" w:themeColor="text1" w:themeTint="BF"/>
          <w:szCs w:val="20"/>
        </w:rPr>
        <w:t xml:space="preserve">$4,654,376 </w:t>
      </w:r>
      <w:r w:rsidR="00B10F1E" w:rsidRPr="00BD266E">
        <w:rPr>
          <w:rFonts w:asciiTheme="minorHAnsi" w:hAnsiTheme="minorHAnsi" w:cstheme="minorHAnsi"/>
          <w:color w:val="404040" w:themeColor="text1" w:themeTint="BF"/>
          <w:szCs w:val="20"/>
        </w:rPr>
        <w:t xml:space="preserve">available through CDBG, ESG, </w:t>
      </w:r>
      <w:r w:rsidR="00B10F1E">
        <w:rPr>
          <w:rFonts w:asciiTheme="minorHAnsi" w:hAnsiTheme="minorHAnsi" w:cstheme="minorHAnsi"/>
          <w:color w:val="404040" w:themeColor="text1" w:themeTint="BF"/>
          <w:szCs w:val="20"/>
        </w:rPr>
        <w:t xml:space="preserve">HOME &amp; HOPWA of new funding available from federal grants, totaling </w:t>
      </w:r>
      <w:r w:rsidR="00B10F1E" w:rsidRPr="005A31BB">
        <w:rPr>
          <w:rFonts w:asciiTheme="minorHAnsi" w:hAnsiTheme="minorHAnsi" w:cstheme="minorHAnsi"/>
          <w:color w:val="404040" w:themeColor="text1" w:themeTint="BF"/>
          <w:szCs w:val="20"/>
        </w:rPr>
        <w:t>$</w:t>
      </w:r>
      <w:r w:rsidR="00B10F1E">
        <w:rPr>
          <w:rFonts w:asciiTheme="minorHAnsi" w:hAnsiTheme="minorHAnsi" w:cstheme="minorHAnsi"/>
          <w:color w:val="404040" w:themeColor="text1" w:themeTint="BF"/>
          <w:szCs w:val="20"/>
        </w:rPr>
        <w:t xml:space="preserve">5,697,019 of funds when adding </w:t>
      </w:r>
      <w:r w:rsidR="00B10F1E" w:rsidRPr="00BD266E">
        <w:rPr>
          <w:rFonts w:asciiTheme="minorHAnsi" w:hAnsiTheme="minorHAnsi" w:cstheme="minorHAnsi"/>
          <w:color w:val="404040" w:themeColor="text1" w:themeTint="BF"/>
          <w:szCs w:val="20"/>
        </w:rPr>
        <w:t>reallocated and program income funding.</w:t>
      </w:r>
      <w:r w:rsidR="00B10F1E">
        <w:rPr>
          <w:rFonts w:asciiTheme="minorHAnsi" w:hAnsiTheme="minorHAnsi" w:cstheme="minorHAnsi"/>
          <w:color w:val="404040" w:themeColor="text1" w:themeTint="BF"/>
          <w:szCs w:val="20"/>
        </w:rPr>
        <w:t xml:space="preserve"> Amount expended represents the grant funds that were expended during the year.</w:t>
      </w:r>
      <w:r w:rsidR="009E672C">
        <w:rPr>
          <w:rFonts w:asciiTheme="minorHAnsi" w:hAnsiTheme="minorHAnsi" w:cstheme="minorHAnsi"/>
          <w:color w:val="404040" w:themeColor="text1" w:themeTint="BF"/>
          <w:szCs w:val="20"/>
        </w:rPr>
        <w:t xml:space="preserve"> Most of the money not expended is from Housing and Infrastructure projects. </w:t>
      </w:r>
      <w:r>
        <w:rPr>
          <w:rFonts w:asciiTheme="minorHAnsi" w:hAnsiTheme="minorHAnsi" w:cstheme="minorHAnsi"/>
          <w:color w:val="404040" w:themeColor="text1" w:themeTint="BF"/>
          <w:szCs w:val="20"/>
        </w:rPr>
        <w:t>Usage of</w:t>
      </w:r>
      <w:r w:rsidR="00EC57C4">
        <w:rPr>
          <w:rFonts w:asciiTheme="minorHAnsi" w:hAnsiTheme="minorHAnsi" w:cstheme="minorHAnsi"/>
          <w:color w:val="404040" w:themeColor="text1" w:themeTint="BF"/>
          <w:szCs w:val="20"/>
        </w:rPr>
        <w:t xml:space="preserve"> 17-18</w:t>
      </w:r>
      <w:r>
        <w:rPr>
          <w:rFonts w:asciiTheme="minorHAnsi" w:hAnsiTheme="minorHAnsi" w:cstheme="minorHAnsi"/>
          <w:color w:val="404040" w:themeColor="text1" w:themeTint="BF"/>
          <w:szCs w:val="20"/>
        </w:rPr>
        <w:t xml:space="preserve"> HOPWA funding is low because during the 17-18 year HOPWA activities were primarily funded with prior year funding. </w:t>
      </w:r>
    </w:p>
    <w:p w14:paraId="2D46D5E5" w14:textId="77777777" w:rsidR="00B10F1E" w:rsidRDefault="00B10F1E" w:rsidP="00B10F1E">
      <w:pPr>
        <w:spacing w:line="276" w:lineRule="auto"/>
        <w:ind w:right="360"/>
        <w:rPr>
          <w:rFonts w:asciiTheme="minorHAnsi" w:hAnsiTheme="minorHAnsi" w:cstheme="minorHAnsi"/>
          <w:color w:val="404040" w:themeColor="text1" w:themeTint="BF"/>
          <w:szCs w:val="20"/>
        </w:rPr>
      </w:pPr>
    </w:p>
    <w:p w14:paraId="11887687" w14:textId="77777777" w:rsidR="00B10F1E" w:rsidRDefault="00B10F1E" w:rsidP="00B10F1E">
      <w:pPr>
        <w:spacing w:line="276" w:lineRule="auto"/>
        <w:ind w:right="360"/>
        <w:rPr>
          <w:rFonts w:asciiTheme="minorHAnsi" w:hAnsiTheme="minorHAnsi" w:cstheme="minorHAnsi"/>
          <w:b/>
          <w:color w:val="FF0000"/>
          <w:szCs w:val="20"/>
        </w:rPr>
      </w:pPr>
    </w:p>
    <w:p w14:paraId="3B37E5B2" w14:textId="77777777" w:rsidR="00B10F1E" w:rsidRPr="004A36EE" w:rsidRDefault="00B10F1E" w:rsidP="00B10F1E">
      <w:pPr>
        <w:spacing w:line="276" w:lineRule="auto"/>
        <w:ind w:right="360"/>
        <w:rPr>
          <w:rFonts w:asciiTheme="minorHAnsi" w:hAnsiTheme="minorHAnsi" w:cstheme="minorHAnsi"/>
          <w:b/>
          <w:color w:val="404040" w:themeColor="text1" w:themeTint="BF"/>
          <w:szCs w:val="20"/>
        </w:rPr>
      </w:pPr>
      <w:r w:rsidRPr="004A36EE">
        <w:rPr>
          <w:rFonts w:asciiTheme="minorHAnsi" w:hAnsiTheme="minorHAnsi" w:cstheme="minorHAnsi"/>
          <w:b/>
          <w:color w:val="404040" w:themeColor="text1" w:themeTint="BF"/>
          <w:szCs w:val="20"/>
        </w:rPr>
        <w:t>Table 4 – Geographic Distribution and Location of Investments</w:t>
      </w:r>
    </w:p>
    <w:tbl>
      <w:tblPr>
        <w:tblW w:w="9985" w:type="dxa"/>
        <w:tblLook w:val="04A0" w:firstRow="1" w:lastRow="0" w:firstColumn="1" w:lastColumn="0" w:noHBand="0" w:noVBand="1"/>
      </w:tblPr>
      <w:tblGrid>
        <w:gridCol w:w="1435"/>
        <w:gridCol w:w="2040"/>
        <w:gridCol w:w="1740"/>
        <w:gridCol w:w="4770"/>
      </w:tblGrid>
      <w:tr w:rsidR="00B10F1E" w:rsidRPr="006723EF" w14:paraId="77D3C8B2" w14:textId="77777777" w:rsidTr="00816745">
        <w:trPr>
          <w:trHeight w:val="576"/>
        </w:trPr>
        <w:tc>
          <w:tcPr>
            <w:tcW w:w="14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A73B088" w14:textId="77777777" w:rsidR="00B10F1E" w:rsidRPr="006723EF" w:rsidRDefault="00B10F1E" w:rsidP="00816745">
            <w:pPr>
              <w:jc w:val="center"/>
              <w:rPr>
                <w:rFonts w:ascii="Calibri" w:eastAsia="Times New Roman" w:hAnsi="Calibri"/>
                <w:b/>
                <w:bCs/>
                <w:color w:val="404040"/>
                <w:szCs w:val="20"/>
              </w:rPr>
            </w:pPr>
            <w:r w:rsidRPr="006723EF">
              <w:rPr>
                <w:rFonts w:ascii="Calibri" w:eastAsia="Times New Roman" w:hAnsi="Calibri"/>
                <w:b/>
                <w:bCs/>
                <w:color w:val="404040"/>
                <w:szCs w:val="20"/>
              </w:rPr>
              <w:t>Target Area</w:t>
            </w:r>
          </w:p>
        </w:tc>
        <w:tc>
          <w:tcPr>
            <w:tcW w:w="204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73484D8F" w14:textId="77777777" w:rsidR="00B10F1E" w:rsidRPr="006723EF" w:rsidRDefault="00B10F1E" w:rsidP="00816745">
            <w:pPr>
              <w:jc w:val="center"/>
              <w:rPr>
                <w:rFonts w:ascii="Calibri" w:eastAsia="Times New Roman" w:hAnsi="Calibri"/>
                <w:b/>
                <w:bCs/>
                <w:color w:val="404040"/>
                <w:szCs w:val="20"/>
              </w:rPr>
            </w:pPr>
            <w:r w:rsidRPr="006723EF">
              <w:rPr>
                <w:rFonts w:ascii="Calibri" w:eastAsia="Times New Roman" w:hAnsi="Calibri"/>
                <w:b/>
                <w:bCs/>
                <w:color w:val="404040"/>
                <w:szCs w:val="20"/>
              </w:rPr>
              <w:t>Planned Percentage of Allocation</w:t>
            </w:r>
          </w:p>
        </w:tc>
        <w:tc>
          <w:tcPr>
            <w:tcW w:w="174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37D46654" w14:textId="77777777" w:rsidR="00B10F1E" w:rsidRPr="006723EF" w:rsidRDefault="00B10F1E" w:rsidP="00816745">
            <w:pPr>
              <w:jc w:val="center"/>
              <w:rPr>
                <w:rFonts w:ascii="Calibri" w:eastAsia="Times New Roman" w:hAnsi="Calibri"/>
                <w:b/>
                <w:bCs/>
                <w:color w:val="404040"/>
                <w:szCs w:val="20"/>
              </w:rPr>
            </w:pPr>
            <w:r w:rsidRPr="006723EF">
              <w:rPr>
                <w:rFonts w:ascii="Calibri" w:eastAsia="Times New Roman" w:hAnsi="Calibri"/>
                <w:b/>
                <w:bCs/>
                <w:color w:val="404040"/>
                <w:szCs w:val="20"/>
              </w:rPr>
              <w:t>Actual Percentage of Allocation</w:t>
            </w:r>
          </w:p>
        </w:tc>
        <w:tc>
          <w:tcPr>
            <w:tcW w:w="477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6A667643" w14:textId="77777777" w:rsidR="00B10F1E" w:rsidRPr="006723EF" w:rsidRDefault="00B10F1E" w:rsidP="00816745">
            <w:pPr>
              <w:jc w:val="center"/>
              <w:rPr>
                <w:rFonts w:ascii="Calibri" w:eastAsia="Times New Roman" w:hAnsi="Calibri"/>
                <w:b/>
                <w:bCs/>
                <w:color w:val="404040"/>
                <w:szCs w:val="20"/>
              </w:rPr>
            </w:pPr>
            <w:r w:rsidRPr="006723EF">
              <w:rPr>
                <w:rFonts w:ascii="Calibri" w:eastAsia="Times New Roman" w:hAnsi="Calibri"/>
                <w:b/>
                <w:bCs/>
                <w:color w:val="404040"/>
                <w:szCs w:val="20"/>
              </w:rPr>
              <w:t>Narrative Description</w:t>
            </w:r>
          </w:p>
        </w:tc>
      </w:tr>
      <w:tr w:rsidR="00B10F1E" w:rsidRPr="006723EF" w14:paraId="1651A5A9" w14:textId="77777777" w:rsidTr="00816745">
        <w:trPr>
          <w:trHeight w:val="576"/>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12C74522" w14:textId="77777777" w:rsidR="00B10F1E" w:rsidRPr="002C4B57" w:rsidRDefault="00B10F1E" w:rsidP="00816745">
            <w:pPr>
              <w:rPr>
                <w:rFonts w:ascii="Calibri" w:eastAsia="Times New Roman" w:hAnsi="Calibri"/>
                <w:color w:val="404040"/>
                <w:szCs w:val="20"/>
              </w:rPr>
            </w:pPr>
            <w:r w:rsidRPr="002C4B57">
              <w:rPr>
                <w:rFonts w:ascii="Calibri" w:eastAsia="Times New Roman" w:hAnsi="Calibri"/>
                <w:color w:val="404040"/>
                <w:szCs w:val="20"/>
              </w:rPr>
              <w:t>Central City</w:t>
            </w:r>
          </w:p>
        </w:tc>
        <w:tc>
          <w:tcPr>
            <w:tcW w:w="2040" w:type="dxa"/>
            <w:tcBorders>
              <w:top w:val="nil"/>
              <w:left w:val="nil"/>
              <w:bottom w:val="single" w:sz="4" w:space="0" w:color="auto"/>
              <w:right w:val="single" w:sz="4" w:space="0" w:color="auto"/>
            </w:tcBorders>
            <w:shd w:val="clear" w:color="auto" w:fill="auto"/>
            <w:noWrap/>
            <w:vAlign w:val="bottom"/>
            <w:hideMark/>
          </w:tcPr>
          <w:p w14:paraId="01B3F58F" w14:textId="77777777" w:rsidR="00B10F1E" w:rsidRPr="002C4B57" w:rsidRDefault="00B10F1E" w:rsidP="00816745">
            <w:pPr>
              <w:jc w:val="center"/>
              <w:rPr>
                <w:rFonts w:ascii="Calibri" w:eastAsia="Times New Roman" w:hAnsi="Calibri"/>
                <w:color w:val="404040"/>
                <w:szCs w:val="20"/>
              </w:rPr>
            </w:pPr>
            <w:r>
              <w:rPr>
                <w:rFonts w:ascii="Calibri" w:eastAsia="Times New Roman" w:hAnsi="Calibri"/>
                <w:color w:val="404040"/>
                <w:szCs w:val="20"/>
              </w:rPr>
              <w:t>23%</w:t>
            </w:r>
          </w:p>
        </w:tc>
        <w:tc>
          <w:tcPr>
            <w:tcW w:w="1740" w:type="dxa"/>
            <w:tcBorders>
              <w:top w:val="nil"/>
              <w:left w:val="nil"/>
              <w:bottom w:val="single" w:sz="4" w:space="0" w:color="auto"/>
              <w:right w:val="single" w:sz="4" w:space="0" w:color="auto"/>
            </w:tcBorders>
            <w:shd w:val="clear" w:color="auto" w:fill="auto"/>
            <w:noWrap/>
            <w:vAlign w:val="bottom"/>
            <w:hideMark/>
          </w:tcPr>
          <w:p w14:paraId="6FE01802" w14:textId="77777777" w:rsidR="00B10F1E" w:rsidRPr="009729F1" w:rsidRDefault="00B10F1E" w:rsidP="00816745">
            <w:pPr>
              <w:jc w:val="center"/>
              <w:rPr>
                <w:rFonts w:ascii="Calibri" w:eastAsia="Times New Roman" w:hAnsi="Calibri"/>
                <w:color w:val="404040"/>
                <w:szCs w:val="20"/>
                <w:highlight w:val="yellow"/>
              </w:rPr>
            </w:pPr>
            <w:r>
              <w:rPr>
                <w:rFonts w:ascii="Calibri" w:eastAsia="Times New Roman" w:hAnsi="Calibri"/>
                <w:color w:val="404040"/>
                <w:szCs w:val="20"/>
              </w:rPr>
              <w:t>4.6</w:t>
            </w:r>
            <w:r w:rsidRPr="008C584D">
              <w:rPr>
                <w:rFonts w:ascii="Calibri" w:eastAsia="Times New Roman" w:hAnsi="Calibri"/>
                <w:color w:val="404040"/>
                <w:szCs w:val="20"/>
              </w:rPr>
              <w:t>%</w:t>
            </w:r>
          </w:p>
        </w:tc>
        <w:tc>
          <w:tcPr>
            <w:tcW w:w="4770" w:type="dxa"/>
            <w:tcBorders>
              <w:top w:val="nil"/>
              <w:left w:val="nil"/>
              <w:bottom w:val="single" w:sz="4" w:space="0" w:color="auto"/>
              <w:right w:val="single" w:sz="4" w:space="0" w:color="auto"/>
            </w:tcBorders>
            <w:shd w:val="clear" w:color="auto" w:fill="auto"/>
            <w:vAlign w:val="bottom"/>
            <w:hideMark/>
          </w:tcPr>
          <w:p w14:paraId="0305F341" w14:textId="77777777" w:rsidR="00B10F1E" w:rsidRPr="002C4B57" w:rsidRDefault="00B10F1E" w:rsidP="00816745">
            <w:pPr>
              <w:rPr>
                <w:rFonts w:ascii="Calibri" w:eastAsia="Times New Roman" w:hAnsi="Calibri"/>
                <w:color w:val="404040"/>
                <w:szCs w:val="20"/>
              </w:rPr>
            </w:pPr>
            <w:r w:rsidRPr="002C4B57">
              <w:rPr>
                <w:rFonts w:ascii="Calibri" w:eastAsia="Times New Roman" w:hAnsi="Calibri"/>
                <w:color w:val="404040"/>
                <w:szCs w:val="20"/>
              </w:rPr>
              <w:t>Projects include: Street infrastructure and economic development activities</w:t>
            </w:r>
          </w:p>
        </w:tc>
      </w:tr>
      <w:tr w:rsidR="00B10F1E" w:rsidRPr="006723EF" w14:paraId="63162990" w14:textId="77777777" w:rsidTr="00816745">
        <w:trPr>
          <w:trHeight w:val="864"/>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554CFBD8" w14:textId="77777777" w:rsidR="00B10F1E" w:rsidRPr="002C4B57" w:rsidRDefault="00B10F1E" w:rsidP="00816745">
            <w:pPr>
              <w:rPr>
                <w:rFonts w:ascii="Calibri" w:eastAsia="Times New Roman" w:hAnsi="Calibri"/>
                <w:color w:val="404040"/>
                <w:szCs w:val="20"/>
              </w:rPr>
            </w:pPr>
            <w:r w:rsidRPr="002C4B57">
              <w:rPr>
                <w:rFonts w:ascii="Calibri" w:eastAsia="Times New Roman" w:hAnsi="Calibri"/>
                <w:color w:val="404040"/>
                <w:szCs w:val="20"/>
              </w:rPr>
              <w:t>Poplar Grove</w:t>
            </w:r>
          </w:p>
        </w:tc>
        <w:tc>
          <w:tcPr>
            <w:tcW w:w="2040" w:type="dxa"/>
            <w:tcBorders>
              <w:top w:val="nil"/>
              <w:left w:val="nil"/>
              <w:bottom w:val="single" w:sz="4" w:space="0" w:color="auto"/>
              <w:right w:val="single" w:sz="4" w:space="0" w:color="auto"/>
            </w:tcBorders>
            <w:shd w:val="clear" w:color="auto" w:fill="auto"/>
            <w:noWrap/>
            <w:vAlign w:val="bottom"/>
            <w:hideMark/>
          </w:tcPr>
          <w:p w14:paraId="056667D6" w14:textId="77777777" w:rsidR="00B10F1E" w:rsidRPr="002C4B57" w:rsidRDefault="00B10F1E" w:rsidP="00816745">
            <w:pPr>
              <w:jc w:val="center"/>
              <w:rPr>
                <w:rFonts w:ascii="Calibri" w:eastAsia="Times New Roman" w:hAnsi="Calibri"/>
                <w:color w:val="404040"/>
                <w:szCs w:val="20"/>
              </w:rPr>
            </w:pPr>
            <w:r>
              <w:rPr>
                <w:rFonts w:ascii="Calibri" w:eastAsia="Times New Roman" w:hAnsi="Calibri"/>
                <w:color w:val="404040"/>
                <w:szCs w:val="20"/>
              </w:rPr>
              <w:t>20%</w:t>
            </w:r>
          </w:p>
        </w:tc>
        <w:tc>
          <w:tcPr>
            <w:tcW w:w="1740" w:type="dxa"/>
            <w:tcBorders>
              <w:top w:val="nil"/>
              <w:left w:val="nil"/>
              <w:bottom w:val="single" w:sz="4" w:space="0" w:color="auto"/>
              <w:right w:val="single" w:sz="4" w:space="0" w:color="auto"/>
            </w:tcBorders>
            <w:shd w:val="clear" w:color="auto" w:fill="auto"/>
            <w:noWrap/>
            <w:vAlign w:val="bottom"/>
            <w:hideMark/>
          </w:tcPr>
          <w:p w14:paraId="44AA3277" w14:textId="624D9388" w:rsidR="00B10F1E" w:rsidRPr="009729F1" w:rsidRDefault="0072633A" w:rsidP="00816745">
            <w:pPr>
              <w:jc w:val="center"/>
              <w:rPr>
                <w:rFonts w:ascii="Calibri" w:eastAsia="Times New Roman" w:hAnsi="Calibri"/>
                <w:color w:val="404040"/>
                <w:szCs w:val="20"/>
                <w:highlight w:val="yellow"/>
              </w:rPr>
            </w:pPr>
            <w:r>
              <w:rPr>
                <w:rFonts w:ascii="Calibri" w:eastAsia="Times New Roman" w:hAnsi="Calibri"/>
                <w:color w:val="404040"/>
                <w:szCs w:val="20"/>
              </w:rPr>
              <w:t>34</w:t>
            </w:r>
            <w:r w:rsidR="00B10F1E" w:rsidRPr="008C584D">
              <w:rPr>
                <w:rFonts w:ascii="Calibri" w:eastAsia="Times New Roman" w:hAnsi="Calibri"/>
                <w:color w:val="404040"/>
                <w:szCs w:val="20"/>
              </w:rPr>
              <w:t>%</w:t>
            </w:r>
          </w:p>
        </w:tc>
        <w:tc>
          <w:tcPr>
            <w:tcW w:w="4770" w:type="dxa"/>
            <w:tcBorders>
              <w:top w:val="nil"/>
              <w:left w:val="nil"/>
              <w:bottom w:val="single" w:sz="4" w:space="0" w:color="auto"/>
              <w:right w:val="single" w:sz="4" w:space="0" w:color="auto"/>
            </w:tcBorders>
            <w:shd w:val="clear" w:color="auto" w:fill="auto"/>
            <w:vAlign w:val="bottom"/>
            <w:hideMark/>
          </w:tcPr>
          <w:p w14:paraId="505EE223" w14:textId="77777777" w:rsidR="00B10F1E" w:rsidRPr="002C4B57" w:rsidRDefault="00B10F1E" w:rsidP="00816745">
            <w:pPr>
              <w:rPr>
                <w:rFonts w:ascii="Calibri" w:eastAsia="Times New Roman" w:hAnsi="Calibri"/>
                <w:color w:val="404040"/>
                <w:szCs w:val="20"/>
              </w:rPr>
            </w:pPr>
            <w:r w:rsidRPr="002C4B57">
              <w:rPr>
                <w:rFonts w:ascii="Calibri" w:eastAsia="Times New Roman" w:hAnsi="Calibri"/>
                <w:color w:val="404040"/>
                <w:szCs w:val="20"/>
              </w:rPr>
              <w:t xml:space="preserve">Projects include: Green space improvements, street infrastructure improvements, </w:t>
            </w:r>
            <w:r>
              <w:rPr>
                <w:rFonts w:ascii="Calibri" w:eastAsia="Times New Roman" w:hAnsi="Calibri"/>
                <w:color w:val="404040"/>
                <w:szCs w:val="20"/>
              </w:rPr>
              <w:t xml:space="preserve">and </w:t>
            </w:r>
            <w:r w:rsidRPr="002C4B57">
              <w:rPr>
                <w:rFonts w:ascii="Calibri" w:eastAsia="Times New Roman" w:hAnsi="Calibri"/>
                <w:color w:val="404040"/>
                <w:szCs w:val="20"/>
              </w:rPr>
              <w:t>economic development activities</w:t>
            </w:r>
          </w:p>
        </w:tc>
      </w:tr>
    </w:tbl>
    <w:p w14:paraId="644552C6" w14:textId="77777777" w:rsidR="00B10F1E" w:rsidRPr="006723EF" w:rsidRDefault="00B10F1E" w:rsidP="00B10F1E">
      <w:pPr>
        <w:spacing w:line="276" w:lineRule="auto"/>
        <w:ind w:right="360"/>
        <w:rPr>
          <w:rFonts w:asciiTheme="minorHAnsi" w:hAnsiTheme="minorHAnsi" w:cstheme="minorHAnsi"/>
          <w:b/>
          <w:color w:val="FF0000"/>
          <w:szCs w:val="20"/>
        </w:rPr>
      </w:pPr>
    </w:p>
    <w:p w14:paraId="5285717C" w14:textId="77777777" w:rsidR="00B10F1E" w:rsidRDefault="00B10F1E" w:rsidP="00B10F1E">
      <w:pPr>
        <w:spacing w:line="276" w:lineRule="auto"/>
        <w:ind w:right="360"/>
        <w:rPr>
          <w:rFonts w:asciiTheme="minorHAnsi" w:hAnsiTheme="minorHAnsi" w:cstheme="minorHAnsi"/>
          <w:b/>
          <w:color w:val="FF0000"/>
          <w:szCs w:val="20"/>
        </w:rPr>
      </w:pPr>
    </w:p>
    <w:p w14:paraId="645F900A" w14:textId="7A78FF2D" w:rsidR="00B10F1E" w:rsidRDefault="00B10F1E" w:rsidP="00B10F1E">
      <w:pPr>
        <w:overflowPunct w:val="0"/>
        <w:autoSpaceDE w:val="0"/>
        <w:autoSpaceDN w:val="0"/>
        <w:adjustRightInd w:val="0"/>
        <w:spacing w:line="336" w:lineRule="auto"/>
        <w:textAlignment w:val="baseline"/>
        <w:rPr>
          <w:rFonts w:asciiTheme="minorHAnsi" w:hAnsiTheme="minorHAnsi" w:cstheme="minorHAnsi"/>
          <w:color w:val="404040" w:themeColor="text1" w:themeTint="BF"/>
          <w:szCs w:val="20"/>
        </w:rPr>
      </w:pPr>
      <w:r>
        <w:rPr>
          <w:rFonts w:asciiTheme="minorHAnsi" w:hAnsiTheme="minorHAnsi" w:cstheme="minorHAnsi"/>
          <w:color w:val="404040" w:themeColor="text1" w:themeTint="BF"/>
          <w:szCs w:val="20"/>
        </w:rPr>
        <w:t xml:space="preserve">Salt Lake City allocated </w:t>
      </w:r>
      <w:r w:rsidRPr="002C4B57">
        <w:rPr>
          <w:rFonts w:asciiTheme="minorHAnsi" w:hAnsiTheme="minorHAnsi" w:cstheme="minorHAnsi"/>
          <w:color w:val="404040" w:themeColor="text1" w:themeTint="BF"/>
          <w:szCs w:val="20"/>
        </w:rPr>
        <w:t xml:space="preserve">a total of </w:t>
      </w:r>
      <w:r>
        <w:rPr>
          <w:rFonts w:asciiTheme="minorHAnsi" w:hAnsiTheme="minorHAnsi" w:cstheme="minorHAnsi"/>
          <w:color w:val="404040" w:themeColor="text1" w:themeTint="BF"/>
          <w:szCs w:val="20"/>
        </w:rPr>
        <w:t>3</w:t>
      </w:r>
      <w:r w:rsidR="0072633A">
        <w:rPr>
          <w:rFonts w:asciiTheme="minorHAnsi" w:hAnsiTheme="minorHAnsi" w:cstheme="minorHAnsi"/>
          <w:color w:val="404040" w:themeColor="text1" w:themeTint="BF"/>
          <w:szCs w:val="20"/>
        </w:rPr>
        <w:t>8.6</w:t>
      </w:r>
      <w:r w:rsidRPr="009069EF">
        <w:rPr>
          <w:rFonts w:asciiTheme="minorHAnsi" w:hAnsiTheme="minorHAnsi" w:cstheme="minorHAnsi"/>
          <w:color w:val="404040" w:themeColor="text1" w:themeTint="BF"/>
          <w:szCs w:val="20"/>
        </w:rPr>
        <w:t>%</w:t>
      </w:r>
      <w:r w:rsidRPr="002C4B57">
        <w:rPr>
          <w:rFonts w:asciiTheme="minorHAnsi" w:hAnsiTheme="minorHAnsi" w:cstheme="minorHAnsi"/>
          <w:color w:val="404040" w:themeColor="text1" w:themeTint="BF"/>
          <w:szCs w:val="20"/>
        </w:rPr>
        <w:t xml:space="preserve"> of</w:t>
      </w:r>
      <w:r>
        <w:rPr>
          <w:rFonts w:asciiTheme="minorHAnsi" w:hAnsiTheme="minorHAnsi" w:cstheme="minorHAnsi"/>
          <w:color w:val="404040" w:themeColor="text1" w:themeTint="BF"/>
          <w:szCs w:val="20"/>
        </w:rPr>
        <w:t xml:space="preserve"> CDBG funds available to the Central City &amp; Poplar Grove neighborhoods. These funds were allocated to improve street infrastructure, including addressing accessibility needs; improving green space infrastructure; and economi</w:t>
      </w:r>
      <w:r w:rsidR="00EC57C4">
        <w:rPr>
          <w:rFonts w:asciiTheme="minorHAnsi" w:hAnsiTheme="minorHAnsi" w:cstheme="minorHAnsi"/>
          <w:color w:val="404040" w:themeColor="text1" w:themeTint="BF"/>
          <w:szCs w:val="20"/>
        </w:rPr>
        <w:t xml:space="preserve">c development façade programs. </w:t>
      </w:r>
      <w:r>
        <w:rPr>
          <w:rFonts w:asciiTheme="minorHAnsi" w:hAnsiTheme="minorHAnsi" w:cstheme="minorHAnsi"/>
          <w:color w:val="404040" w:themeColor="text1" w:themeTint="BF"/>
          <w:szCs w:val="20"/>
        </w:rPr>
        <w:t xml:space="preserve">The City also supported affordable housing efforts within this area, however these programs were available throughout the City to income eligible residents and not just isolated to these two target areas. Because of the City’s Westside Masterplan, more of the allocated money was directed towards the Poplar Grove area.  </w:t>
      </w:r>
    </w:p>
    <w:p w14:paraId="4125C259" w14:textId="77777777" w:rsidR="00B10F1E" w:rsidRDefault="00B10F1E" w:rsidP="00B10F1E">
      <w:pPr>
        <w:overflowPunct w:val="0"/>
        <w:autoSpaceDE w:val="0"/>
        <w:autoSpaceDN w:val="0"/>
        <w:adjustRightInd w:val="0"/>
        <w:spacing w:line="336" w:lineRule="auto"/>
        <w:textAlignment w:val="baseline"/>
        <w:rPr>
          <w:rFonts w:asciiTheme="minorHAnsi" w:hAnsiTheme="minorHAnsi" w:cstheme="minorHAnsi"/>
          <w:color w:val="404040" w:themeColor="text1" w:themeTint="BF"/>
          <w:szCs w:val="20"/>
        </w:rPr>
      </w:pPr>
    </w:p>
    <w:p w14:paraId="609DADB1" w14:textId="77777777" w:rsidR="00B10F1E" w:rsidRDefault="00B10F1E" w:rsidP="00B10F1E">
      <w:pPr>
        <w:overflowPunct w:val="0"/>
        <w:autoSpaceDE w:val="0"/>
        <w:autoSpaceDN w:val="0"/>
        <w:adjustRightInd w:val="0"/>
        <w:spacing w:line="336" w:lineRule="auto"/>
        <w:textAlignment w:val="baseline"/>
        <w:rPr>
          <w:rFonts w:asciiTheme="minorHAnsi" w:hAnsiTheme="minorHAnsi" w:cstheme="minorHAnsi"/>
          <w:color w:val="404040" w:themeColor="text1" w:themeTint="BF"/>
          <w:szCs w:val="20"/>
        </w:rPr>
      </w:pPr>
      <w:r w:rsidRPr="00A76C19">
        <w:rPr>
          <w:rFonts w:asciiTheme="minorHAnsi" w:hAnsiTheme="minorHAnsi" w:cstheme="minorHAnsi"/>
          <w:color w:val="404040" w:themeColor="text1" w:themeTint="BF"/>
          <w:szCs w:val="20"/>
        </w:rPr>
        <w:t>The CDBG program’s primary objective is to promote the development of viable urban communities by providing decent housing, suitable living environments and expanded economic actives to persons of low and moderate income. To support the CDBG program’s primary objectives, Salt Lake City</w:t>
      </w:r>
      <w:r>
        <w:rPr>
          <w:rFonts w:asciiTheme="minorHAnsi" w:hAnsiTheme="minorHAnsi" w:cstheme="minorHAnsi"/>
          <w:color w:val="404040" w:themeColor="text1" w:themeTint="BF"/>
          <w:szCs w:val="20"/>
        </w:rPr>
        <w:t xml:space="preserve"> has directed funding to local target areas to build capacity and expand resources within concentrated areas of poverty.</w:t>
      </w:r>
    </w:p>
    <w:p w14:paraId="1C1D4595" w14:textId="77777777" w:rsidR="00B10F1E" w:rsidRDefault="00B10F1E" w:rsidP="00B10F1E">
      <w:pPr>
        <w:overflowPunct w:val="0"/>
        <w:autoSpaceDE w:val="0"/>
        <w:autoSpaceDN w:val="0"/>
        <w:adjustRightInd w:val="0"/>
        <w:spacing w:line="336" w:lineRule="auto"/>
        <w:textAlignment w:val="baseline"/>
        <w:rPr>
          <w:rFonts w:asciiTheme="minorHAnsi" w:hAnsiTheme="minorHAnsi" w:cstheme="minorHAnsi"/>
          <w:color w:val="404040" w:themeColor="text1" w:themeTint="BF"/>
          <w:szCs w:val="20"/>
        </w:rPr>
      </w:pPr>
      <w:r>
        <w:rPr>
          <w:rFonts w:asciiTheme="minorHAnsi" w:hAnsiTheme="minorHAnsi" w:cstheme="minorHAnsi"/>
          <w:color w:val="404040" w:themeColor="text1" w:themeTint="BF"/>
          <w:szCs w:val="20"/>
        </w:rPr>
        <w:t xml:space="preserve"> </w:t>
      </w:r>
    </w:p>
    <w:p w14:paraId="2A031649" w14:textId="77777777" w:rsidR="00B10F1E" w:rsidRPr="00A76C19" w:rsidRDefault="00B10F1E" w:rsidP="00B10F1E">
      <w:pPr>
        <w:spacing w:line="336" w:lineRule="auto"/>
        <w:rPr>
          <w:rFonts w:asciiTheme="minorHAnsi" w:hAnsiTheme="minorHAnsi"/>
          <w:color w:val="404040" w:themeColor="text1" w:themeTint="BF"/>
          <w:szCs w:val="20"/>
        </w:rPr>
      </w:pPr>
      <w:r w:rsidRPr="00A76C19">
        <w:rPr>
          <w:rFonts w:asciiTheme="minorHAnsi" w:hAnsiTheme="minorHAnsi"/>
          <w:color w:val="404040" w:themeColor="text1" w:themeTint="BF"/>
          <w:szCs w:val="20"/>
        </w:rPr>
        <w:t xml:space="preserve">Salt Lake City’s Division of Housing and Neighborhood Development, along with internal and community stakeholders, identified the Central City/Central Ninth and Poplar Grove target areas through an extensive process that included data analysis, identification of opportunities/barriers, and an evaluation of potential resources. Through this process, the Central City and Poplar Grove neighborhoods were identified as areas where a concentration of resources would make significant impacts within the community. </w:t>
      </w:r>
    </w:p>
    <w:p w14:paraId="537AA7FD" w14:textId="77777777" w:rsidR="00B10F1E" w:rsidRPr="00A76C19" w:rsidRDefault="00B10F1E" w:rsidP="00B10F1E">
      <w:pPr>
        <w:spacing w:line="336" w:lineRule="auto"/>
        <w:rPr>
          <w:rFonts w:asciiTheme="minorHAnsi" w:hAnsiTheme="minorHAnsi"/>
          <w:color w:val="404040" w:themeColor="text1" w:themeTint="BF"/>
          <w:szCs w:val="20"/>
        </w:rPr>
      </w:pPr>
    </w:p>
    <w:p w14:paraId="238B7AF7" w14:textId="77777777" w:rsidR="00B10F1E" w:rsidRPr="00A76C19" w:rsidRDefault="00B10F1E" w:rsidP="00B10F1E">
      <w:pPr>
        <w:spacing w:line="336" w:lineRule="auto"/>
        <w:rPr>
          <w:rFonts w:asciiTheme="minorHAnsi" w:hAnsiTheme="minorHAnsi"/>
          <w:color w:val="404040" w:themeColor="text1" w:themeTint="BF"/>
          <w:szCs w:val="20"/>
        </w:rPr>
      </w:pPr>
      <w:r w:rsidRPr="00A76C19">
        <w:rPr>
          <w:rFonts w:asciiTheme="minorHAnsi" w:hAnsiTheme="minorHAnsi"/>
          <w:color w:val="404040" w:themeColor="text1" w:themeTint="BF"/>
          <w:szCs w:val="20"/>
        </w:rPr>
        <w:t>Of particular importance is to direct resources to expand opportunity within racial/ethnic concentrated areas of poverty. According to HUD, neighborhoods of concentrated poverty isolate residents from the resources and networks needed to reach their potential. The concentration of poverty can influence outcomes relating to crime, delinquency, education, physiological distress, and various health problems.</w:t>
      </w:r>
      <w:r w:rsidRPr="00A76C19">
        <w:rPr>
          <w:rStyle w:val="FootnoteReference"/>
          <w:rFonts w:asciiTheme="minorHAnsi" w:hAnsiTheme="minorHAnsi"/>
          <w:color w:val="404040" w:themeColor="text1" w:themeTint="BF"/>
          <w:szCs w:val="20"/>
        </w:rPr>
        <w:footnoteReference w:id="1"/>
      </w:r>
      <w:r w:rsidRPr="00A76C19">
        <w:rPr>
          <w:rFonts w:asciiTheme="minorHAnsi" w:hAnsiTheme="minorHAnsi"/>
          <w:color w:val="404040" w:themeColor="text1" w:themeTint="BF"/>
          <w:szCs w:val="20"/>
        </w:rPr>
        <w:t xml:space="preserve"> Salt Lake City intends to expand opportunity within the target areas to limit intergenerational poverty and increase access to community assets.</w:t>
      </w:r>
    </w:p>
    <w:p w14:paraId="38F91858" w14:textId="77777777" w:rsidR="00B10F1E" w:rsidRDefault="00B10F1E" w:rsidP="00B10F1E">
      <w:pPr>
        <w:spacing w:line="276" w:lineRule="auto"/>
        <w:ind w:right="360"/>
        <w:rPr>
          <w:rFonts w:asciiTheme="minorHAnsi" w:hAnsiTheme="minorHAnsi" w:cstheme="minorHAnsi"/>
          <w:b/>
          <w:color w:val="FF0000"/>
          <w:szCs w:val="20"/>
        </w:rPr>
      </w:pPr>
    </w:p>
    <w:p w14:paraId="4727ADCD" w14:textId="77777777" w:rsidR="00B10F1E" w:rsidRPr="009161F7" w:rsidRDefault="00B10F1E" w:rsidP="00B10F1E">
      <w:pPr>
        <w:spacing w:line="276" w:lineRule="auto"/>
        <w:ind w:right="360"/>
        <w:rPr>
          <w:rFonts w:asciiTheme="minorHAnsi" w:hAnsiTheme="minorHAnsi" w:cstheme="minorHAnsi"/>
          <w:b/>
          <w:color w:val="404040" w:themeColor="text1" w:themeTint="BF"/>
          <w:szCs w:val="20"/>
        </w:rPr>
      </w:pPr>
      <w:r w:rsidRPr="009161F7">
        <w:rPr>
          <w:rFonts w:asciiTheme="minorHAnsi" w:hAnsiTheme="minorHAnsi" w:cstheme="minorHAnsi"/>
          <w:b/>
          <w:color w:val="404040" w:themeColor="text1" w:themeTint="BF"/>
          <w:szCs w:val="20"/>
        </w:rPr>
        <w:t>LEVERAGING</w:t>
      </w:r>
    </w:p>
    <w:p w14:paraId="58437666" w14:textId="77777777" w:rsidR="00B10F1E" w:rsidRPr="009161F7" w:rsidRDefault="00B10F1E" w:rsidP="00B10F1E">
      <w:pPr>
        <w:spacing w:line="276" w:lineRule="auto"/>
        <w:ind w:right="360"/>
        <w:rPr>
          <w:rFonts w:asciiTheme="minorHAnsi" w:hAnsiTheme="minorHAnsi" w:cstheme="minorHAnsi"/>
          <w:i/>
          <w:color w:val="404040" w:themeColor="text1" w:themeTint="BF"/>
          <w:szCs w:val="20"/>
        </w:rPr>
      </w:pPr>
      <w:r w:rsidRPr="009161F7">
        <w:rPr>
          <w:rFonts w:asciiTheme="minorHAnsi" w:hAnsiTheme="minorHAnsi" w:cstheme="minorHAnsi"/>
          <w:i/>
          <w:color w:val="404040" w:themeColor="text1" w:themeTint="BF"/>
          <w:szCs w:val="20"/>
        </w:rPr>
        <w:t>Explain how federal funds leveraged additional resources (private, state, and local funds), including a description of how matching requirements were satisfied, as well as how any publicly owned land or property located within the jurisdiction that were used to address the needs identified in the plan.</w:t>
      </w:r>
    </w:p>
    <w:p w14:paraId="2F221A98" w14:textId="77777777" w:rsidR="00B10F1E" w:rsidRPr="009161F7" w:rsidRDefault="00B10F1E" w:rsidP="00B10F1E">
      <w:pPr>
        <w:spacing w:line="360" w:lineRule="auto"/>
        <w:ind w:right="360"/>
        <w:rPr>
          <w:rFonts w:asciiTheme="minorHAnsi" w:hAnsiTheme="minorHAnsi" w:cstheme="minorHAnsi"/>
          <w:b/>
          <w:color w:val="404040" w:themeColor="text1" w:themeTint="BF"/>
          <w:szCs w:val="20"/>
        </w:rPr>
      </w:pPr>
    </w:p>
    <w:p w14:paraId="4A631681" w14:textId="77777777" w:rsidR="00B10F1E" w:rsidRPr="009161F7" w:rsidRDefault="00B10F1E" w:rsidP="00B10F1E">
      <w:pPr>
        <w:autoSpaceDE w:val="0"/>
        <w:autoSpaceDN w:val="0"/>
        <w:adjustRightInd w:val="0"/>
        <w:spacing w:line="360" w:lineRule="auto"/>
        <w:rPr>
          <w:rFonts w:asciiTheme="minorHAnsi" w:hAnsiTheme="minorHAnsi" w:cs="Candara"/>
          <w:color w:val="404040" w:themeColor="text1" w:themeTint="BF"/>
          <w:szCs w:val="20"/>
          <w:u w:val="single"/>
        </w:rPr>
      </w:pPr>
      <w:r w:rsidRPr="009161F7">
        <w:rPr>
          <w:rFonts w:asciiTheme="minorHAnsi" w:hAnsiTheme="minorHAnsi" w:cs="Candara"/>
          <w:color w:val="404040" w:themeColor="text1" w:themeTint="BF"/>
          <w:szCs w:val="20"/>
          <w:u w:val="single"/>
        </w:rPr>
        <w:t>Match Requirements</w:t>
      </w:r>
    </w:p>
    <w:p w14:paraId="5663322C" w14:textId="77777777" w:rsidR="00B10F1E" w:rsidRPr="009161F7" w:rsidRDefault="00B10F1E" w:rsidP="00B10F1E">
      <w:pPr>
        <w:autoSpaceDE w:val="0"/>
        <w:autoSpaceDN w:val="0"/>
        <w:adjustRightInd w:val="0"/>
        <w:spacing w:line="360" w:lineRule="auto"/>
        <w:rPr>
          <w:rFonts w:asciiTheme="minorHAnsi" w:hAnsiTheme="minorHAnsi" w:cs="Candara"/>
          <w:color w:val="404040" w:themeColor="text1" w:themeTint="BF"/>
          <w:szCs w:val="20"/>
        </w:rPr>
      </w:pPr>
      <w:r w:rsidRPr="009161F7">
        <w:rPr>
          <w:rFonts w:asciiTheme="minorHAnsi" w:hAnsiTheme="minorHAnsi" w:cs="Candara"/>
          <w:color w:val="404040" w:themeColor="text1" w:themeTint="BF"/>
          <w:szCs w:val="20"/>
        </w:rPr>
        <w:t xml:space="preserve">HUD, like many other federal agencies, encourages the recipients of federal monies to demonstrate that efforts are being made to strategically leverage additional funds in order to achieve greater results. Leverage is also a way to increase project efficiencies and benefit from economies of scale that often come with combining sources of funding for similar or expanded scopes. </w:t>
      </w:r>
    </w:p>
    <w:p w14:paraId="36889D9F" w14:textId="77777777" w:rsidR="00B10F1E" w:rsidRPr="009161F7" w:rsidRDefault="00B10F1E" w:rsidP="00B10F1E">
      <w:pPr>
        <w:pStyle w:val="ListParagraph"/>
        <w:numPr>
          <w:ilvl w:val="0"/>
          <w:numId w:val="20"/>
        </w:numPr>
        <w:autoSpaceDE w:val="0"/>
        <w:autoSpaceDN w:val="0"/>
        <w:adjustRightInd w:val="0"/>
        <w:spacing w:line="360" w:lineRule="auto"/>
        <w:ind w:left="720"/>
        <w:rPr>
          <w:rFonts w:asciiTheme="minorHAnsi" w:hAnsiTheme="minorHAnsi" w:cs="Candara"/>
          <w:color w:val="404040" w:themeColor="text1" w:themeTint="BF"/>
          <w:szCs w:val="20"/>
        </w:rPr>
      </w:pPr>
      <w:r w:rsidRPr="009161F7">
        <w:rPr>
          <w:rFonts w:asciiTheme="minorHAnsi" w:hAnsiTheme="minorHAnsi" w:cs="Candara"/>
          <w:color w:val="404040" w:themeColor="text1" w:themeTint="BF"/>
          <w:szCs w:val="20"/>
        </w:rPr>
        <w:t>HOME Investment Partnership Program – 25% Match Requirement</w:t>
      </w:r>
    </w:p>
    <w:p w14:paraId="3213BC39" w14:textId="77777777" w:rsidR="00B10F1E" w:rsidRPr="009161F7" w:rsidRDefault="00B10F1E" w:rsidP="00B10F1E">
      <w:pPr>
        <w:autoSpaceDE w:val="0"/>
        <w:autoSpaceDN w:val="0"/>
        <w:adjustRightInd w:val="0"/>
        <w:spacing w:line="360" w:lineRule="auto"/>
        <w:ind w:left="720"/>
        <w:rPr>
          <w:rFonts w:asciiTheme="minorHAnsi" w:hAnsiTheme="minorHAnsi" w:cs="Candara"/>
          <w:color w:val="FF0000"/>
          <w:szCs w:val="20"/>
        </w:rPr>
      </w:pPr>
      <w:r w:rsidRPr="009161F7">
        <w:rPr>
          <w:rFonts w:asciiTheme="minorHAnsi" w:hAnsiTheme="minorHAnsi" w:cs="Candara"/>
          <w:color w:val="404040" w:themeColor="text1" w:themeTint="BF"/>
          <w:szCs w:val="20"/>
        </w:rPr>
        <w:t>Salt Lak</w:t>
      </w:r>
      <w:r w:rsidRPr="004A36EE">
        <w:rPr>
          <w:rFonts w:asciiTheme="minorHAnsi" w:hAnsiTheme="minorHAnsi" w:cs="Candara"/>
          <w:color w:val="404040" w:themeColor="text1" w:themeTint="BF"/>
          <w:szCs w:val="20"/>
        </w:rPr>
        <w:t xml:space="preserve">e City ensures that HOME match requirements are met by utilizing the leveraging capacity of its subrecipients.  Funding sources used to meet the HOME match requirements include waived impact fees. </w:t>
      </w:r>
      <w:r w:rsidRPr="004A36EE">
        <w:rPr>
          <w:rFonts w:asciiTheme="minorHAnsi" w:hAnsiTheme="minorHAnsi"/>
          <w:color w:val="404040" w:themeColor="text1" w:themeTint="BF"/>
          <w:shd w:val="clear" w:color="auto" w:fill="FFFFFF"/>
        </w:rPr>
        <w:t>Impact fees are payments required by the City of new development for the purpose of providing new or expanded public capital facilities required to serve that development. In an effort to encourage affordable housing development, the City waives these fees on a case by case basis</w:t>
      </w:r>
      <w:r>
        <w:rPr>
          <w:rFonts w:asciiTheme="minorHAnsi" w:hAnsiTheme="minorHAnsi"/>
          <w:color w:val="404040" w:themeColor="text1" w:themeTint="BF"/>
          <w:shd w:val="clear" w:color="auto" w:fill="FFFFFF"/>
        </w:rPr>
        <w:t>, contingent upon the number of affordable units being provided in the development project</w:t>
      </w:r>
      <w:r w:rsidRPr="004A36EE">
        <w:rPr>
          <w:rFonts w:asciiTheme="minorHAnsi" w:hAnsiTheme="minorHAnsi"/>
          <w:color w:val="404040" w:themeColor="text1" w:themeTint="BF"/>
          <w:shd w:val="clear" w:color="auto" w:fill="FFFFFF"/>
        </w:rPr>
        <w:t xml:space="preserve">. </w:t>
      </w:r>
    </w:p>
    <w:p w14:paraId="3A2899EB" w14:textId="77777777" w:rsidR="00B10F1E" w:rsidRPr="009161F7" w:rsidRDefault="00B10F1E" w:rsidP="00B10F1E">
      <w:pPr>
        <w:autoSpaceDE w:val="0"/>
        <w:autoSpaceDN w:val="0"/>
        <w:adjustRightInd w:val="0"/>
        <w:spacing w:line="360" w:lineRule="auto"/>
        <w:rPr>
          <w:rFonts w:asciiTheme="minorHAnsi" w:hAnsiTheme="minorHAnsi" w:cs="Candara"/>
          <w:color w:val="404040" w:themeColor="text1" w:themeTint="BF"/>
          <w:szCs w:val="20"/>
        </w:rPr>
      </w:pPr>
    </w:p>
    <w:p w14:paraId="42A5A396" w14:textId="77777777" w:rsidR="00B10F1E" w:rsidRPr="009161F7" w:rsidRDefault="00B10F1E" w:rsidP="00B10F1E">
      <w:pPr>
        <w:pStyle w:val="ListParagraph"/>
        <w:numPr>
          <w:ilvl w:val="0"/>
          <w:numId w:val="20"/>
        </w:numPr>
        <w:autoSpaceDE w:val="0"/>
        <w:autoSpaceDN w:val="0"/>
        <w:adjustRightInd w:val="0"/>
        <w:spacing w:line="360" w:lineRule="auto"/>
        <w:ind w:left="720"/>
        <w:rPr>
          <w:rFonts w:asciiTheme="minorHAnsi" w:hAnsiTheme="minorHAnsi" w:cs="Candara"/>
          <w:color w:val="404040" w:themeColor="text1" w:themeTint="BF"/>
          <w:szCs w:val="20"/>
        </w:rPr>
      </w:pPr>
      <w:r w:rsidRPr="009161F7">
        <w:rPr>
          <w:rFonts w:asciiTheme="minorHAnsi" w:hAnsiTheme="minorHAnsi" w:cs="Candara"/>
          <w:color w:val="404040" w:themeColor="text1" w:themeTint="BF"/>
          <w:szCs w:val="20"/>
        </w:rPr>
        <w:t>Emergency Solutions Grant – 100% Match Requirement</w:t>
      </w:r>
    </w:p>
    <w:p w14:paraId="67819BD0" w14:textId="0EE24C93" w:rsidR="00B10F1E" w:rsidRPr="005F3CE2" w:rsidRDefault="00B10F1E" w:rsidP="00B10F1E">
      <w:pPr>
        <w:pStyle w:val="ListParagraph"/>
        <w:autoSpaceDE w:val="0"/>
        <w:autoSpaceDN w:val="0"/>
        <w:adjustRightInd w:val="0"/>
        <w:spacing w:line="360" w:lineRule="auto"/>
        <w:rPr>
          <w:rFonts w:asciiTheme="minorHAnsi" w:hAnsiTheme="minorHAnsi" w:cs="Candara"/>
          <w:color w:val="262626" w:themeColor="text1" w:themeTint="D9"/>
          <w:szCs w:val="20"/>
        </w:rPr>
      </w:pPr>
      <w:r w:rsidRPr="009161F7">
        <w:rPr>
          <w:rFonts w:asciiTheme="minorHAnsi" w:hAnsiTheme="minorHAnsi" w:cs="Candara"/>
          <w:color w:val="404040" w:themeColor="text1" w:themeTint="BF"/>
          <w:szCs w:val="20"/>
        </w:rPr>
        <w:t>Salt Lake City ensures that ESG match requirements are met by utilizing the leveraging capacity of its subgrantees.  Funding sources used to meet the ESG match requirements inclu</w:t>
      </w:r>
      <w:r w:rsidRPr="005F3CE2">
        <w:rPr>
          <w:rFonts w:asciiTheme="minorHAnsi" w:hAnsiTheme="minorHAnsi" w:cs="Candara"/>
          <w:color w:val="262626" w:themeColor="text1" w:themeTint="D9"/>
          <w:szCs w:val="20"/>
        </w:rPr>
        <w:t>de federal, state</w:t>
      </w:r>
      <w:r w:rsidR="00EC57C4">
        <w:rPr>
          <w:rFonts w:asciiTheme="minorHAnsi" w:hAnsiTheme="minorHAnsi" w:cs="Candara"/>
          <w:color w:val="262626" w:themeColor="text1" w:themeTint="D9"/>
          <w:szCs w:val="20"/>
        </w:rPr>
        <w:t>,</w:t>
      </w:r>
      <w:r w:rsidRPr="005F3CE2">
        <w:rPr>
          <w:rFonts w:asciiTheme="minorHAnsi" w:hAnsiTheme="minorHAnsi" w:cs="Candara"/>
          <w:color w:val="262626" w:themeColor="text1" w:themeTint="D9"/>
          <w:szCs w:val="20"/>
        </w:rPr>
        <w:t xml:space="preserve"> and local grants; private contributions; private foundations; United Way; Continuum of Care funding; City General Fund; in-kind match and unrestricted donations.</w:t>
      </w:r>
    </w:p>
    <w:p w14:paraId="72437119" w14:textId="77777777" w:rsidR="00B10F1E" w:rsidRDefault="00B10F1E" w:rsidP="00B10F1E">
      <w:pPr>
        <w:autoSpaceDE w:val="0"/>
        <w:autoSpaceDN w:val="0"/>
        <w:adjustRightInd w:val="0"/>
        <w:spacing w:line="360" w:lineRule="auto"/>
        <w:rPr>
          <w:rFonts w:asciiTheme="minorHAnsi" w:hAnsiTheme="minorHAnsi" w:cs="Candara"/>
          <w:color w:val="404040" w:themeColor="text1" w:themeTint="BF"/>
          <w:szCs w:val="20"/>
          <w:u w:val="single"/>
        </w:rPr>
      </w:pPr>
    </w:p>
    <w:p w14:paraId="2056B38F" w14:textId="77777777" w:rsidR="00B10F1E" w:rsidRDefault="00B10F1E" w:rsidP="00B10F1E">
      <w:pPr>
        <w:autoSpaceDE w:val="0"/>
        <w:autoSpaceDN w:val="0"/>
        <w:adjustRightInd w:val="0"/>
        <w:spacing w:line="360" w:lineRule="auto"/>
        <w:rPr>
          <w:rFonts w:asciiTheme="minorHAnsi" w:hAnsiTheme="minorHAnsi" w:cs="Candara"/>
          <w:color w:val="404040" w:themeColor="text1" w:themeTint="BF"/>
          <w:szCs w:val="20"/>
          <w:u w:val="single"/>
        </w:rPr>
      </w:pPr>
    </w:p>
    <w:p w14:paraId="393348F2" w14:textId="77777777" w:rsidR="00B10F1E" w:rsidRDefault="00B10F1E" w:rsidP="00B10F1E">
      <w:pPr>
        <w:autoSpaceDE w:val="0"/>
        <w:autoSpaceDN w:val="0"/>
        <w:adjustRightInd w:val="0"/>
        <w:spacing w:line="360" w:lineRule="auto"/>
        <w:rPr>
          <w:rFonts w:asciiTheme="minorHAnsi" w:hAnsiTheme="minorHAnsi" w:cs="Candara"/>
          <w:color w:val="404040" w:themeColor="text1" w:themeTint="BF"/>
          <w:szCs w:val="20"/>
          <w:u w:val="single"/>
        </w:rPr>
      </w:pPr>
    </w:p>
    <w:p w14:paraId="7F823723" w14:textId="77777777" w:rsidR="00B10F1E" w:rsidRPr="009161F7" w:rsidRDefault="00B10F1E" w:rsidP="00B10F1E">
      <w:pPr>
        <w:autoSpaceDE w:val="0"/>
        <w:autoSpaceDN w:val="0"/>
        <w:adjustRightInd w:val="0"/>
        <w:spacing w:line="360" w:lineRule="auto"/>
        <w:rPr>
          <w:rFonts w:asciiTheme="minorHAnsi" w:hAnsiTheme="minorHAnsi" w:cs="Candara"/>
          <w:color w:val="404040" w:themeColor="text1" w:themeTint="BF"/>
          <w:szCs w:val="20"/>
          <w:u w:val="single"/>
        </w:rPr>
      </w:pPr>
      <w:r w:rsidRPr="009161F7">
        <w:rPr>
          <w:rFonts w:asciiTheme="minorHAnsi" w:hAnsiTheme="minorHAnsi" w:cs="Candara"/>
          <w:color w:val="404040" w:themeColor="text1" w:themeTint="BF"/>
          <w:szCs w:val="20"/>
          <w:u w:val="single"/>
        </w:rPr>
        <w:t>Fund Leveraging</w:t>
      </w:r>
    </w:p>
    <w:p w14:paraId="418A4801" w14:textId="77777777" w:rsidR="00B10F1E" w:rsidRPr="009161F7" w:rsidRDefault="00B10F1E" w:rsidP="00B10F1E">
      <w:pPr>
        <w:autoSpaceDE w:val="0"/>
        <w:autoSpaceDN w:val="0"/>
        <w:adjustRightInd w:val="0"/>
        <w:spacing w:line="360" w:lineRule="auto"/>
        <w:rPr>
          <w:rFonts w:asciiTheme="minorHAnsi" w:hAnsiTheme="minorHAnsi" w:cs="Candara"/>
          <w:color w:val="404040" w:themeColor="text1" w:themeTint="BF"/>
          <w:szCs w:val="20"/>
        </w:rPr>
      </w:pPr>
      <w:r w:rsidRPr="009161F7">
        <w:rPr>
          <w:rFonts w:asciiTheme="minorHAnsi" w:hAnsiTheme="minorHAnsi" w:cs="Candara"/>
          <w:color w:val="404040" w:themeColor="text1" w:themeTint="BF"/>
          <w:szCs w:val="20"/>
        </w:rPr>
        <w:t>Leverage, in the context of the City’s four HUD Programs, means bringing other local, state, and federal financial resources in order to maximize the reach and impact of the City’s HUD Programs. Resources for leverage include the following:</w:t>
      </w:r>
    </w:p>
    <w:p w14:paraId="70F925CD" w14:textId="77777777" w:rsidR="00B10F1E" w:rsidRPr="009161F7" w:rsidRDefault="00B10F1E" w:rsidP="00B10F1E">
      <w:pPr>
        <w:pStyle w:val="ListParagraph"/>
        <w:numPr>
          <w:ilvl w:val="0"/>
          <w:numId w:val="19"/>
        </w:numPr>
        <w:spacing w:line="360" w:lineRule="auto"/>
        <w:rPr>
          <w:rFonts w:asciiTheme="minorHAnsi" w:hAnsiTheme="minorHAnsi"/>
          <w:color w:val="404040" w:themeColor="text1" w:themeTint="BF"/>
          <w:szCs w:val="20"/>
        </w:rPr>
      </w:pPr>
      <w:r w:rsidRPr="009161F7">
        <w:rPr>
          <w:rFonts w:asciiTheme="minorHAnsi" w:hAnsiTheme="minorHAnsi"/>
          <w:color w:val="404040" w:themeColor="text1" w:themeTint="BF"/>
          <w:szCs w:val="20"/>
        </w:rPr>
        <w:t>Housing Choice Section 8 Vouchers</w:t>
      </w:r>
    </w:p>
    <w:p w14:paraId="212C28B4" w14:textId="3C890863" w:rsidR="00B10F1E" w:rsidRPr="009161F7" w:rsidRDefault="00B10F1E" w:rsidP="00B10F1E">
      <w:pPr>
        <w:spacing w:line="360" w:lineRule="auto"/>
        <w:ind w:left="720"/>
        <w:rPr>
          <w:rFonts w:asciiTheme="minorHAnsi" w:hAnsiTheme="minorHAnsi"/>
          <w:color w:val="404040" w:themeColor="text1" w:themeTint="BF"/>
          <w:szCs w:val="20"/>
        </w:rPr>
      </w:pPr>
      <w:r w:rsidRPr="009161F7">
        <w:rPr>
          <w:rFonts w:asciiTheme="minorHAnsi" w:hAnsiTheme="minorHAnsi"/>
          <w:color w:val="404040" w:themeColor="text1" w:themeTint="BF"/>
          <w:szCs w:val="20"/>
        </w:rPr>
        <w:t>The Housing Authority of Salt Lake City and The Housing Authority of the County of Salt Lake currently administer Housi</w:t>
      </w:r>
      <w:r w:rsidR="00B100C5">
        <w:rPr>
          <w:rFonts w:asciiTheme="minorHAnsi" w:hAnsiTheme="minorHAnsi"/>
          <w:color w:val="404040" w:themeColor="text1" w:themeTint="BF"/>
          <w:szCs w:val="20"/>
        </w:rPr>
        <w:t>ng Choice (Section 8) vouchers.</w:t>
      </w:r>
      <w:r w:rsidRPr="009161F7">
        <w:rPr>
          <w:rFonts w:asciiTheme="minorHAnsi" w:hAnsiTheme="minorHAnsi"/>
          <w:color w:val="404040" w:themeColor="text1" w:themeTint="BF"/>
          <w:szCs w:val="20"/>
        </w:rPr>
        <w:t xml:space="preserve"> Many of the clients receiving assistance though other HUD funded programs, are utilizing this housing assistance to stabilize and maintain housing. Currently, both housing authorities have closed waiting lists due to the disparity of the volume of those needing assistance vs. available funding.</w:t>
      </w:r>
    </w:p>
    <w:p w14:paraId="3622455A" w14:textId="77777777" w:rsidR="00B10F1E" w:rsidRPr="009161F7" w:rsidRDefault="00B10F1E" w:rsidP="00B10F1E">
      <w:pPr>
        <w:spacing w:line="360" w:lineRule="auto"/>
        <w:rPr>
          <w:rFonts w:asciiTheme="minorHAnsi" w:hAnsiTheme="minorHAnsi"/>
          <w:b/>
          <w:color w:val="404040" w:themeColor="text1" w:themeTint="BF"/>
          <w:szCs w:val="20"/>
        </w:rPr>
      </w:pPr>
    </w:p>
    <w:p w14:paraId="5BCB5DDE" w14:textId="77777777" w:rsidR="00B10F1E" w:rsidRPr="009161F7" w:rsidRDefault="00B10F1E" w:rsidP="00B10F1E">
      <w:pPr>
        <w:pStyle w:val="ListParagraph"/>
        <w:numPr>
          <w:ilvl w:val="0"/>
          <w:numId w:val="19"/>
        </w:numPr>
        <w:spacing w:line="360" w:lineRule="auto"/>
        <w:rPr>
          <w:rFonts w:asciiTheme="minorHAnsi" w:hAnsiTheme="minorHAnsi"/>
          <w:color w:val="404040" w:themeColor="text1" w:themeTint="BF"/>
          <w:szCs w:val="20"/>
        </w:rPr>
      </w:pPr>
      <w:r w:rsidRPr="009161F7">
        <w:rPr>
          <w:rFonts w:asciiTheme="minorHAnsi" w:hAnsiTheme="minorHAnsi"/>
          <w:color w:val="404040" w:themeColor="text1" w:themeTint="BF"/>
          <w:szCs w:val="20"/>
        </w:rPr>
        <w:t xml:space="preserve">Low Income Housing Tax Credits </w:t>
      </w:r>
    </w:p>
    <w:p w14:paraId="23DCF520" w14:textId="61CB203B" w:rsidR="00B10F1E" w:rsidRPr="009161F7" w:rsidRDefault="00B10F1E" w:rsidP="00B10F1E">
      <w:pPr>
        <w:spacing w:line="360" w:lineRule="auto"/>
        <w:ind w:left="720"/>
        <w:rPr>
          <w:rFonts w:asciiTheme="minorHAnsi" w:hAnsiTheme="minorHAnsi"/>
          <w:b/>
          <w:color w:val="404040" w:themeColor="text1" w:themeTint="BF"/>
          <w:szCs w:val="20"/>
        </w:rPr>
      </w:pPr>
      <w:r w:rsidRPr="00185912">
        <w:rPr>
          <w:rFonts w:asciiTheme="minorHAnsi" w:hAnsiTheme="minorHAnsi"/>
          <w:color w:val="404040" w:themeColor="text1" w:themeTint="BF"/>
          <w:szCs w:val="20"/>
        </w:rPr>
        <w:t>Federal 4% and 9%</w:t>
      </w:r>
      <w:r w:rsidRPr="009161F7">
        <w:rPr>
          <w:rFonts w:asciiTheme="minorHAnsi" w:hAnsiTheme="minorHAnsi"/>
          <w:color w:val="404040" w:themeColor="text1" w:themeTint="BF"/>
          <w:szCs w:val="20"/>
        </w:rPr>
        <w:t xml:space="preserve"> tax credits are a major funding source of capital for the construction and rehabilitation of affordable rental homes. In 201</w:t>
      </w:r>
      <w:r w:rsidR="00B100C5">
        <w:rPr>
          <w:rFonts w:asciiTheme="minorHAnsi" w:hAnsiTheme="minorHAnsi"/>
          <w:color w:val="404040" w:themeColor="text1" w:themeTint="BF"/>
          <w:szCs w:val="20"/>
        </w:rPr>
        <w:t>6</w:t>
      </w:r>
      <w:r w:rsidRPr="009161F7">
        <w:rPr>
          <w:rFonts w:asciiTheme="minorHAnsi" w:hAnsiTheme="minorHAnsi"/>
          <w:color w:val="404040" w:themeColor="text1" w:themeTint="BF"/>
          <w:szCs w:val="20"/>
        </w:rPr>
        <w:t xml:space="preserve">, </w:t>
      </w:r>
      <w:r>
        <w:rPr>
          <w:rFonts w:asciiTheme="minorHAnsi" w:hAnsiTheme="minorHAnsi"/>
          <w:color w:val="404040" w:themeColor="text1" w:themeTint="BF"/>
          <w:szCs w:val="20"/>
        </w:rPr>
        <w:t xml:space="preserve">Salt Lake City </w:t>
      </w:r>
      <w:r w:rsidRPr="00185912">
        <w:rPr>
          <w:rFonts w:asciiTheme="minorHAnsi" w:hAnsiTheme="minorHAnsi"/>
          <w:color w:val="404040" w:themeColor="text1" w:themeTint="BF"/>
          <w:szCs w:val="20"/>
        </w:rPr>
        <w:t>did</w:t>
      </w:r>
      <w:r>
        <w:rPr>
          <w:rFonts w:asciiTheme="minorHAnsi" w:hAnsiTheme="minorHAnsi"/>
          <w:color w:val="404040" w:themeColor="text1" w:themeTint="BF"/>
          <w:szCs w:val="20"/>
        </w:rPr>
        <w:t xml:space="preserve"> not receive much-needed </w:t>
      </w:r>
      <w:r w:rsidRPr="00185912">
        <w:rPr>
          <w:rFonts w:asciiTheme="minorHAnsi" w:hAnsiTheme="minorHAnsi"/>
          <w:color w:val="404040" w:themeColor="text1" w:themeTint="BF"/>
          <w:szCs w:val="20"/>
        </w:rPr>
        <w:t>4%</w:t>
      </w:r>
      <w:r>
        <w:rPr>
          <w:rFonts w:asciiTheme="minorHAnsi" w:hAnsiTheme="minorHAnsi"/>
          <w:color w:val="404040" w:themeColor="text1" w:themeTint="BF"/>
          <w:szCs w:val="20"/>
        </w:rPr>
        <w:t xml:space="preserve"> tax credits to fund a critical permanent supportive ho</w:t>
      </w:r>
      <w:r w:rsidR="00B100C5">
        <w:rPr>
          <w:rFonts w:asciiTheme="minorHAnsi" w:hAnsiTheme="minorHAnsi"/>
          <w:color w:val="404040" w:themeColor="text1" w:themeTint="BF"/>
          <w:szCs w:val="20"/>
        </w:rPr>
        <w:t xml:space="preserve">using project in Central City. However, with the help of HAND staff, this project was able to secure the tax credits in 2017 and the project is now underway. </w:t>
      </w:r>
    </w:p>
    <w:p w14:paraId="6EB4A08B" w14:textId="77777777" w:rsidR="00B10F1E" w:rsidRPr="009161F7" w:rsidRDefault="00B10F1E" w:rsidP="00B10F1E">
      <w:pPr>
        <w:spacing w:line="360" w:lineRule="auto"/>
        <w:rPr>
          <w:rFonts w:asciiTheme="minorHAnsi" w:hAnsiTheme="minorHAnsi"/>
          <w:color w:val="404040" w:themeColor="text1" w:themeTint="BF"/>
          <w:szCs w:val="20"/>
          <w:u w:val="single"/>
        </w:rPr>
      </w:pPr>
    </w:p>
    <w:p w14:paraId="227FDF1F" w14:textId="77777777" w:rsidR="00B10F1E" w:rsidRPr="009161F7" w:rsidRDefault="00B10F1E" w:rsidP="00B10F1E">
      <w:pPr>
        <w:pStyle w:val="ListParagraph"/>
        <w:numPr>
          <w:ilvl w:val="0"/>
          <w:numId w:val="19"/>
        </w:numPr>
        <w:spacing w:line="360" w:lineRule="auto"/>
        <w:rPr>
          <w:rFonts w:asciiTheme="minorHAnsi" w:hAnsiTheme="minorHAnsi"/>
          <w:color w:val="404040" w:themeColor="text1" w:themeTint="BF"/>
          <w:szCs w:val="20"/>
        </w:rPr>
      </w:pPr>
      <w:r w:rsidRPr="009161F7">
        <w:rPr>
          <w:rFonts w:asciiTheme="minorHAnsi" w:hAnsiTheme="minorHAnsi"/>
          <w:color w:val="404040" w:themeColor="text1" w:themeTint="BF"/>
          <w:szCs w:val="20"/>
        </w:rPr>
        <w:t xml:space="preserve">New Market Tax Credits </w:t>
      </w:r>
    </w:p>
    <w:p w14:paraId="1E9F6E06" w14:textId="77777777" w:rsidR="00B10F1E" w:rsidRPr="009161F7" w:rsidRDefault="00B10F1E" w:rsidP="00B10F1E">
      <w:pPr>
        <w:spacing w:line="360" w:lineRule="auto"/>
        <w:ind w:left="720"/>
        <w:rPr>
          <w:rFonts w:asciiTheme="minorHAnsi" w:hAnsiTheme="minorHAnsi"/>
          <w:color w:val="404040" w:themeColor="text1" w:themeTint="BF"/>
          <w:szCs w:val="20"/>
        </w:rPr>
      </w:pPr>
      <w:r w:rsidRPr="009161F7">
        <w:rPr>
          <w:rFonts w:asciiTheme="minorHAnsi" w:hAnsiTheme="minorHAnsi"/>
          <w:color w:val="404040" w:themeColor="text1" w:themeTint="BF"/>
          <w:szCs w:val="20"/>
        </w:rPr>
        <w:t xml:space="preserve">New Market Tax Credits are an additional tool utilized to attract private capital investment in areas in need of job growth and economic development. </w:t>
      </w:r>
    </w:p>
    <w:p w14:paraId="654C93C6" w14:textId="77777777" w:rsidR="00B10F1E" w:rsidRPr="009161F7" w:rsidRDefault="00B10F1E" w:rsidP="00B10F1E">
      <w:pPr>
        <w:spacing w:line="360" w:lineRule="auto"/>
        <w:rPr>
          <w:rFonts w:asciiTheme="minorHAnsi" w:hAnsiTheme="minorHAnsi"/>
          <w:b/>
          <w:color w:val="404040" w:themeColor="text1" w:themeTint="BF"/>
          <w:szCs w:val="20"/>
        </w:rPr>
      </w:pPr>
    </w:p>
    <w:p w14:paraId="45CE0A97" w14:textId="77777777" w:rsidR="00B10F1E" w:rsidRPr="009161F7" w:rsidRDefault="00B10F1E" w:rsidP="00B10F1E">
      <w:pPr>
        <w:pStyle w:val="ListParagraph"/>
        <w:numPr>
          <w:ilvl w:val="0"/>
          <w:numId w:val="19"/>
        </w:numPr>
        <w:spacing w:line="360" w:lineRule="auto"/>
        <w:rPr>
          <w:rFonts w:asciiTheme="minorHAnsi" w:hAnsiTheme="minorHAnsi"/>
          <w:color w:val="404040" w:themeColor="text1" w:themeTint="BF"/>
          <w:szCs w:val="20"/>
        </w:rPr>
      </w:pPr>
      <w:r w:rsidRPr="009161F7">
        <w:rPr>
          <w:rFonts w:asciiTheme="minorHAnsi" w:hAnsiTheme="minorHAnsi"/>
          <w:color w:val="404040" w:themeColor="text1" w:themeTint="BF"/>
          <w:szCs w:val="20"/>
        </w:rPr>
        <w:t xml:space="preserve">RDA Development Funding </w:t>
      </w:r>
    </w:p>
    <w:p w14:paraId="0C791FC5" w14:textId="29AAFF04" w:rsidR="00B10F1E" w:rsidRPr="009161F7" w:rsidRDefault="00B10F1E" w:rsidP="00B10F1E">
      <w:pPr>
        <w:spacing w:line="360" w:lineRule="auto"/>
        <w:ind w:left="720"/>
        <w:rPr>
          <w:rFonts w:asciiTheme="minorHAnsi" w:hAnsiTheme="minorHAnsi"/>
          <w:color w:val="404040" w:themeColor="text1" w:themeTint="BF"/>
          <w:szCs w:val="20"/>
        </w:rPr>
      </w:pPr>
      <w:r w:rsidRPr="009161F7">
        <w:rPr>
          <w:rFonts w:asciiTheme="minorHAnsi" w:hAnsiTheme="minorHAnsi"/>
          <w:color w:val="404040" w:themeColor="text1" w:themeTint="BF"/>
          <w:szCs w:val="20"/>
        </w:rPr>
        <w:t xml:space="preserve">The RDA has </w:t>
      </w:r>
      <w:r w:rsidR="00B100C5">
        <w:rPr>
          <w:rFonts w:asciiTheme="minorHAnsi" w:hAnsiTheme="minorHAnsi"/>
          <w:color w:val="404040" w:themeColor="text1" w:themeTint="BF"/>
          <w:szCs w:val="20"/>
        </w:rPr>
        <w:t xml:space="preserve">thirteen </w:t>
      </w:r>
      <w:r w:rsidRPr="009161F7">
        <w:rPr>
          <w:rFonts w:asciiTheme="minorHAnsi" w:hAnsiTheme="minorHAnsi"/>
          <w:color w:val="404040" w:themeColor="text1" w:themeTint="BF"/>
          <w:szCs w:val="20"/>
        </w:rPr>
        <w:t>project areas where tax increment funds are reinvested back into the same area to contribute to the overall health and vitality of the City, by reversing the negative effects of blight, while increasing the tax base from which the taxing entities draw their funds. The RDA will allocate some of these funds back to the Salt Lake City Housing Trust Fund so the funds can strategically be leveraged to provide affordable housing in new development projects throughout the City.</w:t>
      </w:r>
    </w:p>
    <w:p w14:paraId="1DC48509" w14:textId="77777777" w:rsidR="00B10F1E" w:rsidRPr="009161F7" w:rsidRDefault="00B10F1E" w:rsidP="00B10F1E">
      <w:pPr>
        <w:spacing w:line="360" w:lineRule="auto"/>
        <w:rPr>
          <w:rFonts w:asciiTheme="minorHAnsi" w:hAnsiTheme="minorHAnsi"/>
          <w:b/>
          <w:color w:val="404040" w:themeColor="text1" w:themeTint="BF"/>
          <w:szCs w:val="20"/>
        </w:rPr>
      </w:pPr>
    </w:p>
    <w:p w14:paraId="17307427" w14:textId="77777777" w:rsidR="00B10F1E" w:rsidRPr="009161F7" w:rsidRDefault="00B10F1E" w:rsidP="00B10F1E">
      <w:pPr>
        <w:pStyle w:val="ListParagraph"/>
        <w:numPr>
          <w:ilvl w:val="0"/>
          <w:numId w:val="19"/>
        </w:numPr>
        <w:spacing w:line="360" w:lineRule="auto"/>
        <w:rPr>
          <w:rFonts w:asciiTheme="minorHAnsi" w:hAnsiTheme="minorHAnsi"/>
          <w:color w:val="404040" w:themeColor="text1" w:themeTint="BF"/>
          <w:szCs w:val="20"/>
        </w:rPr>
      </w:pPr>
      <w:r w:rsidRPr="009161F7">
        <w:rPr>
          <w:rFonts w:asciiTheme="minorHAnsi" w:hAnsiTheme="minorHAnsi"/>
          <w:color w:val="404040" w:themeColor="text1" w:themeTint="BF"/>
          <w:szCs w:val="20"/>
        </w:rPr>
        <w:t>Salt Lake City Housing Trust Fund</w:t>
      </w:r>
    </w:p>
    <w:p w14:paraId="38E4B364" w14:textId="77777777" w:rsidR="00B10F1E" w:rsidRPr="009161F7" w:rsidRDefault="00B10F1E" w:rsidP="00B10F1E">
      <w:pPr>
        <w:spacing w:line="360" w:lineRule="auto"/>
        <w:ind w:left="720"/>
        <w:rPr>
          <w:rFonts w:asciiTheme="minorHAnsi" w:hAnsiTheme="minorHAnsi"/>
          <w:color w:val="404040" w:themeColor="text1" w:themeTint="BF"/>
          <w:szCs w:val="20"/>
        </w:rPr>
      </w:pPr>
      <w:r w:rsidRPr="009161F7">
        <w:rPr>
          <w:rFonts w:asciiTheme="minorHAnsi" w:hAnsiTheme="minorHAnsi"/>
          <w:color w:val="404040" w:themeColor="text1" w:themeTint="BF"/>
          <w:szCs w:val="20"/>
        </w:rPr>
        <w:t xml:space="preserve">Salt Lake City’s Housing Trust Fund (HTF) strives to address the health, safety and welfare of the City’s citizen by providing assistance for affordable and special needs housing within the City. The Trust Fund </w:t>
      </w:r>
      <w:r>
        <w:rPr>
          <w:rFonts w:asciiTheme="minorHAnsi" w:hAnsiTheme="minorHAnsi"/>
          <w:color w:val="404040" w:themeColor="text1" w:themeTint="BF"/>
          <w:szCs w:val="20"/>
        </w:rPr>
        <w:t>was able to close 3</w:t>
      </w:r>
      <w:r w:rsidRPr="00D44435">
        <w:rPr>
          <w:rFonts w:asciiTheme="minorHAnsi" w:hAnsiTheme="minorHAnsi"/>
          <w:color w:val="404040" w:themeColor="text1" w:themeTint="BF"/>
          <w:szCs w:val="20"/>
          <w:highlight w:val="yellow"/>
        </w:rPr>
        <w:t xml:space="preserve"> </w:t>
      </w:r>
      <w:r w:rsidRPr="003C364D">
        <w:rPr>
          <w:rFonts w:asciiTheme="minorHAnsi" w:hAnsiTheme="minorHAnsi"/>
          <w:color w:val="404040" w:themeColor="text1" w:themeTint="BF"/>
          <w:szCs w:val="20"/>
        </w:rPr>
        <w:t>loans</w:t>
      </w:r>
      <w:r w:rsidRPr="009161F7">
        <w:rPr>
          <w:rFonts w:asciiTheme="minorHAnsi" w:hAnsiTheme="minorHAnsi"/>
          <w:color w:val="404040" w:themeColor="text1" w:themeTint="BF"/>
          <w:szCs w:val="20"/>
        </w:rPr>
        <w:t xml:space="preserve"> during the program year providing </w:t>
      </w:r>
      <w:r w:rsidRPr="003C364D">
        <w:rPr>
          <w:rFonts w:asciiTheme="minorHAnsi" w:hAnsiTheme="minorHAnsi"/>
          <w:color w:val="404040" w:themeColor="text1" w:themeTint="BF"/>
          <w:szCs w:val="20"/>
        </w:rPr>
        <w:t>$1.95m</w:t>
      </w:r>
      <w:r w:rsidRPr="009161F7">
        <w:rPr>
          <w:rFonts w:asciiTheme="minorHAnsi" w:hAnsiTheme="minorHAnsi"/>
          <w:color w:val="404040" w:themeColor="text1" w:themeTint="BF"/>
          <w:szCs w:val="20"/>
        </w:rPr>
        <w:t xml:space="preserve"> in leveraged capital. This leveraged capital secured</w:t>
      </w:r>
      <w:r>
        <w:rPr>
          <w:rFonts w:asciiTheme="minorHAnsi" w:hAnsiTheme="minorHAnsi"/>
          <w:color w:val="404040" w:themeColor="text1" w:themeTint="BF"/>
          <w:szCs w:val="20"/>
        </w:rPr>
        <w:t xml:space="preserve"> long term affordability of 443</w:t>
      </w:r>
      <w:r w:rsidRPr="009161F7">
        <w:rPr>
          <w:rFonts w:asciiTheme="minorHAnsi" w:hAnsiTheme="minorHAnsi"/>
          <w:color w:val="404040" w:themeColor="text1" w:themeTint="BF"/>
          <w:szCs w:val="20"/>
        </w:rPr>
        <w:t xml:space="preserve"> housing units in the City. </w:t>
      </w:r>
      <w:r>
        <w:rPr>
          <w:rFonts w:asciiTheme="minorHAnsi" w:hAnsiTheme="minorHAnsi"/>
          <w:color w:val="404040" w:themeColor="text1" w:themeTint="BF"/>
          <w:szCs w:val="20"/>
        </w:rPr>
        <w:t>Three other loans have been approved by the board but have not yet been funded as of June 30</w:t>
      </w:r>
      <w:r w:rsidRPr="003C364D">
        <w:rPr>
          <w:rFonts w:asciiTheme="minorHAnsi" w:hAnsiTheme="minorHAnsi"/>
          <w:color w:val="404040" w:themeColor="text1" w:themeTint="BF"/>
          <w:szCs w:val="20"/>
          <w:vertAlign w:val="superscript"/>
        </w:rPr>
        <w:t>th</w:t>
      </w:r>
      <w:r>
        <w:rPr>
          <w:rFonts w:asciiTheme="minorHAnsi" w:hAnsiTheme="minorHAnsi"/>
          <w:color w:val="404040" w:themeColor="text1" w:themeTint="BF"/>
          <w:szCs w:val="20"/>
        </w:rPr>
        <w:t xml:space="preserve">, 2018. </w:t>
      </w:r>
    </w:p>
    <w:p w14:paraId="38C2D826" w14:textId="77777777" w:rsidR="00B10F1E" w:rsidRDefault="00B10F1E" w:rsidP="00B10F1E">
      <w:pPr>
        <w:spacing w:line="360" w:lineRule="auto"/>
        <w:rPr>
          <w:rFonts w:asciiTheme="minorHAnsi" w:hAnsiTheme="minorHAnsi"/>
          <w:color w:val="404040" w:themeColor="text1" w:themeTint="BF"/>
          <w:szCs w:val="20"/>
          <w:u w:val="single"/>
        </w:rPr>
      </w:pPr>
    </w:p>
    <w:p w14:paraId="25EAF4F6" w14:textId="77777777" w:rsidR="00B10F1E" w:rsidRDefault="00B10F1E" w:rsidP="00B10F1E">
      <w:pPr>
        <w:spacing w:line="360" w:lineRule="auto"/>
        <w:rPr>
          <w:rFonts w:asciiTheme="minorHAnsi" w:hAnsiTheme="minorHAnsi"/>
          <w:color w:val="404040" w:themeColor="text1" w:themeTint="BF"/>
          <w:szCs w:val="20"/>
          <w:u w:val="single"/>
        </w:rPr>
      </w:pPr>
    </w:p>
    <w:p w14:paraId="41C43BF6" w14:textId="77777777" w:rsidR="00B10F1E" w:rsidRPr="009161F7" w:rsidRDefault="00B10F1E" w:rsidP="00B10F1E">
      <w:pPr>
        <w:spacing w:line="360" w:lineRule="auto"/>
        <w:rPr>
          <w:rFonts w:asciiTheme="minorHAnsi" w:hAnsiTheme="minorHAnsi"/>
          <w:color w:val="404040" w:themeColor="text1" w:themeTint="BF"/>
          <w:szCs w:val="20"/>
          <w:u w:val="single"/>
        </w:rPr>
      </w:pPr>
    </w:p>
    <w:p w14:paraId="203D27DB" w14:textId="77777777" w:rsidR="00B10F1E" w:rsidRPr="009161F7" w:rsidRDefault="00B10F1E" w:rsidP="00B10F1E">
      <w:pPr>
        <w:pStyle w:val="ListParagraph"/>
        <w:numPr>
          <w:ilvl w:val="0"/>
          <w:numId w:val="19"/>
        </w:numPr>
        <w:spacing w:line="360" w:lineRule="auto"/>
        <w:rPr>
          <w:rFonts w:asciiTheme="minorHAnsi" w:hAnsiTheme="minorHAnsi"/>
          <w:color w:val="404040" w:themeColor="text1" w:themeTint="BF"/>
          <w:szCs w:val="20"/>
        </w:rPr>
      </w:pPr>
      <w:r w:rsidRPr="009161F7">
        <w:rPr>
          <w:rFonts w:asciiTheme="minorHAnsi" w:hAnsiTheme="minorHAnsi"/>
          <w:color w:val="404040" w:themeColor="text1" w:themeTint="BF"/>
          <w:szCs w:val="20"/>
        </w:rPr>
        <w:t>Salt Lake City Economic Development Loan Fund (EDLF)</w:t>
      </w:r>
    </w:p>
    <w:p w14:paraId="652ECE14" w14:textId="77777777" w:rsidR="00B10F1E" w:rsidRPr="009161F7" w:rsidRDefault="00B10F1E" w:rsidP="00B10F1E">
      <w:pPr>
        <w:spacing w:line="360" w:lineRule="auto"/>
        <w:ind w:left="720"/>
        <w:rPr>
          <w:rFonts w:asciiTheme="minorHAnsi" w:hAnsiTheme="minorHAnsi"/>
          <w:color w:val="404040" w:themeColor="text1" w:themeTint="BF"/>
          <w:szCs w:val="20"/>
        </w:rPr>
      </w:pPr>
      <w:r w:rsidRPr="009161F7">
        <w:rPr>
          <w:rFonts w:asciiTheme="minorHAnsi" w:hAnsiTheme="minorHAnsi"/>
          <w:color w:val="404040" w:themeColor="text1" w:themeTint="BF"/>
          <w:szCs w:val="20"/>
        </w:rPr>
        <w:t>The City administers the Economic Development Loan Fund which makes loans to small businesses located in the City for the purpose of stimulating economic development and commercial and industrial diversity by enhancing business opportunities, provide employment and promoting n</w:t>
      </w:r>
      <w:r w:rsidRPr="005F3CE2">
        <w:rPr>
          <w:rFonts w:asciiTheme="minorHAnsi" w:hAnsiTheme="minorHAnsi"/>
          <w:color w:val="404040" w:themeColor="text1" w:themeTint="BF"/>
          <w:szCs w:val="20"/>
        </w:rPr>
        <w:t xml:space="preserve">eighborhood revitalization. This fund closed </w:t>
      </w:r>
      <w:r w:rsidRPr="008C584D">
        <w:rPr>
          <w:rFonts w:asciiTheme="minorHAnsi" w:hAnsiTheme="minorHAnsi"/>
          <w:color w:val="404040" w:themeColor="text1" w:themeTint="BF"/>
          <w:szCs w:val="20"/>
        </w:rPr>
        <w:t>16 loans</w:t>
      </w:r>
      <w:r w:rsidRPr="005F3CE2">
        <w:rPr>
          <w:rFonts w:asciiTheme="minorHAnsi" w:hAnsiTheme="minorHAnsi"/>
          <w:color w:val="404040" w:themeColor="text1" w:themeTint="BF"/>
          <w:szCs w:val="20"/>
        </w:rPr>
        <w:t xml:space="preserve"> for a total </w:t>
      </w:r>
      <w:r w:rsidRPr="008C584D">
        <w:rPr>
          <w:rFonts w:asciiTheme="minorHAnsi" w:hAnsiTheme="minorHAnsi"/>
          <w:color w:val="404040" w:themeColor="text1" w:themeTint="BF"/>
          <w:szCs w:val="20"/>
        </w:rPr>
        <w:t>of $1.8m</w:t>
      </w:r>
      <w:r w:rsidRPr="005F3CE2">
        <w:rPr>
          <w:rFonts w:asciiTheme="minorHAnsi" w:hAnsiTheme="minorHAnsi"/>
          <w:color w:val="404040" w:themeColor="text1" w:themeTint="BF"/>
          <w:szCs w:val="20"/>
        </w:rPr>
        <w:t xml:space="preserve">. Of these loans, </w:t>
      </w:r>
      <w:r>
        <w:rPr>
          <w:rFonts w:asciiTheme="minorHAnsi" w:hAnsiTheme="minorHAnsi"/>
          <w:color w:val="404040" w:themeColor="text1" w:themeTint="BF"/>
          <w:szCs w:val="20"/>
        </w:rPr>
        <w:t xml:space="preserve">over </w:t>
      </w:r>
      <w:r w:rsidRPr="008C584D">
        <w:rPr>
          <w:rFonts w:asciiTheme="minorHAnsi" w:hAnsiTheme="minorHAnsi"/>
          <w:color w:val="404040" w:themeColor="text1" w:themeTint="BF"/>
          <w:szCs w:val="20"/>
        </w:rPr>
        <w:t>31%</w:t>
      </w:r>
      <w:r w:rsidRPr="005F3CE2">
        <w:rPr>
          <w:rFonts w:asciiTheme="minorHAnsi" w:hAnsiTheme="minorHAnsi"/>
          <w:color w:val="404040" w:themeColor="text1" w:themeTint="BF"/>
          <w:szCs w:val="20"/>
        </w:rPr>
        <w:t xml:space="preserve"> were provided to Women and/or Minority Owned Businesses</w:t>
      </w:r>
      <w:r>
        <w:rPr>
          <w:rFonts w:asciiTheme="minorHAnsi" w:hAnsiTheme="minorHAnsi"/>
          <w:color w:val="404040" w:themeColor="text1" w:themeTint="BF"/>
          <w:szCs w:val="20"/>
        </w:rPr>
        <w:t xml:space="preserve">. A </w:t>
      </w:r>
      <w:r w:rsidRPr="008C584D">
        <w:rPr>
          <w:rFonts w:asciiTheme="minorHAnsi" w:hAnsiTheme="minorHAnsi"/>
          <w:color w:val="404040" w:themeColor="text1" w:themeTint="BF"/>
          <w:szCs w:val="20"/>
        </w:rPr>
        <w:t>quarter of the loans</w:t>
      </w:r>
      <w:r>
        <w:rPr>
          <w:rFonts w:asciiTheme="minorHAnsi" w:hAnsiTheme="minorHAnsi"/>
          <w:color w:val="404040" w:themeColor="text1" w:themeTint="BF"/>
          <w:szCs w:val="20"/>
        </w:rPr>
        <w:t xml:space="preserve"> went to </w:t>
      </w:r>
      <w:r w:rsidRPr="005F3CE2">
        <w:rPr>
          <w:rFonts w:asciiTheme="minorHAnsi" w:hAnsiTheme="minorHAnsi"/>
          <w:color w:val="404040" w:themeColor="text1" w:themeTint="BF"/>
          <w:szCs w:val="20"/>
        </w:rPr>
        <w:t xml:space="preserve">low income business owners.  </w:t>
      </w:r>
    </w:p>
    <w:p w14:paraId="4FA4C715" w14:textId="77777777" w:rsidR="00B10F1E" w:rsidRPr="009161F7" w:rsidRDefault="00B10F1E" w:rsidP="00B10F1E">
      <w:pPr>
        <w:spacing w:line="360" w:lineRule="auto"/>
        <w:rPr>
          <w:rFonts w:asciiTheme="minorHAnsi" w:hAnsiTheme="minorHAnsi"/>
          <w:b/>
          <w:color w:val="404040" w:themeColor="text1" w:themeTint="BF"/>
          <w:szCs w:val="20"/>
        </w:rPr>
      </w:pPr>
    </w:p>
    <w:p w14:paraId="7F764718" w14:textId="77777777" w:rsidR="00B10F1E" w:rsidRPr="009161F7" w:rsidRDefault="00B10F1E" w:rsidP="00B10F1E">
      <w:pPr>
        <w:pStyle w:val="ListParagraph"/>
        <w:numPr>
          <w:ilvl w:val="0"/>
          <w:numId w:val="19"/>
        </w:numPr>
        <w:spacing w:line="360" w:lineRule="auto"/>
        <w:rPr>
          <w:rFonts w:asciiTheme="minorHAnsi" w:hAnsiTheme="minorHAnsi"/>
          <w:color w:val="404040" w:themeColor="text1" w:themeTint="BF"/>
          <w:szCs w:val="20"/>
        </w:rPr>
      </w:pPr>
      <w:r w:rsidRPr="009161F7">
        <w:rPr>
          <w:rFonts w:asciiTheme="minorHAnsi" w:hAnsiTheme="minorHAnsi"/>
          <w:color w:val="404040" w:themeColor="text1" w:themeTint="BF"/>
          <w:szCs w:val="20"/>
        </w:rPr>
        <w:t>Olene Walker Housing Loan Fund</w:t>
      </w:r>
    </w:p>
    <w:p w14:paraId="77925515" w14:textId="48A0625B" w:rsidR="00B10F1E" w:rsidRPr="009161F7" w:rsidRDefault="00B10F1E" w:rsidP="00B10F1E">
      <w:pPr>
        <w:spacing w:line="360" w:lineRule="auto"/>
        <w:ind w:left="720"/>
        <w:rPr>
          <w:rFonts w:asciiTheme="minorHAnsi" w:hAnsiTheme="minorHAnsi"/>
          <w:color w:val="404040" w:themeColor="text1" w:themeTint="BF"/>
          <w:szCs w:val="20"/>
        </w:rPr>
      </w:pPr>
      <w:r w:rsidRPr="009161F7">
        <w:rPr>
          <w:rFonts w:asciiTheme="minorHAnsi" w:hAnsiTheme="minorHAnsi"/>
          <w:color w:val="404040" w:themeColor="text1" w:themeTint="BF"/>
          <w:szCs w:val="20"/>
        </w:rPr>
        <w:t xml:space="preserve">Utah State’s Olene Walker Housing Loan Fund is one of the largest affordable housing loan funding tools for affordable housing developers working in Salt Lake City. The loan fund is largely funded with State HOME funds </w:t>
      </w:r>
      <w:r w:rsidRPr="00266F1B">
        <w:rPr>
          <w:rFonts w:asciiTheme="minorHAnsi" w:hAnsiTheme="minorHAnsi"/>
          <w:color w:val="404040" w:themeColor="text1" w:themeTint="BF"/>
          <w:szCs w:val="20"/>
        </w:rPr>
        <w:t>($3m/yr), and State Legislative funding ($2.2m/yr).</w:t>
      </w:r>
      <w:r w:rsidRPr="009161F7">
        <w:rPr>
          <w:rFonts w:asciiTheme="minorHAnsi" w:hAnsiTheme="minorHAnsi"/>
          <w:color w:val="404040" w:themeColor="text1" w:themeTint="BF"/>
          <w:szCs w:val="20"/>
        </w:rPr>
        <w:t xml:space="preserve"> </w:t>
      </w:r>
    </w:p>
    <w:p w14:paraId="43D70016" w14:textId="77777777" w:rsidR="00B10F1E" w:rsidRPr="009161F7" w:rsidRDefault="00B10F1E" w:rsidP="00B10F1E">
      <w:pPr>
        <w:spacing w:line="360" w:lineRule="auto"/>
        <w:rPr>
          <w:rFonts w:asciiTheme="minorHAnsi" w:hAnsiTheme="minorHAnsi"/>
          <w:b/>
          <w:color w:val="404040" w:themeColor="text1" w:themeTint="BF"/>
          <w:szCs w:val="20"/>
        </w:rPr>
      </w:pPr>
    </w:p>
    <w:p w14:paraId="2A2B36C4" w14:textId="77777777" w:rsidR="00B10F1E" w:rsidRPr="009161F7" w:rsidRDefault="00B10F1E" w:rsidP="00B10F1E">
      <w:pPr>
        <w:pStyle w:val="ListParagraph"/>
        <w:numPr>
          <w:ilvl w:val="0"/>
          <w:numId w:val="19"/>
        </w:numPr>
        <w:spacing w:line="360" w:lineRule="auto"/>
        <w:rPr>
          <w:rFonts w:asciiTheme="minorHAnsi" w:hAnsiTheme="minorHAnsi"/>
          <w:color w:val="404040" w:themeColor="text1" w:themeTint="BF"/>
          <w:szCs w:val="20"/>
        </w:rPr>
      </w:pPr>
      <w:r w:rsidRPr="009161F7">
        <w:rPr>
          <w:rFonts w:asciiTheme="minorHAnsi" w:hAnsiTheme="minorHAnsi"/>
          <w:color w:val="404040" w:themeColor="text1" w:themeTint="BF"/>
          <w:szCs w:val="20"/>
        </w:rPr>
        <w:t>Industrial &amp; Commercial Bank Funding</w:t>
      </w:r>
    </w:p>
    <w:p w14:paraId="56E0D0D2" w14:textId="77777777" w:rsidR="00B10F1E" w:rsidRPr="009161F7" w:rsidRDefault="00B10F1E" w:rsidP="00B10F1E">
      <w:pPr>
        <w:spacing w:line="360" w:lineRule="auto"/>
        <w:ind w:left="720"/>
        <w:rPr>
          <w:rFonts w:asciiTheme="minorHAnsi" w:hAnsiTheme="minorHAnsi"/>
          <w:color w:val="404040" w:themeColor="text1" w:themeTint="BF"/>
          <w:szCs w:val="20"/>
        </w:rPr>
      </w:pPr>
      <w:r w:rsidRPr="009161F7">
        <w:rPr>
          <w:rFonts w:asciiTheme="minorHAnsi" w:hAnsiTheme="minorHAnsi"/>
          <w:color w:val="404040" w:themeColor="text1" w:themeTint="BF"/>
          <w:szCs w:val="20"/>
        </w:rPr>
        <w:t xml:space="preserve">Although we cannot estimate how much Community Reinvestment Act funding was made available locally, there are a large number of industrial and commercial banks that reside in Salt Lake City. </w:t>
      </w:r>
    </w:p>
    <w:p w14:paraId="09B7FD68" w14:textId="77777777" w:rsidR="00B10F1E" w:rsidRPr="009161F7" w:rsidRDefault="00B10F1E" w:rsidP="00B10F1E">
      <w:pPr>
        <w:spacing w:line="360" w:lineRule="auto"/>
        <w:rPr>
          <w:rFonts w:asciiTheme="minorHAnsi" w:hAnsiTheme="minorHAnsi"/>
          <w:b/>
          <w:color w:val="404040" w:themeColor="text1" w:themeTint="BF"/>
          <w:szCs w:val="20"/>
        </w:rPr>
      </w:pPr>
    </w:p>
    <w:p w14:paraId="72812E95" w14:textId="77777777" w:rsidR="00B10F1E" w:rsidRPr="009161F7" w:rsidRDefault="00B10F1E" w:rsidP="00B10F1E">
      <w:pPr>
        <w:pStyle w:val="ListParagraph"/>
        <w:numPr>
          <w:ilvl w:val="0"/>
          <w:numId w:val="19"/>
        </w:numPr>
        <w:spacing w:line="360" w:lineRule="auto"/>
        <w:rPr>
          <w:rFonts w:asciiTheme="minorHAnsi" w:hAnsiTheme="minorHAnsi"/>
          <w:color w:val="404040" w:themeColor="text1" w:themeTint="BF"/>
          <w:szCs w:val="20"/>
        </w:rPr>
      </w:pPr>
      <w:r w:rsidRPr="009161F7">
        <w:rPr>
          <w:rFonts w:asciiTheme="minorHAnsi" w:hAnsiTheme="minorHAnsi"/>
          <w:color w:val="404040" w:themeColor="text1" w:themeTint="BF"/>
          <w:szCs w:val="20"/>
        </w:rPr>
        <w:t>Continuum of Care Funding</w:t>
      </w:r>
    </w:p>
    <w:p w14:paraId="60E505FC" w14:textId="6FA559E7" w:rsidR="00B10F1E" w:rsidRPr="009161F7" w:rsidRDefault="00B10F1E" w:rsidP="00B10F1E">
      <w:pPr>
        <w:pStyle w:val="ListParagraph"/>
        <w:spacing w:line="360" w:lineRule="auto"/>
        <w:rPr>
          <w:rFonts w:asciiTheme="minorHAnsi" w:hAnsiTheme="minorHAnsi"/>
          <w:color w:val="404040" w:themeColor="text1" w:themeTint="BF"/>
          <w:szCs w:val="20"/>
        </w:rPr>
      </w:pPr>
      <w:r w:rsidRPr="009161F7">
        <w:rPr>
          <w:rFonts w:asciiTheme="minorHAnsi" w:hAnsiTheme="minorHAnsi" w:cs="Arial"/>
          <w:color w:val="333333"/>
          <w:szCs w:val="20"/>
          <w:shd w:val="clear" w:color="auto" w:fill="FFFFFF"/>
        </w:rPr>
        <w:t>Salt Lake County is responsible for coordinating the</w:t>
      </w:r>
      <w:r w:rsidRPr="009161F7">
        <w:rPr>
          <w:rStyle w:val="apple-converted-space"/>
          <w:rFonts w:asciiTheme="minorHAnsi" w:hAnsiTheme="minorHAnsi" w:cs="Arial"/>
          <w:color w:val="333333"/>
          <w:szCs w:val="20"/>
          <w:shd w:val="clear" w:color="auto" w:fill="FFFFFF"/>
        </w:rPr>
        <w:t> </w:t>
      </w:r>
      <w:r w:rsidRPr="009161F7">
        <w:rPr>
          <w:rFonts w:asciiTheme="minorHAnsi" w:hAnsiTheme="minorHAnsi" w:cs="Arial"/>
          <w:bCs/>
          <w:color w:val="333333"/>
          <w:szCs w:val="20"/>
          <w:shd w:val="clear" w:color="auto" w:fill="FFFFFF"/>
        </w:rPr>
        <w:t>HUD CoC Grant Application</w:t>
      </w:r>
      <w:r w:rsidRPr="009161F7">
        <w:rPr>
          <w:rFonts w:asciiTheme="minorHAnsi" w:hAnsiTheme="minorHAnsi" w:cs="Arial"/>
          <w:color w:val="333333"/>
          <w:szCs w:val="20"/>
          <w:shd w:val="clear" w:color="auto" w:fill="FFFFFF"/>
        </w:rPr>
        <w:t> for the Salt Lake Coun</w:t>
      </w:r>
      <w:r w:rsidR="00910AF7">
        <w:rPr>
          <w:rFonts w:asciiTheme="minorHAnsi" w:hAnsiTheme="minorHAnsi" w:cs="Arial"/>
          <w:color w:val="333333"/>
          <w:szCs w:val="20"/>
          <w:shd w:val="clear" w:color="auto" w:fill="FFFFFF"/>
        </w:rPr>
        <w:t>ty Continuum of Care (UT-500). </w:t>
      </w:r>
      <w:r w:rsidRPr="009161F7">
        <w:rPr>
          <w:rFonts w:asciiTheme="minorHAnsi" w:hAnsiTheme="minorHAnsi" w:cs="Arial"/>
          <w:color w:val="333333"/>
          <w:szCs w:val="20"/>
          <w:shd w:val="clear" w:color="auto" w:fill="FFFFFF"/>
        </w:rPr>
        <w:t xml:space="preserve">This application provides </w:t>
      </w:r>
      <w:r w:rsidRPr="00266F1B">
        <w:rPr>
          <w:rFonts w:asciiTheme="minorHAnsi" w:hAnsiTheme="minorHAnsi" w:cs="Arial"/>
          <w:color w:val="333333"/>
          <w:szCs w:val="20"/>
          <w:shd w:val="clear" w:color="auto" w:fill="FFFFFF"/>
        </w:rPr>
        <w:t>approximately $7.4 million</w:t>
      </w:r>
      <w:r w:rsidRPr="009161F7">
        <w:rPr>
          <w:rFonts w:asciiTheme="minorHAnsi" w:hAnsiTheme="minorHAnsi" w:cs="Arial"/>
          <w:color w:val="333333"/>
          <w:szCs w:val="20"/>
          <w:shd w:val="clear" w:color="auto" w:fill="FFFFFF"/>
        </w:rPr>
        <w:t xml:space="preserve"> of annual funding for local homeless housing and service programs.  </w:t>
      </w:r>
    </w:p>
    <w:p w14:paraId="4D237820" w14:textId="77777777" w:rsidR="00B10F1E" w:rsidRPr="009161F7" w:rsidRDefault="00B10F1E" w:rsidP="00B10F1E">
      <w:pPr>
        <w:spacing w:line="360" w:lineRule="auto"/>
        <w:rPr>
          <w:rFonts w:asciiTheme="minorHAnsi" w:hAnsiTheme="minorHAnsi"/>
          <w:b/>
          <w:color w:val="404040" w:themeColor="text1" w:themeTint="BF"/>
          <w:szCs w:val="20"/>
        </w:rPr>
      </w:pPr>
    </w:p>
    <w:p w14:paraId="64C44CD3" w14:textId="77777777" w:rsidR="00B10F1E" w:rsidRPr="009161F7" w:rsidRDefault="00B10F1E" w:rsidP="00B10F1E">
      <w:pPr>
        <w:pStyle w:val="ListParagraph"/>
        <w:numPr>
          <w:ilvl w:val="0"/>
          <w:numId w:val="19"/>
        </w:numPr>
        <w:spacing w:line="360" w:lineRule="auto"/>
        <w:rPr>
          <w:rFonts w:asciiTheme="minorHAnsi" w:hAnsiTheme="minorHAnsi"/>
          <w:color w:val="404040" w:themeColor="text1" w:themeTint="BF"/>
          <w:szCs w:val="20"/>
        </w:rPr>
      </w:pPr>
      <w:r w:rsidRPr="009161F7">
        <w:rPr>
          <w:rFonts w:asciiTheme="minorHAnsi" w:hAnsiTheme="minorHAnsi"/>
          <w:color w:val="404040" w:themeColor="text1" w:themeTint="BF"/>
          <w:szCs w:val="20"/>
        </w:rPr>
        <w:t xml:space="preserve">Foundations &amp; Other Philanthropic Partners </w:t>
      </w:r>
    </w:p>
    <w:p w14:paraId="59C41564" w14:textId="77777777" w:rsidR="00B10F1E" w:rsidRPr="009161F7" w:rsidRDefault="00B10F1E" w:rsidP="00B10F1E">
      <w:pPr>
        <w:pStyle w:val="ListParagraph"/>
        <w:spacing w:line="360" w:lineRule="auto"/>
        <w:rPr>
          <w:rFonts w:asciiTheme="minorHAnsi" w:hAnsiTheme="minorHAnsi"/>
          <w:b/>
          <w:color w:val="404040" w:themeColor="text1" w:themeTint="BF"/>
          <w:szCs w:val="20"/>
        </w:rPr>
      </w:pPr>
      <w:r w:rsidRPr="009161F7">
        <w:rPr>
          <w:rFonts w:asciiTheme="minorHAnsi" w:hAnsiTheme="minorHAnsi"/>
          <w:color w:val="404040" w:themeColor="text1" w:themeTint="BF"/>
          <w:szCs w:val="20"/>
        </w:rPr>
        <w:t xml:space="preserve">Eleemosynary establishments and philanthropic partners make up a critical part of the funding stream used in the State of Utah. It is estimated that during the </w:t>
      </w:r>
      <w:r>
        <w:rPr>
          <w:rFonts w:asciiTheme="minorHAnsi" w:hAnsiTheme="minorHAnsi"/>
          <w:color w:val="404040" w:themeColor="text1" w:themeTint="BF"/>
          <w:szCs w:val="20"/>
        </w:rPr>
        <w:t>2017-18</w:t>
      </w:r>
      <w:r w:rsidRPr="009161F7">
        <w:rPr>
          <w:rFonts w:asciiTheme="minorHAnsi" w:hAnsiTheme="minorHAnsi"/>
          <w:color w:val="404040" w:themeColor="text1" w:themeTint="BF"/>
          <w:szCs w:val="20"/>
        </w:rPr>
        <w:t xml:space="preserve"> program year, over $2</w:t>
      </w:r>
      <w:r>
        <w:rPr>
          <w:rFonts w:asciiTheme="minorHAnsi" w:hAnsiTheme="minorHAnsi"/>
          <w:color w:val="404040" w:themeColor="text1" w:themeTint="BF"/>
          <w:szCs w:val="20"/>
        </w:rPr>
        <w:t>5</w:t>
      </w:r>
      <w:r w:rsidRPr="009161F7">
        <w:rPr>
          <w:rFonts w:asciiTheme="minorHAnsi" w:hAnsiTheme="minorHAnsi"/>
          <w:color w:val="404040" w:themeColor="text1" w:themeTint="BF"/>
          <w:szCs w:val="20"/>
        </w:rPr>
        <w:t>m was used to support low and moderate-income residents, with a considerable amount of the funding being used in Salt Lake City.</w:t>
      </w:r>
    </w:p>
    <w:p w14:paraId="527575E4" w14:textId="77777777" w:rsidR="00B10F1E" w:rsidRPr="006723EF" w:rsidRDefault="00B10F1E" w:rsidP="00B10F1E">
      <w:pPr>
        <w:spacing w:line="336" w:lineRule="auto"/>
        <w:rPr>
          <w:rFonts w:ascii="Gotham Book" w:eastAsiaTheme="majorEastAsia" w:hAnsi="Gotham Book" w:cstheme="majorBidi"/>
          <w:color w:val="404040" w:themeColor="text1" w:themeTint="BF"/>
          <w:spacing w:val="5"/>
          <w:kern w:val="28"/>
          <w:szCs w:val="20"/>
        </w:rPr>
      </w:pPr>
    </w:p>
    <w:p w14:paraId="7F38A07D" w14:textId="77777777" w:rsidR="00B10F1E" w:rsidRPr="006723EF" w:rsidRDefault="00B10F1E" w:rsidP="00B10F1E">
      <w:pPr>
        <w:spacing w:line="276" w:lineRule="auto"/>
        <w:ind w:right="360"/>
        <w:rPr>
          <w:rFonts w:asciiTheme="minorHAnsi" w:hAnsiTheme="minorHAnsi" w:cstheme="minorHAnsi"/>
          <w:b/>
          <w:color w:val="404040" w:themeColor="text1" w:themeTint="BF"/>
          <w:szCs w:val="20"/>
        </w:rPr>
      </w:pPr>
      <w:r w:rsidRPr="006723EF">
        <w:rPr>
          <w:rFonts w:asciiTheme="minorHAnsi" w:hAnsiTheme="minorHAnsi" w:cstheme="minorHAnsi"/>
          <w:b/>
          <w:color w:val="404040" w:themeColor="text1" w:themeTint="BF"/>
          <w:szCs w:val="20"/>
        </w:rPr>
        <w:t xml:space="preserve">Table 5 – Fiscal Year Summary – HOME Match Report </w:t>
      </w:r>
    </w:p>
    <w:tbl>
      <w:tblPr>
        <w:tblW w:w="8510" w:type="dxa"/>
        <w:tblInd w:w="-5" w:type="dxa"/>
        <w:tblLook w:val="04A0" w:firstRow="1" w:lastRow="0" w:firstColumn="1" w:lastColumn="0" w:noHBand="0" w:noVBand="1"/>
      </w:tblPr>
      <w:tblGrid>
        <w:gridCol w:w="630"/>
        <w:gridCol w:w="4950"/>
        <w:gridCol w:w="1530"/>
        <w:gridCol w:w="1400"/>
      </w:tblGrid>
      <w:tr w:rsidR="00B10F1E" w:rsidRPr="006723EF" w14:paraId="3BF1D3FE" w14:textId="77777777" w:rsidTr="00816745">
        <w:trPr>
          <w:trHeight w:val="288"/>
        </w:trPr>
        <w:tc>
          <w:tcPr>
            <w:tcW w:w="851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3A71D47F" w14:textId="77777777" w:rsidR="00B10F1E" w:rsidRPr="006723EF" w:rsidRDefault="00B10F1E" w:rsidP="00816745">
            <w:pPr>
              <w:jc w:val="center"/>
              <w:rPr>
                <w:rFonts w:ascii="Calibri" w:eastAsia="Times New Roman" w:hAnsi="Calibri"/>
                <w:b/>
                <w:bCs/>
                <w:color w:val="404040"/>
                <w:szCs w:val="20"/>
              </w:rPr>
            </w:pPr>
            <w:r w:rsidRPr="006723EF">
              <w:rPr>
                <w:rFonts w:ascii="Calibri" w:eastAsia="Times New Roman" w:hAnsi="Calibri"/>
                <w:b/>
                <w:bCs/>
                <w:color w:val="404040"/>
                <w:szCs w:val="20"/>
              </w:rPr>
              <w:t>Fiscal Year Summary - HOME Match</w:t>
            </w:r>
          </w:p>
        </w:tc>
      </w:tr>
      <w:tr w:rsidR="00B10F1E" w:rsidRPr="006723EF" w14:paraId="6B3EBBE7" w14:textId="77777777" w:rsidTr="00816745">
        <w:trPr>
          <w:trHeight w:val="288"/>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475E9888" w14:textId="77777777" w:rsidR="00B10F1E" w:rsidRPr="006723EF" w:rsidRDefault="00B10F1E" w:rsidP="00816745">
            <w:pPr>
              <w:rPr>
                <w:rFonts w:ascii="Calibri" w:eastAsia="Times New Roman" w:hAnsi="Calibri"/>
                <w:color w:val="404040"/>
                <w:szCs w:val="20"/>
              </w:rPr>
            </w:pPr>
            <w:r w:rsidRPr="006723EF">
              <w:rPr>
                <w:rFonts w:ascii="Calibri" w:eastAsia="Times New Roman" w:hAnsi="Calibri"/>
                <w:color w:val="404040"/>
                <w:szCs w:val="20"/>
              </w:rPr>
              <w:t>1</w:t>
            </w:r>
          </w:p>
        </w:tc>
        <w:tc>
          <w:tcPr>
            <w:tcW w:w="4950" w:type="dxa"/>
            <w:tcBorders>
              <w:top w:val="nil"/>
              <w:left w:val="nil"/>
              <w:bottom w:val="single" w:sz="4" w:space="0" w:color="auto"/>
              <w:right w:val="single" w:sz="4" w:space="0" w:color="auto"/>
            </w:tcBorders>
            <w:shd w:val="clear" w:color="auto" w:fill="auto"/>
            <w:noWrap/>
            <w:vAlign w:val="bottom"/>
            <w:hideMark/>
          </w:tcPr>
          <w:p w14:paraId="130E6A68" w14:textId="77777777" w:rsidR="00B10F1E" w:rsidRPr="006723EF" w:rsidRDefault="00B10F1E" w:rsidP="00816745">
            <w:pPr>
              <w:rPr>
                <w:rFonts w:ascii="Calibri" w:eastAsia="Times New Roman" w:hAnsi="Calibri"/>
                <w:color w:val="404040"/>
                <w:szCs w:val="20"/>
              </w:rPr>
            </w:pPr>
            <w:r w:rsidRPr="006723EF">
              <w:rPr>
                <w:rFonts w:ascii="Calibri" w:eastAsia="Times New Roman" w:hAnsi="Calibri"/>
                <w:color w:val="404040"/>
                <w:szCs w:val="20"/>
              </w:rPr>
              <w:t>Excess match from prior Federal fiscal year</w:t>
            </w:r>
          </w:p>
        </w:tc>
        <w:tc>
          <w:tcPr>
            <w:tcW w:w="1530" w:type="dxa"/>
            <w:tcBorders>
              <w:top w:val="nil"/>
              <w:left w:val="nil"/>
              <w:bottom w:val="single" w:sz="4" w:space="0" w:color="auto"/>
              <w:right w:val="single" w:sz="4" w:space="0" w:color="auto"/>
            </w:tcBorders>
            <w:shd w:val="clear" w:color="auto" w:fill="auto"/>
            <w:noWrap/>
            <w:vAlign w:val="bottom"/>
            <w:hideMark/>
          </w:tcPr>
          <w:p w14:paraId="2B14D8D2" w14:textId="77777777" w:rsidR="00B10F1E" w:rsidRPr="0058335F" w:rsidRDefault="00B10F1E" w:rsidP="00816745">
            <w:pPr>
              <w:rPr>
                <w:rFonts w:ascii="Calibri" w:eastAsia="Times New Roman" w:hAnsi="Calibri"/>
                <w:color w:val="404040"/>
                <w:szCs w:val="20"/>
                <w:highlight w:val="yellow"/>
              </w:rPr>
            </w:pPr>
            <w:r w:rsidRPr="00DA7248">
              <w:rPr>
                <w:rFonts w:ascii="Calibri" w:eastAsia="Times New Roman" w:hAnsi="Calibri"/>
                <w:color w:val="404040"/>
                <w:szCs w:val="20"/>
              </w:rPr>
              <w:t xml:space="preserve"> $   47,328</w:t>
            </w:r>
          </w:p>
        </w:tc>
        <w:tc>
          <w:tcPr>
            <w:tcW w:w="1400" w:type="dxa"/>
            <w:tcBorders>
              <w:top w:val="nil"/>
              <w:left w:val="nil"/>
              <w:bottom w:val="single" w:sz="4" w:space="0" w:color="auto"/>
              <w:right w:val="single" w:sz="4" w:space="0" w:color="auto"/>
            </w:tcBorders>
            <w:shd w:val="clear" w:color="000000" w:fill="D9D9D9"/>
            <w:noWrap/>
            <w:vAlign w:val="bottom"/>
            <w:hideMark/>
          </w:tcPr>
          <w:p w14:paraId="59CEBD3D" w14:textId="77777777" w:rsidR="00B10F1E" w:rsidRPr="006723EF" w:rsidRDefault="00B10F1E" w:rsidP="00816745">
            <w:pPr>
              <w:rPr>
                <w:rFonts w:ascii="Calibri" w:eastAsia="Times New Roman" w:hAnsi="Calibri"/>
                <w:color w:val="404040"/>
                <w:szCs w:val="20"/>
              </w:rPr>
            </w:pPr>
            <w:r>
              <w:rPr>
                <w:rFonts w:ascii="Calibri" w:eastAsia="Times New Roman" w:hAnsi="Calibri"/>
                <w:color w:val="404040"/>
                <w:szCs w:val="20"/>
              </w:rPr>
              <w:t> </w:t>
            </w:r>
          </w:p>
        </w:tc>
      </w:tr>
      <w:tr w:rsidR="00B10F1E" w:rsidRPr="006723EF" w14:paraId="15BFCB1B" w14:textId="77777777" w:rsidTr="00816745">
        <w:trPr>
          <w:trHeight w:val="288"/>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60BB7897" w14:textId="77777777" w:rsidR="00B10F1E" w:rsidRPr="006723EF" w:rsidRDefault="00B10F1E" w:rsidP="00816745">
            <w:pPr>
              <w:rPr>
                <w:rFonts w:ascii="Calibri" w:eastAsia="Times New Roman" w:hAnsi="Calibri"/>
                <w:color w:val="404040"/>
                <w:szCs w:val="20"/>
              </w:rPr>
            </w:pPr>
            <w:r w:rsidRPr="006723EF">
              <w:rPr>
                <w:rFonts w:ascii="Calibri" w:eastAsia="Times New Roman" w:hAnsi="Calibri"/>
                <w:color w:val="404040"/>
                <w:szCs w:val="20"/>
              </w:rPr>
              <w:t>2</w:t>
            </w:r>
          </w:p>
        </w:tc>
        <w:tc>
          <w:tcPr>
            <w:tcW w:w="4950" w:type="dxa"/>
            <w:tcBorders>
              <w:top w:val="nil"/>
              <w:left w:val="nil"/>
              <w:bottom w:val="single" w:sz="4" w:space="0" w:color="auto"/>
              <w:right w:val="single" w:sz="4" w:space="0" w:color="auto"/>
            </w:tcBorders>
            <w:shd w:val="clear" w:color="auto" w:fill="auto"/>
            <w:noWrap/>
            <w:vAlign w:val="bottom"/>
            <w:hideMark/>
          </w:tcPr>
          <w:p w14:paraId="130E1372" w14:textId="77777777" w:rsidR="00B10F1E" w:rsidRPr="006723EF" w:rsidRDefault="00B10F1E" w:rsidP="00816745">
            <w:pPr>
              <w:rPr>
                <w:rFonts w:ascii="Calibri" w:eastAsia="Times New Roman" w:hAnsi="Calibri"/>
                <w:color w:val="404040"/>
                <w:szCs w:val="20"/>
              </w:rPr>
            </w:pPr>
            <w:r w:rsidRPr="006723EF">
              <w:rPr>
                <w:rFonts w:ascii="Calibri" w:eastAsia="Times New Roman" w:hAnsi="Calibri"/>
                <w:color w:val="404040"/>
                <w:szCs w:val="20"/>
              </w:rPr>
              <w:t>Match contributed during current Federal fiscal year</w:t>
            </w:r>
          </w:p>
        </w:tc>
        <w:tc>
          <w:tcPr>
            <w:tcW w:w="1530" w:type="dxa"/>
            <w:tcBorders>
              <w:top w:val="nil"/>
              <w:left w:val="nil"/>
              <w:bottom w:val="single" w:sz="4" w:space="0" w:color="auto"/>
              <w:right w:val="single" w:sz="4" w:space="0" w:color="auto"/>
            </w:tcBorders>
            <w:shd w:val="clear" w:color="auto" w:fill="auto"/>
            <w:noWrap/>
            <w:vAlign w:val="bottom"/>
            <w:hideMark/>
          </w:tcPr>
          <w:p w14:paraId="1E0CC70C" w14:textId="30484154" w:rsidR="00B10F1E" w:rsidRPr="001A7496" w:rsidRDefault="00B10F1E" w:rsidP="001A7496">
            <w:pPr>
              <w:rPr>
                <w:rFonts w:ascii="Calibri" w:eastAsia="Times New Roman" w:hAnsi="Calibri"/>
                <w:color w:val="404040"/>
                <w:szCs w:val="20"/>
              </w:rPr>
            </w:pPr>
            <w:r w:rsidRPr="001A7496">
              <w:rPr>
                <w:rFonts w:ascii="Calibri" w:eastAsia="Times New Roman" w:hAnsi="Calibri"/>
                <w:color w:val="404040"/>
                <w:szCs w:val="20"/>
              </w:rPr>
              <w:t xml:space="preserve"> $  </w:t>
            </w:r>
            <w:r w:rsidR="001A7496">
              <w:rPr>
                <w:rFonts w:ascii="Calibri" w:eastAsia="Times New Roman" w:hAnsi="Calibri"/>
                <w:color w:val="404040"/>
                <w:szCs w:val="20"/>
              </w:rPr>
              <w:t>550</w:t>
            </w:r>
            <w:r w:rsidR="001A7496" w:rsidRPr="001A7496">
              <w:rPr>
                <w:rFonts w:ascii="Calibri" w:eastAsia="Times New Roman" w:hAnsi="Calibri"/>
                <w:color w:val="404040"/>
                <w:szCs w:val="20"/>
              </w:rPr>
              <w:t>,000</w:t>
            </w:r>
          </w:p>
        </w:tc>
        <w:tc>
          <w:tcPr>
            <w:tcW w:w="1400" w:type="dxa"/>
            <w:tcBorders>
              <w:top w:val="nil"/>
              <w:left w:val="nil"/>
              <w:bottom w:val="single" w:sz="4" w:space="0" w:color="auto"/>
              <w:right w:val="single" w:sz="4" w:space="0" w:color="auto"/>
            </w:tcBorders>
            <w:shd w:val="clear" w:color="000000" w:fill="D9D9D9"/>
            <w:noWrap/>
            <w:vAlign w:val="bottom"/>
            <w:hideMark/>
          </w:tcPr>
          <w:p w14:paraId="6B3CC789" w14:textId="77777777" w:rsidR="00B10F1E" w:rsidRPr="001A7496" w:rsidRDefault="00B10F1E" w:rsidP="00816745">
            <w:pPr>
              <w:rPr>
                <w:rFonts w:ascii="Calibri" w:eastAsia="Times New Roman" w:hAnsi="Calibri"/>
                <w:color w:val="404040"/>
                <w:szCs w:val="20"/>
              </w:rPr>
            </w:pPr>
            <w:r w:rsidRPr="001A7496">
              <w:rPr>
                <w:rFonts w:ascii="Calibri" w:eastAsia="Times New Roman" w:hAnsi="Calibri"/>
                <w:color w:val="404040"/>
                <w:szCs w:val="20"/>
              </w:rPr>
              <w:t> </w:t>
            </w:r>
          </w:p>
        </w:tc>
      </w:tr>
      <w:tr w:rsidR="00B10F1E" w:rsidRPr="006723EF" w14:paraId="34FC32DE" w14:textId="77777777" w:rsidTr="00816745">
        <w:trPr>
          <w:trHeight w:val="288"/>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79DF99DB" w14:textId="77777777" w:rsidR="00B10F1E" w:rsidRPr="006723EF" w:rsidRDefault="00B10F1E" w:rsidP="00816745">
            <w:pPr>
              <w:rPr>
                <w:rFonts w:ascii="Calibri" w:eastAsia="Times New Roman" w:hAnsi="Calibri"/>
                <w:color w:val="404040"/>
                <w:szCs w:val="20"/>
              </w:rPr>
            </w:pPr>
            <w:r w:rsidRPr="006723EF">
              <w:rPr>
                <w:rFonts w:ascii="Calibri" w:eastAsia="Times New Roman" w:hAnsi="Calibri"/>
                <w:color w:val="404040"/>
                <w:szCs w:val="20"/>
              </w:rPr>
              <w:t>3</w:t>
            </w:r>
          </w:p>
        </w:tc>
        <w:tc>
          <w:tcPr>
            <w:tcW w:w="4950" w:type="dxa"/>
            <w:tcBorders>
              <w:top w:val="nil"/>
              <w:left w:val="nil"/>
              <w:bottom w:val="single" w:sz="4" w:space="0" w:color="auto"/>
              <w:right w:val="single" w:sz="4" w:space="0" w:color="auto"/>
            </w:tcBorders>
            <w:shd w:val="clear" w:color="auto" w:fill="auto"/>
            <w:noWrap/>
            <w:vAlign w:val="bottom"/>
            <w:hideMark/>
          </w:tcPr>
          <w:p w14:paraId="121E589A" w14:textId="77777777" w:rsidR="00B10F1E" w:rsidRPr="006723EF" w:rsidRDefault="00B10F1E" w:rsidP="00816745">
            <w:pPr>
              <w:rPr>
                <w:rFonts w:ascii="Calibri" w:eastAsia="Times New Roman" w:hAnsi="Calibri"/>
                <w:color w:val="404040"/>
                <w:szCs w:val="20"/>
              </w:rPr>
            </w:pPr>
            <w:r w:rsidRPr="006723EF">
              <w:rPr>
                <w:rFonts w:ascii="Calibri" w:eastAsia="Times New Roman" w:hAnsi="Calibri"/>
                <w:color w:val="404040"/>
                <w:szCs w:val="20"/>
              </w:rPr>
              <w:t>Total match available for current Federal fiscal year (Line 1 plus Line 2)</w:t>
            </w:r>
          </w:p>
        </w:tc>
        <w:tc>
          <w:tcPr>
            <w:tcW w:w="1530" w:type="dxa"/>
            <w:tcBorders>
              <w:top w:val="nil"/>
              <w:left w:val="nil"/>
              <w:bottom w:val="single" w:sz="4" w:space="0" w:color="auto"/>
              <w:right w:val="single" w:sz="4" w:space="0" w:color="auto"/>
            </w:tcBorders>
            <w:shd w:val="clear" w:color="000000" w:fill="D9D9D9"/>
            <w:noWrap/>
            <w:vAlign w:val="bottom"/>
            <w:hideMark/>
          </w:tcPr>
          <w:p w14:paraId="3139D11B" w14:textId="77777777" w:rsidR="00B10F1E" w:rsidRPr="001A7496" w:rsidRDefault="00B10F1E" w:rsidP="00816745">
            <w:pPr>
              <w:rPr>
                <w:rFonts w:ascii="Calibri" w:eastAsia="Times New Roman" w:hAnsi="Calibri"/>
                <w:color w:val="404040"/>
                <w:szCs w:val="20"/>
              </w:rPr>
            </w:pPr>
            <w:r w:rsidRPr="001A7496">
              <w:rPr>
                <w:rFonts w:ascii="Calibri" w:eastAsia="Times New Roman" w:hAnsi="Calibri"/>
                <w:color w:val="404040"/>
                <w:szCs w:val="20"/>
              </w:rPr>
              <w:t> </w:t>
            </w:r>
          </w:p>
        </w:tc>
        <w:tc>
          <w:tcPr>
            <w:tcW w:w="1400" w:type="dxa"/>
            <w:tcBorders>
              <w:top w:val="nil"/>
              <w:left w:val="nil"/>
              <w:bottom w:val="single" w:sz="4" w:space="0" w:color="auto"/>
              <w:right w:val="single" w:sz="4" w:space="0" w:color="auto"/>
            </w:tcBorders>
            <w:shd w:val="clear" w:color="auto" w:fill="auto"/>
            <w:noWrap/>
            <w:vAlign w:val="bottom"/>
            <w:hideMark/>
          </w:tcPr>
          <w:p w14:paraId="1217C563" w14:textId="302F1A1A" w:rsidR="00B10F1E" w:rsidRPr="001A7496" w:rsidRDefault="00B10F1E" w:rsidP="001A7496">
            <w:pPr>
              <w:rPr>
                <w:rFonts w:ascii="Calibri" w:eastAsia="Times New Roman" w:hAnsi="Calibri"/>
                <w:color w:val="404040"/>
                <w:szCs w:val="20"/>
              </w:rPr>
            </w:pPr>
            <w:r w:rsidRPr="001A7496">
              <w:rPr>
                <w:rFonts w:ascii="Calibri" w:eastAsia="Times New Roman" w:hAnsi="Calibri"/>
                <w:color w:val="404040"/>
                <w:szCs w:val="20"/>
              </w:rPr>
              <w:t xml:space="preserve"> $ </w:t>
            </w:r>
            <w:r w:rsidR="001A7496">
              <w:rPr>
                <w:rFonts w:ascii="Calibri" w:eastAsia="Times New Roman" w:hAnsi="Calibri"/>
                <w:color w:val="404040"/>
                <w:szCs w:val="20"/>
              </w:rPr>
              <w:t>597,328</w:t>
            </w:r>
            <w:r w:rsidRPr="001A7496">
              <w:rPr>
                <w:rFonts w:ascii="Calibri" w:eastAsia="Times New Roman" w:hAnsi="Calibri"/>
                <w:color w:val="404040"/>
                <w:szCs w:val="20"/>
              </w:rPr>
              <w:t xml:space="preserve"> </w:t>
            </w:r>
          </w:p>
        </w:tc>
      </w:tr>
      <w:tr w:rsidR="00B10F1E" w:rsidRPr="006723EF" w14:paraId="6A385EDB" w14:textId="77777777" w:rsidTr="00816745">
        <w:trPr>
          <w:trHeight w:val="288"/>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4A384890" w14:textId="77777777" w:rsidR="00B10F1E" w:rsidRPr="006723EF" w:rsidRDefault="00B10F1E" w:rsidP="00816745">
            <w:pPr>
              <w:rPr>
                <w:rFonts w:ascii="Calibri" w:eastAsia="Times New Roman" w:hAnsi="Calibri"/>
                <w:color w:val="404040"/>
                <w:szCs w:val="20"/>
              </w:rPr>
            </w:pPr>
            <w:r w:rsidRPr="006723EF">
              <w:rPr>
                <w:rFonts w:ascii="Calibri" w:eastAsia="Times New Roman" w:hAnsi="Calibri"/>
                <w:color w:val="404040"/>
                <w:szCs w:val="20"/>
              </w:rPr>
              <w:t>4</w:t>
            </w:r>
          </w:p>
        </w:tc>
        <w:tc>
          <w:tcPr>
            <w:tcW w:w="4950" w:type="dxa"/>
            <w:tcBorders>
              <w:top w:val="nil"/>
              <w:left w:val="nil"/>
              <w:bottom w:val="single" w:sz="4" w:space="0" w:color="auto"/>
              <w:right w:val="single" w:sz="4" w:space="0" w:color="auto"/>
            </w:tcBorders>
            <w:shd w:val="clear" w:color="auto" w:fill="auto"/>
            <w:noWrap/>
            <w:vAlign w:val="bottom"/>
            <w:hideMark/>
          </w:tcPr>
          <w:p w14:paraId="6C4494F3" w14:textId="77777777" w:rsidR="00B10F1E" w:rsidRPr="006723EF" w:rsidRDefault="00B10F1E" w:rsidP="00816745">
            <w:pPr>
              <w:rPr>
                <w:rFonts w:ascii="Calibri" w:eastAsia="Times New Roman" w:hAnsi="Calibri"/>
                <w:color w:val="404040"/>
                <w:szCs w:val="20"/>
              </w:rPr>
            </w:pPr>
            <w:r w:rsidRPr="006723EF">
              <w:rPr>
                <w:rFonts w:ascii="Calibri" w:eastAsia="Times New Roman" w:hAnsi="Calibri"/>
                <w:color w:val="404040"/>
                <w:szCs w:val="20"/>
              </w:rPr>
              <w:t>Match liability for current Federal fiscal year</w:t>
            </w:r>
          </w:p>
        </w:tc>
        <w:tc>
          <w:tcPr>
            <w:tcW w:w="1530" w:type="dxa"/>
            <w:tcBorders>
              <w:top w:val="nil"/>
              <w:left w:val="nil"/>
              <w:bottom w:val="single" w:sz="4" w:space="0" w:color="auto"/>
              <w:right w:val="single" w:sz="4" w:space="0" w:color="auto"/>
            </w:tcBorders>
            <w:shd w:val="clear" w:color="000000" w:fill="D9D9D9"/>
            <w:noWrap/>
            <w:vAlign w:val="bottom"/>
            <w:hideMark/>
          </w:tcPr>
          <w:p w14:paraId="1E1329E9" w14:textId="77777777" w:rsidR="00B10F1E" w:rsidRPr="001A7496" w:rsidRDefault="00B10F1E" w:rsidP="00816745">
            <w:pPr>
              <w:rPr>
                <w:rFonts w:ascii="Calibri" w:eastAsia="Times New Roman" w:hAnsi="Calibri"/>
                <w:color w:val="404040"/>
                <w:szCs w:val="20"/>
              </w:rPr>
            </w:pPr>
            <w:r w:rsidRPr="001A7496">
              <w:rPr>
                <w:rFonts w:ascii="Calibri" w:eastAsia="Times New Roman" w:hAnsi="Calibri"/>
                <w:color w:val="404040"/>
                <w:szCs w:val="20"/>
              </w:rPr>
              <w:t> </w:t>
            </w:r>
          </w:p>
        </w:tc>
        <w:tc>
          <w:tcPr>
            <w:tcW w:w="1400" w:type="dxa"/>
            <w:tcBorders>
              <w:top w:val="nil"/>
              <w:left w:val="nil"/>
              <w:bottom w:val="single" w:sz="4" w:space="0" w:color="auto"/>
              <w:right w:val="single" w:sz="4" w:space="0" w:color="auto"/>
            </w:tcBorders>
            <w:shd w:val="clear" w:color="auto" w:fill="auto"/>
            <w:noWrap/>
            <w:vAlign w:val="bottom"/>
            <w:hideMark/>
          </w:tcPr>
          <w:p w14:paraId="603B9E64" w14:textId="77777777" w:rsidR="00B10F1E" w:rsidRPr="001A7496" w:rsidRDefault="00B10F1E" w:rsidP="00816745">
            <w:pPr>
              <w:rPr>
                <w:rFonts w:ascii="Calibri" w:eastAsia="Times New Roman" w:hAnsi="Calibri"/>
                <w:color w:val="404040"/>
                <w:szCs w:val="20"/>
              </w:rPr>
            </w:pPr>
            <w:r w:rsidRPr="001A7496">
              <w:rPr>
                <w:rFonts w:ascii="Calibri" w:eastAsia="Times New Roman" w:hAnsi="Calibri"/>
                <w:color w:val="404040"/>
                <w:szCs w:val="20"/>
              </w:rPr>
              <w:t xml:space="preserve"> $ 58,523</w:t>
            </w:r>
          </w:p>
        </w:tc>
      </w:tr>
      <w:tr w:rsidR="00B10F1E" w:rsidRPr="006723EF" w14:paraId="40CB1E5E" w14:textId="77777777" w:rsidTr="00816745">
        <w:trPr>
          <w:trHeight w:val="288"/>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0F9BF36B" w14:textId="77777777" w:rsidR="00B10F1E" w:rsidRPr="006723EF" w:rsidRDefault="00B10F1E" w:rsidP="00816745">
            <w:pPr>
              <w:rPr>
                <w:rFonts w:ascii="Calibri" w:eastAsia="Times New Roman" w:hAnsi="Calibri"/>
                <w:color w:val="404040"/>
                <w:szCs w:val="20"/>
              </w:rPr>
            </w:pPr>
            <w:r w:rsidRPr="006723EF">
              <w:rPr>
                <w:rFonts w:ascii="Calibri" w:eastAsia="Times New Roman" w:hAnsi="Calibri"/>
                <w:color w:val="404040"/>
                <w:szCs w:val="20"/>
              </w:rPr>
              <w:t>5</w:t>
            </w:r>
          </w:p>
        </w:tc>
        <w:tc>
          <w:tcPr>
            <w:tcW w:w="4950" w:type="dxa"/>
            <w:tcBorders>
              <w:top w:val="nil"/>
              <w:left w:val="nil"/>
              <w:bottom w:val="single" w:sz="4" w:space="0" w:color="auto"/>
              <w:right w:val="single" w:sz="4" w:space="0" w:color="auto"/>
            </w:tcBorders>
            <w:shd w:val="clear" w:color="auto" w:fill="auto"/>
            <w:noWrap/>
            <w:vAlign w:val="bottom"/>
            <w:hideMark/>
          </w:tcPr>
          <w:p w14:paraId="6CD60D03" w14:textId="77777777" w:rsidR="00B10F1E" w:rsidRPr="006723EF" w:rsidRDefault="00B10F1E" w:rsidP="00816745">
            <w:pPr>
              <w:rPr>
                <w:rFonts w:ascii="Calibri" w:eastAsia="Times New Roman" w:hAnsi="Calibri"/>
                <w:color w:val="404040"/>
                <w:szCs w:val="20"/>
              </w:rPr>
            </w:pPr>
            <w:r w:rsidRPr="006723EF">
              <w:rPr>
                <w:rFonts w:ascii="Calibri" w:eastAsia="Times New Roman" w:hAnsi="Calibri"/>
                <w:color w:val="404040"/>
                <w:szCs w:val="20"/>
              </w:rPr>
              <w:t>Excess match carried over to next Federal fiscal year (Line 3 minus Line 4)</w:t>
            </w:r>
          </w:p>
        </w:tc>
        <w:tc>
          <w:tcPr>
            <w:tcW w:w="1530" w:type="dxa"/>
            <w:tcBorders>
              <w:top w:val="nil"/>
              <w:left w:val="nil"/>
              <w:bottom w:val="single" w:sz="4" w:space="0" w:color="auto"/>
              <w:right w:val="single" w:sz="4" w:space="0" w:color="auto"/>
            </w:tcBorders>
            <w:shd w:val="clear" w:color="000000" w:fill="D9D9D9"/>
            <w:noWrap/>
            <w:vAlign w:val="bottom"/>
            <w:hideMark/>
          </w:tcPr>
          <w:p w14:paraId="6ABE0E52" w14:textId="77777777" w:rsidR="00B10F1E" w:rsidRPr="001A7496" w:rsidRDefault="00B10F1E" w:rsidP="00816745">
            <w:pPr>
              <w:rPr>
                <w:rFonts w:ascii="Calibri" w:eastAsia="Times New Roman" w:hAnsi="Calibri"/>
                <w:color w:val="404040"/>
                <w:szCs w:val="20"/>
              </w:rPr>
            </w:pPr>
            <w:r w:rsidRPr="001A7496">
              <w:rPr>
                <w:rFonts w:ascii="Calibri" w:eastAsia="Times New Roman" w:hAnsi="Calibri"/>
                <w:color w:val="404040"/>
                <w:szCs w:val="20"/>
              </w:rPr>
              <w:t> </w:t>
            </w:r>
          </w:p>
        </w:tc>
        <w:tc>
          <w:tcPr>
            <w:tcW w:w="1400" w:type="dxa"/>
            <w:tcBorders>
              <w:top w:val="nil"/>
              <w:left w:val="nil"/>
              <w:bottom w:val="single" w:sz="4" w:space="0" w:color="auto"/>
              <w:right w:val="single" w:sz="4" w:space="0" w:color="auto"/>
            </w:tcBorders>
            <w:shd w:val="clear" w:color="auto" w:fill="auto"/>
            <w:noWrap/>
            <w:vAlign w:val="bottom"/>
            <w:hideMark/>
          </w:tcPr>
          <w:p w14:paraId="18383EBA" w14:textId="1815A1EF" w:rsidR="00B10F1E" w:rsidRPr="001A7496" w:rsidRDefault="00B10F1E" w:rsidP="001A7496">
            <w:pPr>
              <w:rPr>
                <w:rFonts w:ascii="Calibri" w:eastAsia="Times New Roman" w:hAnsi="Calibri"/>
                <w:color w:val="404040"/>
                <w:szCs w:val="20"/>
              </w:rPr>
            </w:pPr>
            <w:r w:rsidRPr="001A7496">
              <w:rPr>
                <w:rFonts w:ascii="Calibri" w:eastAsia="Times New Roman" w:hAnsi="Calibri"/>
                <w:color w:val="404040"/>
                <w:szCs w:val="20"/>
              </w:rPr>
              <w:t xml:space="preserve"> $ </w:t>
            </w:r>
            <w:r w:rsidR="001A7496">
              <w:rPr>
                <w:rFonts w:ascii="Calibri" w:eastAsia="Times New Roman" w:hAnsi="Calibri"/>
                <w:color w:val="404040"/>
                <w:szCs w:val="20"/>
              </w:rPr>
              <w:t>538,805</w:t>
            </w:r>
          </w:p>
        </w:tc>
      </w:tr>
    </w:tbl>
    <w:p w14:paraId="4B58C9D9" w14:textId="77777777" w:rsidR="00B10F1E" w:rsidRDefault="00B10F1E" w:rsidP="00B10F1E">
      <w:pPr>
        <w:spacing w:line="276" w:lineRule="auto"/>
        <w:ind w:right="360"/>
        <w:rPr>
          <w:rFonts w:asciiTheme="minorHAnsi" w:hAnsiTheme="minorHAnsi" w:cstheme="minorHAnsi"/>
          <w:b/>
          <w:color w:val="404040" w:themeColor="text1" w:themeTint="BF"/>
          <w:szCs w:val="20"/>
        </w:rPr>
      </w:pPr>
    </w:p>
    <w:p w14:paraId="28447189" w14:textId="77777777" w:rsidR="00B10F1E" w:rsidRDefault="00B10F1E" w:rsidP="00B10F1E">
      <w:pPr>
        <w:spacing w:line="276" w:lineRule="auto"/>
        <w:ind w:right="360"/>
        <w:rPr>
          <w:rFonts w:asciiTheme="minorHAnsi" w:hAnsiTheme="minorHAnsi" w:cstheme="minorHAnsi"/>
          <w:b/>
          <w:color w:val="404040" w:themeColor="text1" w:themeTint="BF"/>
          <w:szCs w:val="20"/>
        </w:rPr>
      </w:pPr>
    </w:p>
    <w:p w14:paraId="64C4573B" w14:textId="77777777" w:rsidR="00B10F1E" w:rsidRDefault="00B10F1E" w:rsidP="00B10F1E">
      <w:pPr>
        <w:spacing w:line="276" w:lineRule="auto"/>
        <w:ind w:right="360"/>
        <w:rPr>
          <w:rFonts w:asciiTheme="minorHAnsi" w:hAnsiTheme="minorHAnsi" w:cstheme="minorHAnsi"/>
          <w:b/>
          <w:color w:val="404040" w:themeColor="text1" w:themeTint="BF"/>
          <w:szCs w:val="20"/>
        </w:rPr>
      </w:pPr>
    </w:p>
    <w:p w14:paraId="5B5350B1" w14:textId="77777777" w:rsidR="00B10F1E" w:rsidRPr="00DF5513" w:rsidRDefault="00B10F1E" w:rsidP="00B10F1E">
      <w:pPr>
        <w:spacing w:line="276" w:lineRule="auto"/>
        <w:ind w:right="360"/>
        <w:rPr>
          <w:rFonts w:asciiTheme="minorHAnsi" w:hAnsiTheme="minorHAnsi" w:cstheme="minorHAnsi"/>
          <w:b/>
          <w:color w:val="404040" w:themeColor="text1" w:themeTint="BF"/>
          <w:szCs w:val="20"/>
        </w:rPr>
      </w:pPr>
      <w:r w:rsidRPr="00DF5513">
        <w:rPr>
          <w:rFonts w:asciiTheme="minorHAnsi" w:hAnsiTheme="minorHAnsi" w:cstheme="minorHAnsi"/>
          <w:b/>
          <w:color w:val="404040" w:themeColor="text1" w:themeTint="BF"/>
          <w:szCs w:val="20"/>
        </w:rPr>
        <w:t xml:space="preserve">Table 6 – Match Contribution for the Federal Fiscal Year </w:t>
      </w:r>
    </w:p>
    <w:tbl>
      <w:tblPr>
        <w:tblW w:w="8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610"/>
      </w:tblGrid>
      <w:tr w:rsidR="00B10F1E" w:rsidRPr="006723EF" w14:paraId="39FF8562" w14:textId="77777777" w:rsidTr="00816745">
        <w:trPr>
          <w:trHeight w:val="288"/>
        </w:trPr>
        <w:tc>
          <w:tcPr>
            <w:tcW w:w="8280" w:type="dxa"/>
            <w:gridSpan w:val="2"/>
            <w:shd w:val="clear" w:color="auto" w:fill="C6D9F1" w:themeFill="text2" w:themeFillTint="33"/>
            <w:noWrap/>
            <w:vAlign w:val="bottom"/>
            <w:hideMark/>
          </w:tcPr>
          <w:p w14:paraId="264B8379" w14:textId="77777777" w:rsidR="00B10F1E" w:rsidRPr="006723EF" w:rsidRDefault="00B10F1E" w:rsidP="00816745">
            <w:pPr>
              <w:jc w:val="center"/>
              <w:rPr>
                <w:rFonts w:ascii="Calibri" w:eastAsia="Times New Roman" w:hAnsi="Calibri"/>
                <w:b/>
                <w:bCs/>
                <w:color w:val="404040"/>
                <w:szCs w:val="20"/>
              </w:rPr>
            </w:pPr>
            <w:r w:rsidRPr="006723EF">
              <w:rPr>
                <w:rFonts w:ascii="Calibri" w:eastAsia="Times New Roman" w:hAnsi="Calibri"/>
                <w:b/>
                <w:bCs/>
                <w:color w:val="404040"/>
                <w:szCs w:val="20"/>
              </w:rPr>
              <w:t>Match Contribution</w:t>
            </w:r>
          </w:p>
        </w:tc>
      </w:tr>
      <w:tr w:rsidR="00B10F1E" w:rsidRPr="006723EF" w14:paraId="62A2654A" w14:textId="77777777" w:rsidTr="00816745">
        <w:trPr>
          <w:trHeight w:val="288"/>
        </w:trPr>
        <w:tc>
          <w:tcPr>
            <w:tcW w:w="5670" w:type="dxa"/>
            <w:shd w:val="clear" w:color="auto" w:fill="auto"/>
            <w:vAlign w:val="bottom"/>
            <w:hideMark/>
          </w:tcPr>
          <w:p w14:paraId="1AACE4EF" w14:textId="77777777" w:rsidR="00B10F1E" w:rsidRPr="006723EF" w:rsidRDefault="00B10F1E" w:rsidP="00816745">
            <w:pPr>
              <w:rPr>
                <w:rFonts w:ascii="Calibri" w:eastAsia="Times New Roman" w:hAnsi="Calibri"/>
                <w:color w:val="404040"/>
                <w:szCs w:val="20"/>
              </w:rPr>
            </w:pPr>
            <w:r w:rsidRPr="006723EF">
              <w:rPr>
                <w:rFonts w:ascii="Calibri" w:eastAsia="Times New Roman" w:hAnsi="Calibri"/>
                <w:color w:val="404040"/>
                <w:szCs w:val="20"/>
              </w:rPr>
              <w:t>Project No. or Other ID</w:t>
            </w:r>
          </w:p>
        </w:tc>
        <w:tc>
          <w:tcPr>
            <w:tcW w:w="2610" w:type="dxa"/>
            <w:shd w:val="clear" w:color="auto" w:fill="auto"/>
            <w:vAlign w:val="bottom"/>
            <w:hideMark/>
          </w:tcPr>
          <w:p w14:paraId="75D7609D" w14:textId="77777777" w:rsidR="00B10F1E" w:rsidRPr="006723EF" w:rsidRDefault="00B10F1E" w:rsidP="00816745">
            <w:pPr>
              <w:jc w:val="center"/>
              <w:rPr>
                <w:rFonts w:ascii="Calibri" w:eastAsia="Times New Roman" w:hAnsi="Calibri"/>
                <w:color w:val="404040"/>
                <w:szCs w:val="20"/>
              </w:rPr>
            </w:pPr>
            <w:r w:rsidRPr="006723EF">
              <w:rPr>
                <w:rFonts w:ascii="Calibri" w:eastAsia="Times New Roman" w:hAnsi="Calibri"/>
                <w:color w:val="404040"/>
                <w:szCs w:val="20"/>
              </w:rPr>
              <w:t>Waived Impact Fees</w:t>
            </w:r>
          </w:p>
        </w:tc>
      </w:tr>
      <w:tr w:rsidR="00B10F1E" w:rsidRPr="006723EF" w14:paraId="2FCE2C69" w14:textId="77777777" w:rsidTr="00816745">
        <w:trPr>
          <w:trHeight w:val="288"/>
        </w:trPr>
        <w:tc>
          <w:tcPr>
            <w:tcW w:w="5670" w:type="dxa"/>
            <w:shd w:val="clear" w:color="auto" w:fill="auto"/>
            <w:vAlign w:val="bottom"/>
            <w:hideMark/>
          </w:tcPr>
          <w:p w14:paraId="0B14A446" w14:textId="77777777" w:rsidR="00B10F1E" w:rsidRPr="006723EF" w:rsidRDefault="00B10F1E" w:rsidP="00816745">
            <w:pPr>
              <w:rPr>
                <w:rFonts w:ascii="Calibri" w:eastAsia="Times New Roman" w:hAnsi="Calibri"/>
                <w:color w:val="404040"/>
                <w:szCs w:val="20"/>
              </w:rPr>
            </w:pPr>
            <w:r w:rsidRPr="006723EF">
              <w:rPr>
                <w:rFonts w:ascii="Calibri" w:eastAsia="Times New Roman" w:hAnsi="Calibri"/>
                <w:color w:val="404040"/>
                <w:szCs w:val="20"/>
              </w:rPr>
              <w:t>Date of Contribution</w:t>
            </w:r>
          </w:p>
        </w:tc>
        <w:tc>
          <w:tcPr>
            <w:tcW w:w="2610" w:type="dxa"/>
            <w:shd w:val="clear" w:color="auto" w:fill="auto"/>
            <w:noWrap/>
            <w:vAlign w:val="bottom"/>
            <w:hideMark/>
          </w:tcPr>
          <w:p w14:paraId="31EEC37C" w14:textId="77777777" w:rsidR="00B10F1E" w:rsidRPr="006723EF" w:rsidRDefault="00B10F1E" w:rsidP="00816745">
            <w:pPr>
              <w:jc w:val="center"/>
              <w:rPr>
                <w:rFonts w:ascii="Calibri" w:eastAsia="Times New Roman" w:hAnsi="Calibri"/>
                <w:color w:val="404040"/>
                <w:szCs w:val="20"/>
              </w:rPr>
            </w:pPr>
            <w:r>
              <w:rPr>
                <w:rFonts w:ascii="Calibri" w:eastAsia="Times New Roman" w:hAnsi="Calibri"/>
                <w:color w:val="404040"/>
                <w:szCs w:val="20"/>
              </w:rPr>
              <w:t>N/A</w:t>
            </w:r>
          </w:p>
        </w:tc>
      </w:tr>
      <w:tr w:rsidR="00B10F1E" w:rsidRPr="006723EF" w14:paraId="488C6C18" w14:textId="77777777" w:rsidTr="00816745">
        <w:trPr>
          <w:trHeight w:val="288"/>
        </w:trPr>
        <w:tc>
          <w:tcPr>
            <w:tcW w:w="5670" w:type="dxa"/>
            <w:shd w:val="clear" w:color="auto" w:fill="auto"/>
            <w:vAlign w:val="bottom"/>
            <w:hideMark/>
          </w:tcPr>
          <w:p w14:paraId="138A931C" w14:textId="77777777" w:rsidR="00B10F1E" w:rsidRPr="006723EF" w:rsidRDefault="00B10F1E" w:rsidP="00816745">
            <w:pPr>
              <w:rPr>
                <w:rFonts w:ascii="Calibri" w:eastAsia="Times New Roman" w:hAnsi="Calibri"/>
                <w:color w:val="404040"/>
                <w:szCs w:val="20"/>
              </w:rPr>
            </w:pPr>
            <w:r w:rsidRPr="006723EF">
              <w:rPr>
                <w:rFonts w:ascii="Calibri" w:eastAsia="Times New Roman" w:hAnsi="Calibri"/>
                <w:color w:val="404040"/>
                <w:szCs w:val="20"/>
              </w:rPr>
              <w:t>Cash (non-Federal sources)</w:t>
            </w:r>
          </w:p>
        </w:tc>
        <w:tc>
          <w:tcPr>
            <w:tcW w:w="2610" w:type="dxa"/>
            <w:shd w:val="clear" w:color="auto" w:fill="auto"/>
            <w:noWrap/>
            <w:vAlign w:val="bottom"/>
            <w:hideMark/>
          </w:tcPr>
          <w:p w14:paraId="463A6047" w14:textId="26153254" w:rsidR="00B10F1E" w:rsidRPr="006723EF" w:rsidRDefault="00B10F1E" w:rsidP="001A7496">
            <w:pPr>
              <w:rPr>
                <w:rFonts w:ascii="Calibri" w:eastAsia="Times New Roman" w:hAnsi="Calibri"/>
                <w:color w:val="404040"/>
                <w:szCs w:val="20"/>
              </w:rPr>
            </w:pPr>
            <w:r w:rsidRPr="006723EF">
              <w:rPr>
                <w:rFonts w:ascii="Calibri" w:eastAsia="Times New Roman" w:hAnsi="Calibri"/>
                <w:color w:val="404040"/>
                <w:szCs w:val="20"/>
              </w:rPr>
              <w:t xml:space="preserve"> $                    </w:t>
            </w:r>
            <w:r w:rsidR="001A7496">
              <w:rPr>
                <w:rFonts w:ascii="Calibri" w:eastAsia="Times New Roman" w:hAnsi="Calibri"/>
                <w:color w:val="404040"/>
                <w:szCs w:val="20"/>
              </w:rPr>
              <w:t xml:space="preserve">550,000                </w:t>
            </w:r>
          </w:p>
        </w:tc>
      </w:tr>
      <w:tr w:rsidR="00B10F1E" w:rsidRPr="006723EF" w14:paraId="2B2016E6" w14:textId="77777777" w:rsidTr="00816745">
        <w:trPr>
          <w:trHeight w:val="288"/>
        </w:trPr>
        <w:tc>
          <w:tcPr>
            <w:tcW w:w="5670" w:type="dxa"/>
            <w:shd w:val="clear" w:color="auto" w:fill="auto"/>
            <w:vAlign w:val="bottom"/>
            <w:hideMark/>
          </w:tcPr>
          <w:p w14:paraId="4E1BA890" w14:textId="77777777" w:rsidR="00B10F1E" w:rsidRPr="006723EF" w:rsidRDefault="00B10F1E" w:rsidP="00816745">
            <w:pPr>
              <w:rPr>
                <w:rFonts w:ascii="Calibri" w:eastAsia="Times New Roman" w:hAnsi="Calibri"/>
                <w:color w:val="404040"/>
                <w:szCs w:val="20"/>
              </w:rPr>
            </w:pPr>
            <w:r w:rsidRPr="006723EF">
              <w:rPr>
                <w:rFonts w:ascii="Calibri" w:eastAsia="Times New Roman" w:hAnsi="Calibri"/>
                <w:color w:val="404040"/>
                <w:szCs w:val="20"/>
              </w:rPr>
              <w:t>Foregone Taxes, Fees, Charges</w:t>
            </w:r>
          </w:p>
        </w:tc>
        <w:tc>
          <w:tcPr>
            <w:tcW w:w="2610" w:type="dxa"/>
            <w:shd w:val="clear" w:color="auto" w:fill="auto"/>
            <w:noWrap/>
            <w:vAlign w:val="bottom"/>
            <w:hideMark/>
          </w:tcPr>
          <w:p w14:paraId="161E7FF8" w14:textId="77777777" w:rsidR="00B10F1E" w:rsidRPr="006723EF" w:rsidRDefault="00B10F1E" w:rsidP="00816745">
            <w:pPr>
              <w:rPr>
                <w:rFonts w:ascii="Calibri" w:eastAsia="Times New Roman" w:hAnsi="Calibri"/>
                <w:color w:val="404040"/>
                <w:szCs w:val="20"/>
              </w:rPr>
            </w:pPr>
            <w:r w:rsidRPr="006723EF">
              <w:rPr>
                <w:rFonts w:ascii="Calibri" w:eastAsia="Times New Roman" w:hAnsi="Calibri"/>
                <w:color w:val="404040"/>
                <w:szCs w:val="20"/>
              </w:rPr>
              <w:t xml:space="preserve"> $                                       -   </w:t>
            </w:r>
          </w:p>
        </w:tc>
      </w:tr>
      <w:tr w:rsidR="00B10F1E" w:rsidRPr="006723EF" w14:paraId="556AAAE0" w14:textId="77777777" w:rsidTr="00816745">
        <w:trPr>
          <w:trHeight w:val="288"/>
        </w:trPr>
        <w:tc>
          <w:tcPr>
            <w:tcW w:w="5670" w:type="dxa"/>
            <w:shd w:val="clear" w:color="auto" w:fill="auto"/>
            <w:vAlign w:val="bottom"/>
            <w:hideMark/>
          </w:tcPr>
          <w:p w14:paraId="091B4C2D" w14:textId="77777777" w:rsidR="00B10F1E" w:rsidRPr="006723EF" w:rsidRDefault="00B10F1E" w:rsidP="00816745">
            <w:pPr>
              <w:rPr>
                <w:rFonts w:ascii="Calibri" w:eastAsia="Times New Roman" w:hAnsi="Calibri"/>
                <w:color w:val="404040"/>
                <w:szCs w:val="20"/>
              </w:rPr>
            </w:pPr>
            <w:r w:rsidRPr="006723EF">
              <w:rPr>
                <w:rFonts w:ascii="Calibri" w:eastAsia="Times New Roman" w:hAnsi="Calibri"/>
                <w:color w:val="404040"/>
                <w:szCs w:val="20"/>
              </w:rPr>
              <w:t>Appraised Land/Real Property</w:t>
            </w:r>
          </w:p>
        </w:tc>
        <w:tc>
          <w:tcPr>
            <w:tcW w:w="2610" w:type="dxa"/>
            <w:shd w:val="clear" w:color="auto" w:fill="auto"/>
            <w:noWrap/>
            <w:vAlign w:val="bottom"/>
            <w:hideMark/>
          </w:tcPr>
          <w:p w14:paraId="77460CEC" w14:textId="77777777" w:rsidR="00B10F1E" w:rsidRPr="006723EF" w:rsidRDefault="00B10F1E" w:rsidP="00816745">
            <w:pPr>
              <w:rPr>
                <w:rFonts w:ascii="Calibri" w:eastAsia="Times New Roman" w:hAnsi="Calibri"/>
                <w:color w:val="404040"/>
                <w:szCs w:val="20"/>
              </w:rPr>
            </w:pPr>
            <w:r w:rsidRPr="006723EF">
              <w:rPr>
                <w:rFonts w:ascii="Calibri" w:eastAsia="Times New Roman" w:hAnsi="Calibri"/>
                <w:color w:val="404040"/>
                <w:szCs w:val="20"/>
              </w:rPr>
              <w:t xml:space="preserve"> $                                       -   </w:t>
            </w:r>
          </w:p>
        </w:tc>
      </w:tr>
      <w:tr w:rsidR="00B10F1E" w:rsidRPr="006723EF" w14:paraId="28F83877" w14:textId="77777777" w:rsidTr="00816745">
        <w:trPr>
          <w:trHeight w:val="288"/>
        </w:trPr>
        <w:tc>
          <w:tcPr>
            <w:tcW w:w="5670" w:type="dxa"/>
            <w:shd w:val="clear" w:color="auto" w:fill="auto"/>
            <w:vAlign w:val="bottom"/>
            <w:hideMark/>
          </w:tcPr>
          <w:p w14:paraId="782A3800" w14:textId="77777777" w:rsidR="00B10F1E" w:rsidRPr="006723EF" w:rsidRDefault="00B10F1E" w:rsidP="00816745">
            <w:pPr>
              <w:rPr>
                <w:rFonts w:ascii="Calibri" w:eastAsia="Times New Roman" w:hAnsi="Calibri"/>
                <w:color w:val="404040"/>
                <w:szCs w:val="20"/>
              </w:rPr>
            </w:pPr>
            <w:r w:rsidRPr="006723EF">
              <w:rPr>
                <w:rFonts w:ascii="Calibri" w:eastAsia="Times New Roman" w:hAnsi="Calibri"/>
                <w:color w:val="404040"/>
                <w:szCs w:val="20"/>
              </w:rPr>
              <w:t>Required Infrastructure</w:t>
            </w:r>
          </w:p>
        </w:tc>
        <w:tc>
          <w:tcPr>
            <w:tcW w:w="2610" w:type="dxa"/>
            <w:shd w:val="clear" w:color="auto" w:fill="auto"/>
            <w:noWrap/>
            <w:vAlign w:val="bottom"/>
            <w:hideMark/>
          </w:tcPr>
          <w:p w14:paraId="06B35609" w14:textId="77777777" w:rsidR="00B10F1E" w:rsidRPr="006723EF" w:rsidRDefault="00B10F1E" w:rsidP="00816745">
            <w:pPr>
              <w:rPr>
                <w:rFonts w:ascii="Calibri" w:eastAsia="Times New Roman" w:hAnsi="Calibri"/>
                <w:color w:val="404040"/>
                <w:szCs w:val="20"/>
              </w:rPr>
            </w:pPr>
            <w:r w:rsidRPr="006723EF">
              <w:rPr>
                <w:rFonts w:ascii="Calibri" w:eastAsia="Times New Roman" w:hAnsi="Calibri"/>
                <w:color w:val="404040"/>
                <w:szCs w:val="20"/>
              </w:rPr>
              <w:t xml:space="preserve"> $                                       -   </w:t>
            </w:r>
          </w:p>
        </w:tc>
      </w:tr>
      <w:tr w:rsidR="00B10F1E" w:rsidRPr="006723EF" w14:paraId="081C77DC" w14:textId="77777777" w:rsidTr="00816745">
        <w:trPr>
          <w:trHeight w:val="179"/>
        </w:trPr>
        <w:tc>
          <w:tcPr>
            <w:tcW w:w="5670" w:type="dxa"/>
            <w:shd w:val="clear" w:color="auto" w:fill="auto"/>
            <w:vAlign w:val="bottom"/>
            <w:hideMark/>
          </w:tcPr>
          <w:p w14:paraId="559AF29D" w14:textId="77777777" w:rsidR="00B10F1E" w:rsidRPr="006723EF" w:rsidRDefault="00B10F1E" w:rsidP="00816745">
            <w:pPr>
              <w:rPr>
                <w:rFonts w:ascii="Calibri" w:eastAsia="Times New Roman" w:hAnsi="Calibri"/>
                <w:color w:val="404040"/>
                <w:szCs w:val="20"/>
              </w:rPr>
            </w:pPr>
            <w:r w:rsidRPr="006723EF">
              <w:rPr>
                <w:rFonts w:ascii="Calibri" w:eastAsia="Times New Roman" w:hAnsi="Calibri"/>
                <w:color w:val="404040"/>
                <w:szCs w:val="20"/>
              </w:rPr>
              <w:t>Site Preparation, Construction Materials, Donated Labor</w:t>
            </w:r>
          </w:p>
        </w:tc>
        <w:tc>
          <w:tcPr>
            <w:tcW w:w="2610" w:type="dxa"/>
            <w:shd w:val="clear" w:color="auto" w:fill="auto"/>
            <w:noWrap/>
            <w:vAlign w:val="bottom"/>
            <w:hideMark/>
          </w:tcPr>
          <w:p w14:paraId="345A5285" w14:textId="77777777" w:rsidR="00B10F1E" w:rsidRPr="006723EF" w:rsidRDefault="00B10F1E" w:rsidP="00816745">
            <w:pPr>
              <w:rPr>
                <w:rFonts w:ascii="Calibri" w:eastAsia="Times New Roman" w:hAnsi="Calibri"/>
                <w:color w:val="404040"/>
                <w:szCs w:val="20"/>
              </w:rPr>
            </w:pPr>
            <w:r w:rsidRPr="006723EF">
              <w:rPr>
                <w:rFonts w:ascii="Calibri" w:eastAsia="Times New Roman" w:hAnsi="Calibri"/>
                <w:color w:val="404040"/>
                <w:szCs w:val="20"/>
              </w:rPr>
              <w:t xml:space="preserve"> $                                       -   </w:t>
            </w:r>
          </w:p>
        </w:tc>
      </w:tr>
      <w:tr w:rsidR="00B10F1E" w:rsidRPr="006723EF" w14:paraId="22415F36" w14:textId="77777777" w:rsidTr="00816745">
        <w:trPr>
          <w:trHeight w:val="288"/>
        </w:trPr>
        <w:tc>
          <w:tcPr>
            <w:tcW w:w="5670" w:type="dxa"/>
            <w:shd w:val="clear" w:color="auto" w:fill="auto"/>
            <w:vAlign w:val="bottom"/>
            <w:hideMark/>
          </w:tcPr>
          <w:p w14:paraId="472EE799" w14:textId="77777777" w:rsidR="00B10F1E" w:rsidRPr="006723EF" w:rsidRDefault="00B10F1E" w:rsidP="00816745">
            <w:pPr>
              <w:rPr>
                <w:rFonts w:ascii="Calibri" w:eastAsia="Times New Roman" w:hAnsi="Calibri"/>
                <w:color w:val="404040"/>
                <w:szCs w:val="20"/>
              </w:rPr>
            </w:pPr>
            <w:r w:rsidRPr="006723EF">
              <w:rPr>
                <w:rFonts w:ascii="Calibri" w:eastAsia="Times New Roman" w:hAnsi="Calibri"/>
                <w:color w:val="404040"/>
                <w:szCs w:val="20"/>
              </w:rPr>
              <w:t>Bond Financing</w:t>
            </w:r>
          </w:p>
        </w:tc>
        <w:tc>
          <w:tcPr>
            <w:tcW w:w="2610" w:type="dxa"/>
            <w:shd w:val="clear" w:color="auto" w:fill="auto"/>
            <w:noWrap/>
            <w:vAlign w:val="bottom"/>
            <w:hideMark/>
          </w:tcPr>
          <w:p w14:paraId="6D77A6A8" w14:textId="77777777" w:rsidR="00B10F1E" w:rsidRPr="006723EF" w:rsidRDefault="00B10F1E" w:rsidP="00816745">
            <w:pPr>
              <w:rPr>
                <w:rFonts w:ascii="Calibri" w:eastAsia="Times New Roman" w:hAnsi="Calibri"/>
                <w:color w:val="404040"/>
                <w:szCs w:val="20"/>
              </w:rPr>
            </w:pPr>
            <w:r w:rsidRPr="006723EF">
              <w:rPr>
                <w:rFonts w:ascii="Calibri" w:eastAsia="Times New Roman" w:hAnsi="Calibri"/>
                <w:color w:val="404040"/>
                <w:szCs w:val="20"/>
              </w:rPr>
              <w:t xml:space="preserve"> $                                       -   </w:t>
            </w:r>
          </w:p>
        </w:tc>
      </w:tr>
      <w:tr w:rsidR="00B10F1E" w:rsidRPr="006723EF" w14:paraId="28F8C1D4" w14:textId="77777777" w:rsidTr="00816745">
        <w:trPr>
          <w:trHeight w:val="288"/>
        </w:trPr>
        <w:tc>
          <w:tcPr>
            <w:tcW w:w="5670" w:type="dxa"/>
            <w:shd w:val="clear" w:color="000000" w:fill="D9D9D9"/>
            <w:vAlign w:val="bottom"/>
            <w:hideMark/>
          </w:tcPr>
          <w:p w14:paraId="40EE6EE9" w14:textId="77777777" w:rsidR="00B10F1E" w:rsidRPr="006723EF" w:rsidRDefault="00B10F1E" w:rsidP="00816745">
            <w:pPr>
              <w:rPr>
                <w:rFonts w:ascii="Calibri" w:eastAsia="Times New Roman" w:hAnsi="Calibri"/>
                <w:b/>
                <w:color w:val="404040"/>
                <w:szCs w:val="20"/>
              </w:rPr>
            </w:pPr>
            <w:r w:rsidRPr="006723EF">
              <w:rPr>
                <w:rFonts w:ascii="Calibri" w:eastAsia="Times New Roman" w:hAnsi="Calibri"/>
                <w:b/>
                <w:color w:val="404040"/>
                <w:szCs w:val="20"/>
              </w:rPr>
              <w:t>Total Match</w:t>
            </w:r>
          </w:p>
        </w:tc>
        <w:tc>
          <w:tcPr>
            <w:tcW w:w="2610" w:type="dxa"/>
            <w:shd w:val="clear" w:color="000000" w:fill="D9D9D9"/>
            <w:noWrap/>
            <w:vAlign w:val="bottom"/>
            <w:hideMark/>
          </w:tcPr>
          <w:p w14:paraId="1621C7C0" w14:textId="0FFA3B1C" w:rsidR="00B10F1E" w:rsidRPr="006723EF" w:rsidRDefault="00B10F1E" w:rsidP="00816745">
            <w:pPr>
              <w:rPr>
                <w:rFonts w:ascii="Calibri" w:eastAsia="Times New Roman" w:hAnsi="Calibri"/>
                <w:b/>
                <w:color w:val="404040"/>
                <w:szCs w:val="20"/>
              </w:rPr>
            </w:pPr>
            <w:r w:rsidRPr="006723EF">
              <w:rPr>
                <w:rFonts w:ascii="Calibri" w:eastAsia="Times New Roman" w:hAnsi="Calibri"/>
                <w:b/>
                <w:color w:val="404040"/>
                <w:szCs w:val="20"/>
              </w:rPr>
              <w:t xml:space="preserve"> $ </w:t>
            </w:r>
            <w:r>
              <w:rPr>
                <w:rFonts w:ascii="Calibri" w:eastAsia="Times New Roman" w:hAnsi="Calibri"/>
                <w:b/>
                <w:color w:val="404040"/>
                <w:szCs w:val="20"/>
              </w:rPr>
              <w:t xml:space="preserve">                          </w:t>
            </w:r>
            <w:r w:rsidR="001A7496">
              <w:rPr>
                <w:rFonts w:ascii="Calibri" w:eastAsia="Times New Roman" w:hAnsi="Calibri"/>
                <w:b/>
                <w:color w:val="404040"/>
                <w:szCs w:val="20"/>
              </w:rPr>
              <w:t>550,000</w:t>
            </w:r>
          </w:p>
        </w:tc>
      </w:tr>
    </w:tbl>
    <w:p w14:paraId="6A30BAE1" w14:textId="77777777" w:rsidR="00B10F1E" w:rsidRPr="006723EF" w:rsidRDefault="00B10F1E" w:rsidP="00B10F1E">
      <w:pPr>
        <w:spacing w:line="276" w:lineRule="auto"/>
        <w:ind w:right="360"/>
        <w:rPr>
          <w:rFonts w:asciiTheme="minorHAnsi" w:hAnsiTheme="minorHAnsi" w:cstheme="minorHAnsi"/>
          <w:b/>
          <w:color w:val="F79646" w:themeColor="accent6"/>
          <w:szCs w:val="20"/>
        </w:rPr>
      </w:pPr>
    </w:p>
    <w:p w14:paraId="6A7E33E9" w14:textId="77777777" w:rsidR="00B10F1E" w:rsidRPr="006723EF" w:rsidRDefault="00B10F1E" w:rsidP="00B10F1E">
      <w:pPr>
        <w:spacing w:line="276" w:lineRule="auto"/>
        <w:ind w:right="360"/>
        <w:rPr>
          <w:rFonts w:asciiTheme="minorHAnsi" w:hAnsiTheme="minorHAnsi" w:cstheme="minorHAnsi"/>
          <w:b/>
          <w:color w:val="404040" w:themeColor="text1" w:themeTint="BF"/>
          <w:szCs w:val="20"/>
        </w:rPr>
      </w:pPr>
    </w:p>
    <w:p w14:paraId="069A5A40" w14:textId="77777777" w:rsidR="00B10F1E" w:rsidRPr="006723EF" w:rsidRDefault="00B10F1E" w:rsidP="00B10F1E">
      <w:pPr>
        <w:spacing w:line="276" w:lineRule="auto"/>
        <w:ind w:right="360"/>
        <w:rPr>
          <w:rFonts w:asciiTheme="minorHAnsi" w:hAnsiTheme="minorHAnsi" w:cstheme="minorHAnsi"/>
          <w:b/>
          <w:color w:val="404040" w:themeColor="text1" w:themeTint="BF"/>
          <w:szCs w:val="20"/>
        </w:rPr>
      </w:pPr>
      <w:r w:rsidRPr="006723EF">
        <w:rPr>
          <w:rFonts w:asciiTheme="minorHAnsi" w:hAnsiTheme="minorHAnsi" w:cstheme="minorHAnsi"/>
          <w:b/>
          <w:color w:val="404040" w:themeColor="text1" w:themeTint="BF"/>
          <w:szCs w:val="20"/>
        </w:rPr>
        <w:t>HOME MBE/WBE REPORT</w:t>
      </w:r>
    </w:p>
    <w:p w14:paraId="6A84EC3D" w14:textId="77777777" w:rsidR="00B10F1E" w:rsidRPr="006723EF" w:rsidRDefault="00B10F1E" w:rsidP="00B10F1E">
      <w:pPr>
        <w:spacing w:line="276" w:lineRule="auto"/>
        <w:ind w:right="360"/>
        <w:rPr>
          <w:rFonts w:asciiTheme="minorHAnsi" w:hAnsiTheme="minorHAnsi" w:cstheme="minorHAnsi"/>
          <w:b/>
          <w:color w:val="404040" w:themeColor="text1" w:themeTint="BF"/>
          <w:szCs w:val="20"/>
        </w:rPr>
      </w:pPr>
    </w:p>
    <w:p w14:paraId="0867D9B3" w14:textId="77777777" w:rsidR="00B10F1E" w:rsidRPr="006723EF" w:rsidRDefault="00B10F1E" w:rsidP="00B10F1E">
      <w:pPr>
        <w:spacing w:line="276" w:lineRule="auto"/>
        <w:ind w:right="360"/>
        <w:rPr>
          <w:rFonts w:asciiTheme="minorHAnsi" w:hAnsiTheme="minorHAnsi" w:cstheme="minorHAnsi"/>
          <w:b/>
          <w:color w:val="404040" w:themeColor="text1" w:themeTint="BF"/>
          <w:szCs w:val="20"/>
        </w:rPr>
      </w:pPr>
      <w:r w:rsidRPr="006723EF">
        <w:rPr>
          <w:rFonts w:asciiTheme="minorHAnsi" w:hAnsiTheme="minorHAnsi" w:cstheme="minorHAnsi"/>
          <w:b/>
          <w:color w:val="404040" w:themeColor="text1" w:themeTint="BF"/>
          <w:szCs w:val="20"/>
        </w:rPr>
        <w:t xml:space="preserve">Table 7 – HOME Program Income </w:t>
      </w:r>
    </w:p>
    <w:tbl>
      <w:tblPr>
        <w:tblW w:w="9845" w:type="dxa"/>
        <w:tblLook w:val="04A0" w:firstRow="1" w:lastRow="0" w:firstColumn="1" w:lastColumn="0" w:noHBand="0" w:noVBand="1"/>
      </w:tblPr>
      <w:tblGrid>
        <w:gridCol w:w="1885"/>
        <w:gridCol w:w="2160"/>
        <w:gridCol w:w="2300"/>
        <w:gridCol w:w="1570"/>
        <w:gridCol w:w="1930"/>
      </w:tblGrid>
      <w:tr w:rsidR="00B10F1E" w:rsidRPr="006723EF" w14:paraId="34A41D9F" w14:textId="77777777" w:rsidTr="00816745">
        <w:trPr>
          <w:trHeight w:val="576"/>
        </w:trPr>
        <w:tc>
          <w:tcPr>
            <w:tcW w:w="18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14:paraId="13174CF8" w14:textId="77777777" w:rsidR="00B10F1E" w:rsidRPr="006723EF" w:rsidRDefault="00B10F1E"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Balance on hand at beginning of reporting period</w:t>
            </w:r>
          </w:p>
        </w:tc>
        <w:tc>
          <w:tcPr>
            <w:tcW w:w="2160" w:type="dxa"/>
            <w:tcBorders>
              <w:top w:val="single" w:sz="4" w:space="0" w:color="auto"/>
              <w:left w:val="nil"/>
              <w:bottom w:val="single" w:sz="4" w:space="0" w:color="auto"/>
              <w:right w:val="single" w:sz="4" w:space="0" w:color="auto"/>
            </w:tcBorders>
            <w:shd w:val="clear" w:color="auto" w:fill="C6D9F1" w:themeFill="text2" w:themeFillTint="33"/>
            <w:vAlign w:val="bottom"/>
            <w:hideMark/>
          </w:tcPr>
          <w:p w14:paraId="7FF08E9F" w14:textId="77777777" w:rsidR="00B10F1E" w:rsidRPr="006723EF" w:rsidRDefault="00B10F1E"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Amount received during reporting period</w:t>
            </w:r>
          </w:p>
        </w:tc>
        <w:tc>
          <w:tcPr>
            <w:tcW w:w="2300" w:type="dxa"/>
            <w:tcBorders>
              <w:top w:val="single" w:sz="4" w:space="0" w:color="auto"/>
              <w:left w:val="nil"/>
              <w:bottom w:val="single" w:sz="4" w:space="0" w:color="auto"/>
              <w:right w:val="single" w:sz="4" w:space="0" w:color="auto"/>
            </w:tcBorders>
            <w:shd w:val="clear" w:color="auto" w:fill="C6D9F1" w:themeFill="text2" w:themeFillTint="33"/>
            <w:vAlign w:val="bottom"/>
            <w:hideMark/>
          </w:tcPr>
          <w:p w14:paraId="4A9C635F" w14:textId="77777777" w:rsidR="00B10F1E" w:rsidRPr="006723EF" w:rsidRDefault="00B10F1E"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Total amount expended during reporting period</w:t>
            </w:r>
          </w:p>
        </w:tc>
        <w:tc>
          <w:tcPr>
            <w:tcW w:w="1570" w:type="dxa"/>
            <w:tcBorders>
              <w:top w:val="single" w:sz="4" w:space="0" w:color="auto"/>
              <w:left w:val="nil"/>
              <w:bottom w:val="single" w:sz="4" w:space="0" w:color="auto"/>
              <w:right w:val="single" w:sz="4" w:space="0" w:color="auto"/>
            </w:tcBorders>
            <w:shd w:val="clear" w:color="auto" w:fill="C6D9F1" w:themeFill="text2" w:themeFillTint="33"/>
            <w:vAlign w:val="bottom"/>
            <w:hideMark/>
          </w:tcPr>
          <w:p w14:paraId="6C9D05DB" w14:textId="77777777" w:rsidR="00B10F1E" w:rsidRPr="006723EF" w:rsidRDefault="00B10F1E"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Amount expended for TBRA</w:t>
            </w:r>
          </w:p>
        </w:tc>
        <w:tc>
          <w:tcPr>
            <w:tcW w:w="1930" w:type="dxa"/>
            <w:tcBorders>
              <w:top w:val="single" w:sz="4" w:space="0" w:color="auto"/>
              <w:left w:val="nil"/>
              <w:bottom w:val="single" w:sz="4" w:space="0" w:color="auto"/>
              <w:right w:val="single" w:sz="4" w:space="0" w:color="auto"/>
            </w:tcBorders>
            <w:shd w:val="clear" w:color="auto" w:fill="C6D9F1" w:themeFill="text2" w:themeFillTint="33"/>
            <w:vAlign w:val="bottom"/>
            <w:hideMark/>
          </w:tcPr>
          <w:p w14:paraId="5EF6944C" w14:textId="77777777" w:rsidR="00B10F1E" w:rsidRPr="006723EF" w:rsidRDefault="00B10F1E"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Balance on hand at end of reporting period</w:t>
            </w:r>
          </w:p>
        </w:tc>
      </w:tr>
      <w:tr w:rsidR="00B10F1E" w:rsidRPr="006723EF" w14:paraId="3C40B66D" w14:textId="77777777" w:rsidTr="00816745">
        <w:trPr>
          <w:trHeight w:val="288"/>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171139D3" w14:textId="77777777" w:rsidR="00B10F1E" w:rsidRPr="0058335F" w:rsidRDefault="00B10F1E" w:rsidP="00816745">
            <w:pPr>
              <w:rPr>
                <w:rFonts w:ascii="Calibri" w:eastAsia="Times New Roman" w:hAnsi="Calibri"/>
                <w:color w:val="404040" w:themeColor="text1" w:themeTint="BF"/>
                <w:szCs w:val="20"/>
                <w:highlight w:val="yellow"/>
              </w:rPr>
            </w:pPr>
            <w:r w:rsidRPr="00DA7248">
              <w:rPr>
                <w:rFonts w:ascii="Calibri" w:eastAsia="Times New Roman" w:hAnsi="Calibri"/>
                <w:color w:val="404040" w:themeColor="text1" w:themeTint="BF"/>
                <w:szCs w:val="20"/>
              </w:rPr>
              <w:t xml:space="preserve"> $          0                                       </w:t>
            </w:r>
          </w:p>
        </w:tc>
        <w:tc>
          <w:tcPr>
            <w:tcW w:w="2160" w:type="dxa"/>
            <w:tcBorders>
              <w:top w:val="nil"/>
              <w:left w:val="nil"/>
              <w:bottom w:val="single" w:sz="4" w:space="0" w:color="auto"/>
              <w:right w:val="single" w:sz="4" w:space="0" w:color="auto"/>
            </w:tcBorders>
            <w:shd w:val="clear" w:color="auto" w:fill="auto"/>
            <w:noWrap/>
            <w:vAlign w:val="bottom"/>
            <w:hideMark/>
          </w:tcPr>
          <w:p w14:paraId="0AE41E0F" w14:textId="77777777" w:rsidR="00B10F1E" w:rsidRPr="0058335F" w:rsidRDefault="00B10F1E" w:rsidP="00816745">
            <w:pPr>
              <w:jc w:val="center"/>
              <w:rPr>
                <w:rFonts w:ascii="Calibri" w:eastAsia="Times New Roman" w:hAnsi="Calibri"/>
                <w:color w:val="404040" w:themeColor="text1" w:themeTint="BF"/>
                <w:szCs w:val="20"/>
                <w:highlight w:val="yellow"/>
              </w:rPr>
            </w:pPr>
            <w:r w:rsidRPr="00760262">
              <w:rPr>
                <w:rFonts w:ascii="Calibri" w:eastAsia="Times New Roman" w:hAnsi="Calibri"/>
                <w:color w:val="404040" w:themeColor="text1" w:themeTint="BF"/>
                <w:szCs w:val="20"/>
              </w:rPr>
              <w:t>$   342,000</w:t>
            </w:r>
          </w:p>
        </w:tc>
        <w:tc>
          <w:tcPr>
            <w:tcW w:w="2300" w:type="dxa"/>
            <w:tcBorders>
              <w:top w:val="nil"/>
              <w:left w:val="nil"/>
              <w:bottom w:val="single" w:sz="4" w:space="0" w:color="auto"/>
              <w:right w:val="single" w:sz="4" w:space="0" w:color="auto"/>
            </w:tcBorders>
            <w:shd w:val="clear" w:color="auto" w:fill="auto"/>
            <w:noWrap/>
            <w:vAlign w:val="bottom"/>
            <w:hideMark/>
          </w:tcPr>
          <w:p w14:paraId="6C61E716" w14:textId="77777777" w:rsidR="00B10F1E" w:rsidRPr="0058335F" w:rsidRDefault="00B10F1E" w:rsidP="00816745">
            <w:pPr>
              <w:jc w:val="center"/>
              <w:rPr>
                <w:rFonts w:ascii="Calibri" w:eastAsia="Times New Roman" w:hAnsi="Calibri"/>
                <w:color w:val="404040" w:themeColor="text1" w:themeTint="BF"/>
                <w:szCs w:val="20"/>
              </w:rPr>
            </w:pPr>
            <w:r w:rsidRPr="0058335F">
              <w:rPr>
                <w:rFonts w:ascii="Calibri" w:eastAsia="Times New Roman" w:hAnsi="Calibri"/>
                <w:color w:val="404040" w:themeColor="text1" w:themeTint="BF"/>
                <w:szCs w:val="20"/>
              </w:rPr>
              <w:t xml:space="preserve">$   </w:t>
            </w:r>
            <w:r>
              <w:rPr>
                <w:rFonts w:ascii="Calibri" w:eastAsia="Times New Roman" w:hAnsi="Calibri"/>
                <w:color w:val="404040" w:themeColor="text1" w:themeTint="BF"/>
                <w:szCs w:val="20"/>
              </w:rPr>
              <w:t>342,000</w:t>
            </w:r>
          </w:p>
        </w:tc>
        <w:tc>
          <w:tcPr>
            <w:tcW w:w="1570" w:type="dxa"/>
            <w:tcBorders>
              <w:top w:val="nil"/>
              <w:left w:val="nil"/>
              <w:bottom w:val="single" w:sz="4" w:space="0" w:color="auto"/>
              <w:right w:val="single" w:sz="4" w:space="0" w:color="auto"/>
            </w:tcBorders>
            <w:shd w:val="clear" w:color="auto" w:fill="auto"/>
            <w:noWrap/>
            <w:vAlign w:val="bottom"/>
            <w:hideMark/>
          </w:tcPr>
          <w:p w14:paraId="02EB1555" w14:textId="77777777" w:rsidR="00B10F1E" w:rsidRPr="0058335F" w:rsidRDefault="00B10F1E" w:rsidP="00816745">
            <w:pPr>
              <w:jc w:val="center"/>
              <w:rPr>
                <w:rFonts w:ascii="Calibri" w:eastAsia="Times New Roman" w:hAnsi="Calibri"/>
                <w:color w:val="404040" w:themeColor="text1" w:themeTint="BF"/>
                <w:szCs w:val="20"/>
                <w:highlight w:val="yellow"/>
              </w:rPr>
            </w:pPr>
            <w:r w:rsidRPr="0058335F">
              <w:rPr>
                <w:rFonts w:ascii="Calibri" w:eastAsia="Times New Roman" w:hAnsi="Calibri"/>
                <w:color w:val="404040" w:themeColor="text1" w:themeTint="BF"/>
                <w:szCs w:val="20"/>
              </w:rPr>
              <w:t>$</w:t>
            </w:r>
            <w:r>
              <w:rPr>
                <w:rFonts w:ascii="Calibri" w:eastAsia="Times New Roman" w:hAnsi="Calibri"/>
                <w:color w:val="404040" w:themeColor="text1" w:themeTint="BF"/>
                <w:szCs w:val="20"/>
              </w:rPr>
              <w:t xml:space="preserve">   </w:t>
            </w:r>
            <w:r w:rsidRPr="0058335F">
              <w:rPr>
                <w:rFonts w:ascii="Calibri" w:eastAsia="Times New Roman" w:hAnsi="Calibri"/>
                <w:color w:val="404040" w:themeColor="text1" w:themeTint="BF"/>
                <w:szCs w:val="20"/>
              </w:rPr>
              <w:t>270,000</w:t>
            </w:r>
          </w:p>
        </w:tc>
        <w:tc>
          <w:tcPr>
            <w:tcW w:w="1930" w:type="dxa"/>
            <w:tcBorders>
              <w:top w:val="nil"/>
              <w:left w:val="nil"/>
              <w:bottom w:val="single" w:sz="4" w:space="0" w:color="auto"/>
              <w:right w:val="single" w:sz="4" w:space="0" w:color="auto"/>
            </w:tcBorders>
            <w:shd w:val="clear" w:color="auto" w:fill="auto"/>
            <w:noWrap/>
            <w:vAlign w:val="bottom"/>
            <w:hideMark/>
          </w:tcPr>
          <w:p w14:paraId="0F9E055F" w14:textId="77777777" w:rsidR="00B10F1E" w:rsidRPr="0058335F" w:rsidRDefault="00B10F1E" w:rsidP="00816745">
            <w:pPr>
              <w:jc w:val="center"/>
              <w:rPr>
                <w:rFonts w:ascii="Calibri" w:eastAsia="Times New Roman" w:hAnsi="Calibri"/>
                <w:color w:val="404040" w:themeColor="text1" w:themeTint="BF"/>
                <w:szCs w:val="20"/>
                <w:highlight w:val="yellow"/>
              </w:rPr>
            </w:pPr>
            <w:r w:rsidRPr="00760262">
              <w:rPr>
                <w:rFonts w:ascii="Calibri" w:eastAsia="Times New Roman" w:hAnsi="Calibri"/>
                <w:color w:val="404040" w:themeColor="text1" w:themeTint="BF"/>
                <w:szCs w:val="20"/>
              </w:rPr>
              <w:t>$  0</w:t>
            </w:r>
          </w:p>
        </w:tc>
      </w:tr>
    </w:tbl>
    <w:p w14:paraId="19A344D3" w14:textId="77777777" w:rsidR="00B10F1E" w:rsidRPr="006723EF" w:rsidRDefault="00B10F1E" w:rsidP="00B10F1E">
      <w:pPr>
        <w:spacing w:line="276" w:lineRule="auto"/>
        <w:ind w:right="360"/>
        <w:rPr>
          <w:rFonts w:asciiTheme="minorHAnsi" w:hAnsiTheme="minorHAnsi" w:cstheme="minorHAnsi"/>
          <w:b/>
          <w:color w:val="404040" w:themeColor="text1" w:themeTint="BF"/>
          <w:szCs w:val="20"/>
        </w:rPr>
      </w:pPr>
    </w:p>
    <w:p w14:paraId="2794023C" w14:textId="77777777" w:rsidR="00B10F1E" w:rsidRPr="006723EF" w:rsidRDefault="00B10F1E" w:rsidP="00B10F1E">
      <w:pPr>
        <w:spacing w:line="276" w:lineRule="auto"/>
        <w:ind w:right="360"/>
        <w:rPr>
          <w:rFonts w:asciiTheme="minorHAnsi" w:hAnsiTheme="minorHAnsi" w:cstheme="minorHAnsi"/>
          <w:b/>
          <w:color w:val="404040" w:themeColor="text1" w:themeTint="BF"/>
          <w:szCs w:val="20"/>
        </w:rPr>
      </w:pPr>
    </w:p>
    <w:p w14:paraId="74267862" w14:textId="77777777" w:rsidR="00B10F1E" w:rsidRDefault="00B10F1E" w:rsidP="00B10F1E">
      <w:pPr>
        <w:spacing w:line="360" w:lineRule="auto"/>
        <w:ind w:right="360"/>
        <w:rPr>
          <w:rFonts w:asciiTheme="minorHAnsi" w:hAnsiTheme="minorHAnsi" w:cstheme="minorHAnsi"/>
          <w:color w:val="404040" w:themeColor="text1" w:themeTint="BF"/>
          <w:szCs w:val="20"/>
        </w:rPr>
      </w:pPr>
      <w:r>
        <w:rPr>
          <w:rFonts w:asciiTheme="minorHAnsi" w:hAnsiTheme="minorHAnsi" w:cstheme="minorHAnsi"/>
          <w:color w:val="404040" w:themeColor="text1" w:themeTint="BF"/>
          <w:szCs w:val="20"/>
        </w:rPr>
        <w:t xml:space="preserve">Salt Lake City generated </w:t>
      </w:r>
      <w:r w:rsidRPr="00DA7248">
        <w:rPr>
          <w:rFonts w:asciiTheme="minorHAnsi" w:hAnsiTheme="minorHAnsi" w:cstheme="minorHAnsi"/>
          <w:color w:val="404040" w:themeColor="text1" w:themeTint="BF"/>
          <w:szCs w:val="20"/>
        </w:rPr>
        <w:t>$3</w:t>
      </w:r>
      <w:r>
        <w:rPr>
          <w:rFonts w:asciiTheme="minorHAnsi" w:hAnsiTheme="minorHAnsi" w:cstheme="minorHAnsi"/>
          <w:color w:val="404040" w:themeColor="text1" w:themeTint="BF"/>
          <w:szCs w:val="20"/>
        </w:rPr>
        <w:t xml:space="preserve">42,000 in HOME program income during the year, and expended a total of </w:t>
      </w:r>
      <w:r w:rsidRPr="00DA7248">
        <w:rPr>
          <w:rFonts w:asciiTheme="minorHAnsi" w:hAnsiTheme="minorHAnsi" w:cstheme="minorHAnsi"/>
          <w:color w:val="404040" w:themeColor="text1" w:themeTint="BF"/>
          <w:szCs w:val="20"/>
        </w:rPr>
        <w:t>$</w:t>
      </w:r>
      <w:r>
        <w:rPr>
          <w:rFonts w:asciiTheme="minorHAnsi" w:hAnsiTheme="minorHAnsi" w:cstheme="minorHAnsi"/>
          <w:color w:val="404040" w:themeColor="text1" w:themeTint="BF"/>
          <w:szCs w:val="20"/>
        </w:rPr>
        <w:t>342,000 leaving a balance of $0.</w:t>
      </w:r>
    </w:p>
    <w:p w14:paraId="02E53779" w14:textId="77777777" w:rsidR="00B10F1E" w:rsidRPr="00BD266E" w:rsidRDefault="00B10F1E" w:rsidP="00B10F1E">
      <w:pPr>
        <w:spacing w:line="276" w:lineRule="auto"/>
        <w:ind w:right="360"/>
        <w:rPr>
          <w:rFonts w:asciiTheme="minorHAnsi" w:hAnsiTheme="minorHAnsi" w:cstheme="minorHAnsi"/>
          <w:b/>
          <w:color w:val="F79646" w:themeColor="accent6"/>
          <w:szCs w:val="20"/>
        </w:rPr>
      </w:pPr>
    </w:p>
    <w:p w14:paraId="2E8DD7C7" w14:textId="70139747" w:rsidR="00B10F1E" w:rsidRPr="006723EF" w:rsidRDefault="00B10F1E" w:rsidP="00B10F1E">
      <w:pPr>
        <w:spacing w:line="276" w:lineRule="auto"/>
        <w:ind w:right="360"/>
        <w:rPr>
          <w:rFonts w:asciiTheme="minorHAnsi" w:hAnsiTheme="minorHAnsi" w:cstheme="minorHAnsi"/>
          <w:b/>
          <w:color w:val="404040" w:themeColor="text1" w:themeTint="BF"/>
          <w:szCs w:val="20"/>
        </w:rPr>
      </w:pPr>
      <w:r w:rsidRPr="006723EF">
        <w:rPr>
          <w:rFonts w:asciiTheme="minorHAnsi" w:hAnsiTheme="minorHAnsi" w:cstheme="minorHAnsi"/>
          <w:b/>
          <w:color w:val="404040" w:themeColor="text1" w:themeTint="BF"/>
          <w:szCs w:val="20"/>
        </w:rPr>
        <w:t xml:space="preserve">Table 8 - Minority Business and Women Business Enterprises </w:t>
      </w:r>
    </w:p>
    <w:tbl>
      <w:tblPr>
        <w:tblW w:w="7944" w:type="dxa"/>
        <w:tblLook w:val="04A0" w:firstRow="1" w:lastRow="0" w:firstColumn="1" w:lastColumn="0" w:noHBand="0" w:noVBand="1"/>
      </w:tblPr>
      <w:tblGrid>
        <w:gridCol w:w="1700"/>
        <w:gridCol w:w="1000"/>
        <w:gridCol w:w="1244"/>
        <w:gridCol w:w="1000"/>
        <w:gridCol w:w="1000"/>
        <w:gridCol w:w="1000"/>
        <w:gridCol w:w="1000"/>
      </w:tblGrid>
      <w:tr w:rsidR="00B10F1E" w:rsidRPr="006723EF" w14:paraId="21D61AB8" w14:textId="77777777" w:rsidTr="00816745">
        <w:trPr>
          <w:cantSplit/>
          <w:trHeight w:val="294"/>
        </w:trPr>
        <w:tc>
          <w:tcPr>
            <w:tcW w:w="170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14:paraId="129BB754" w14:textId="77777777" w:rsidR="00B10F1E" w:rsidRPr="006723EF" w:rsidRDefault="00B10F1E" w:rsidP="00816745">
            <w:pPr>
              <w:rPr>
                <w:rFonts w:asciiTheme="minorHAnsi" w:eastAsia="Times New Roman" w:hAnsiTheme="minorHAnsi"/>
                <w:b/>
                <w:bCs/>
                <w:color w:val="404040" w:themeColor="text1" w:themeTint="BF"/>
                <w:szCs w:val="20"/>
              </w:rPr>
            </w:pPr>
            <w:r w:rsidRPr="006723EF">
              <w:rPr>
                <w:rFonts w:asciiTheme="minorHAnsi" w:eastAsia="Times New Roman" w:hAnsiTheme="minorHAnsi"/>
                <w:b/>
                <w:bCs/>
                <w:color w:val="404040" w:themeColor="text1" w:themeTint="BF"/>
                <w:szCs w:val="20"/>
              </w:rPr>
              <w:t> </w:t>
            </w:r>
          </w:p>
        </w:tc>
        <w:tc>
          <w:tcPr>
            <w:tcW w:w="100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14:paraId="7AD4C750" w14:textId="77777777" w:rsidR="00B10F1E" w:rsidRPr="006723EF" w:rsidRDefault="00B10F1E" w:rsidP="00816745">
            <w:pPr>
              <w:jc w:val="center"/>
              <w:rPr>
                <w:rFonts w:asciiTheme="minorHAnsi" w:eastAsia="Times New Roman" w:hAnsiTheme="minorHAnsi"/>
                <w:b/>
                <w:bCs/>
                <w:color w:val="404040" w:themeColor="text1" w:themeTint="BF"/>
                <w:szCs w:val="20"/>
              </w:rPr>
            </w:pPr>
            <w:r w:rsidRPr="006723EF">
              <w:rPr>
                <w:rFonts w:asciiTheme="minorHAnsi" w:eastAsia="Times New Roman" w:hAnsiTheme="minorHAnsi"/>
                <w:b/>
                <w:bCs/>
                <w:color w:val="404040" w:themeColor="text1" w:themeTint="BF"/>
                <w:szCs w:val="20"/>
              </w:rPr>
              <w:t>Total</w:t>
            </w:r>
          </w:p>
        </w:tc>
        <w:tc>
          <w:tcPr>
            <w:tcW w:w="4244" w:type="dxa"/>
            <w:gridSpan w:val="4"/>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4FEF31EF" w14:textId="77777777" w:rsidR="00B10F1E" w:rsidRPr="006723EF" w:rsidRDefault="00B10F1E" w:rsidP="00816745">
            <w:pPr>
              <w:jc w:val="center"/>
              <w:rPr>
                <w:rFonts w:asciiTheme="minorHAnsi" w:eastAsia="Times New Roman" w:hAnsiTheme="minorHAnsi"/>
                <w:b/>
                <w:bCs/>
                <w:color w:val="404040" w:themeColor="text1" w:themeTint="BF"/>
                <w:szCs w:val="20"/>
              </w:rPr>
            </w:pPr>
            <w:r w:rsidRPr="006723EF">
              <w:rPr>
                <w:rFonts w:asciiTheme="minorHAnsi" w:eastAsia="Times New Roman" w:hAnsiTheme="minorHAnsi"/>
                <w:b/>
                <w:bCs/>
                <w:color w:val="404040" w:themeColor="text1" w:themeTint="BF"/>
                <w:szCs w:val="20"/>
              </w:rPr>
              <w:t>Minority Business Enterprises</w:t>
            </w:r>
          </w:p>
        </w:tc>
        <w:tc>
          <w:tcPr>
            <w:tcW w:w="100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14:paraId="265B90FE" w14:textId="77777777" w:rsidR="00B10F1E" w:rsidRPr="006723EF" w:rsidRDefault="00B10F1E" w:rsidP="00816745">
            <w:pPr>
              <w:jc w:val="center"/>
              <w:rPr>
                <w:rFonts w:asciiTheme="minorHAnsi" w:eastAsia="Times New Roman" w:hAnsiTheme="minorHAnsi"/>
                <w:b/>
                <w:bCs/>
                <w:color w:val="404040" w:themeColor="text1" w:themeTint="BF"/>
                <w:szCs w:val="20"/>
              </w:rPr>
            </w:pPr>
            <w:r w:rsidRPr="006723EF">
              <w:rPr>
                <w:rFonts w:asciiTheme="minorHAnsi" w:eastAsia="Times New Roman" w:hAnsiTheme="minorHAnsi"/>
                <w:b/>
                <w:bCs/>
                <w:color w:val="404040" w:themeColor="text1" w:themeTint="BF"/>
                <w:szCs w:val="20"/>
              </w:rPr>
              <w:t>White Non-Hispanic</w:t>
            </w:r>
          </w:p>
        </w:tc>
      </w:tr>
      <w:tr w:rsidR="00B10F1E" w:rsidRPr="006723EF" w14:paraId="547782BE" w14:textId="77777777" w:rsidTr="00816745">
        <w:trPr>
          <w:trHeight w:val="1158"/>
        </w:trPr>
        <w:tc>
          <w:tcPr>
            <w:tcW w:w="1700" w:type="dxa"/>
            <w:vMerge/>
            <w:tcBorders>
              <w:top w:val="single" w:sz="8" w:space="0" w:color="auto"/>
              <w:left w:val="single" w:sz="8" w:space="0" w:color="auto"/>
              <w:bottom w:val="single" w:sz="8" w:space="0" w:color="000000"/>
              <w:right w:val="single" w:sz="8" w:space="0" w:color="auto"/>
            </w:tcBorders>
            <w:vAlign w:val="center"/>
            <w:hideMark/>
          </w:tcPr>
          <w:p w14:paraId="2DCBD265" w14:textId="77777777" w:rsidR="00B10F1E" w:rsidRPr="006723EF" w:rsidRDefault="00B10F1E" w:rsidP="00816745">
            <w:pPr>
              <w:rPr>
                <w:rFonts w:asciiTheme="minorHAnsi" w:eastAsia="Times New Roman" w:hAnsiTheme="minorHAnsi"/>
                <w:b/>
                <w:bCs/>
                <w:color w:val="404040" w:themeColor="text1" w:themeTint="BF"/>
                <w:szCs w:val="20"/>
              </w:rPr>
            </w:pPr>
          </w:p>
        </w:tc>
        <w:tc>
          <w:tcPr>
            <w:tcW w:w="1000" w:type="dxa"/>
            <w:vMerge/>
            <w:tcBorders>
              <w:top w:val="single" w:sz="8" w:space="0" w:color="auto"/>
              <w:left w:val="single" w:sz="8" w:space="0" w:color="auto"/>
              <w:bottom w:val="single" w:sz="8" w:space="0" w:color="000000"/>
              <w:right w:val="single" w:sz="8" w:space="0" w:color="auto"/>
            </w:tcBorders>
            <w:vAlign w:val="center"/>
            <w:hideMark/>
          </w:tcPr>
          <w:p w14:paraId="7F534674" w14:textId="77777777" w:rsidR="00B10F1E" w:rsidRPr="006723EF" w:rsidRDefault="00B10F1E" w:rsidP="00816745">
            <w:pPr>
              <w:rPr>
                <w:rFonts w:asciiTheme="minorHAnsi" w:eastAsia="Times New Roman" w:hAnsiTheme="minorHAnsi"/>
                <w:b/>
                <w:bCs/>
                <w:color w:val="404040" w:themeColor="text1" w:themeTint="BF"/>
                <w:szCs w:val="20"/>
              </w:rPr>
            </w:pPr>
          </w:p>
        </w:tc>
        <w:tc>
          <w:tcPr>
            <w:tcW w:w="1244" w:type="dxa"/>
            <w:tcBorders>
              <w:top w:val="nil"/>
              <w:left w:val="nil"/>
              <w:bottom w:val="single" w:sz="8" w:space="0" w:color="auto"/>
              <w:right w:val="single" w:sz="8" w:space="0" w:color="auto"/>
            </w:tcBorders>
            <w:shd w:val="clear" w:color="auto" w:fill="C6D9F1" w:themeFill="text2" w:themeFillTint="33"/>
            <w:vAlign w:val="center"/>
            <w:hideMark/>
          </w:tcPr>
          <w:p w14:paraId="38C2C135" w14:textId="77777777" w:rsidR="00B10F1E" w:rsidRPr="006723EF" w:rsidRDefault="00B10F1E" w:rsidP="00816745">
            <w:pPr>
              <w:jc w:val="center"/>
              <w:rPr>
                <w:rFonts w:asciiTheme="minorHAnsi" w:eastAsia="Times New Roman" w:hAnsiTheme="minorHAnsi"/>
                <w:b/>
                <w:bCs/>
                <w:color w:val="404040" w:themeColor="text1" w:themeTint="BF"/>
                <w:szCs w:val="20"/>
              </w:rPr>
            </w:pPr>
            <w:r w:rsidRPr="006723EF">
              <w:rPr>
                <w:rFonts w:asciiTheme="minorHAnsi" w:eastAsia="Times New Roman" w:hAnsiTheme="minorHAnsi"/>
                <w:b/>
                <w:bCs/>
                <w:color w:val="404040" w:themeColor="text1" w:themeTint="BF"/>
                <w:szCs w:val="20"/>
              </w:rPr>
              <w:t>Alaskan Native or American Indian</w:t>
            </w:r>
          </w:p>
        </w:tc>
        <w:tc>
          <w:tcPr>
            <w:tcW w:w="1000" w:type="dxa"/>
            <w:tcBorders>
              <w:top w:val="nil"/>
              <w:left w:val="nil"/>
              <w:bottom w:val="single" w:sz="8" w:space="0" w:color="auto"/>
              <w:right w:val="single" w:sz="8" w:space="0" w:color="auto"/>
            </w:tcBorders>
            <w:shd w:val="clear" w:color="auto" w:fill="C6D9F1" w:themeFill="text2" w:themeFillTint="33"/>
            <w:vAlign w:val="center"/>
            <w:hideMark/>
          </w:tcPr>
          <w:p w14:paraId="227AEBD7" w14:textId="77777777" w:rsidR="00B10F1E" w:rsidRPr="006723EF" w:rsidRDefault="00B10F1E" w:rsidP="00816745">
            <w:pPr>
              <w:jc w:val="center"/>
              <w:rPr>
                <w:rFonts w:asciiTheme="minorHAnsi" w:eastAsia="Times New Roman" w:hAnsiTheme="minorHAnsi"/>
                <w:b/>
                <w:bCs/>
                <w:color w:val="404040" w:themeColor="text1" w:themeTint="BF"/>
                <w:szCs w:val="20"/>
              </w:rPr>
            </w:pPr>
            <w:r w:rsidRPr="006723EF">
              <w:rPr>
                <w:rFonts w:asciiTheme="minorHAnsi" w:eastAsia="Times New Roman" w:hAnsiTheme="minorHAnsi"/>
                <w:b/>
                <w:bCs/>
                <w:color w:val="404040" w:themeColor="text1" w:themeTint="BF"/>
                <w:szCs w:val="20"/>
              </w:rPr>
              <w:t>Asian or Pacific Islander</w:t>
            </w:r>
          </w:p>
        </w:tc>
        <w:tc>
          <w:tcPr>
            <w:tcW w:w="1000" w:type="dxa"/>
            <w:tcBorders>
              <w:top w:val="nil"/>
              <w:left w:val="nil"/>
              <w:bottom w:val="single" w:sz="8" w:space="0" w:color="auto"/>
              <w:right w:val="single" w:sz="8" w:space="0" w:color="auto"/>
            </w:tcBorders>
            <w:shd w:val="clear" w:color="auto" w:fill="C6D9F1" w:themeFill="text2" w:themeFillTint="33"/>
            <w:vAlign w:val="center"/>
            <w:hideMark/>
          </w:tcPr>
          <w:p w14:paraId="60B66BEC" w14:textId="77777777" w:rsidR="00B10F1E" w:rsidRPr="006723EF" w:rsidRDefault="00B10F1E" w:rsidP="00816745">
            <w:pPr>
              <w:jc w:val="center"/>
              <w:rPr>
                <w:rFonts w:asciiTheme="minorHAnsi" w:eastAsia="Times New Roman" w:hAnsiTheme="minorHAnsi"/>
                <w:b/>
                <w:bCs/>
                <w:color w:val="404040" w:themeColor="text1" w:themeTint="BF"/>
                <w:szCs w:val="20"/>
              </w:rPr>
            </w:pPr>
            <w:r w:rsidRPr="006723EF">
              <w:rPr>
                <w:rFonts w:asciiTheme="minorHAnsi" w:eastAsia="Times New Roman" w:hAnsiTheme="minorHAnsi"/>
                <w:b/>
                <w:bCs/>
                <w:color w:val="404040" w:themeColor="text1" w:themeTint="BF"/>
                <w:szCs w:val="20"/>
              </w:rPr>
              <w:t>Black Non-Hispanic</w:t>
            </w:r>
          </w:p>
        </w:tc>
        <w:tc>
          <w:tcPr>
            <w:tcW w:w="1000" w:type="dxa"/>
            <w:tcBorders>
              <w:top w:val="nil"/>
              <w:left w:val="nil"/>
              <w:bottom w:val="single" w:sz="8" w:space="0" w:color="auto"/>
              <w:right w:val="single" w:sz="8" w:space="0" w:color="auto"/>
            </w:tcBorders>
            <w:shd w:val="clear" w:color="auto" w:fill="C6D9F1" w:themeFill="text2" w:themeFillTint="33"/>
            <w:vAlign w:val="center"/>
            <w:hideMark/>
          </w:tcPr>
          <w:p w14:paraId="51572E40" w14:textId="77777777" w:rsidR="00B10F1E" w:rsidRPr="006723EF" w:rsidRDefault="00B10F1E" w:rsidP="00816745">
            <w:pPr>
              <w:jc w:val="center"/>
              <w:rPr>
                <w:rFonts w:asciiTheme="minorHAnsi" w:eastAsia="Times New Roman" w:hAnsiTheme="minorHAnsi"/>
                <w:b/>
                <w:bCs/>
                <w:color w:val="404040" w:themeColor="text1" w:themeTint="BF"/>
                <w:szCs w:val="20"/>
              </w:rPr>
            </w:pPr>
            <w:r w:rsidRPr="006723EF">
              <w:rPr>
                <w:rFonts w:asciiTheme="minorHAnsi" w:eastAsia="Times New Roman" w:hAnsiTheme="minorHAnsi"/>
                <w:b/>
                <w:bCs/>
                <w:color w:val="404040" w:themeColor="text1" w:themeTint="BF"/>
                <w:szCs w:val="20"/>
              </w:rPr>
              <w:t>Hispanic</w:t>
            </w:r>
          </w:p>
        </w:tc>
        <w:tc>
          <w:tcPr>
            <w:tcW w:w="1000" w:type="dxa"/>
            <w:vMerge/>
            <w:tcBorders>
              <w:top w:val="single" w:sz="8" w:space="0" w:color="auto"/>
              <w:left w:val="single" w:sz="8" w:space="0" w:color="auto"/>
              <w:bottom w:val="single" w:sz="8" w:space="0" w:color="000000"/>
              <w:right w:val="single" w:sz="8" w:space="0" w:color="auto"/>
            </w:tcBorders>
            <w:vAlign w:val="center"/>
            <w:hideMark/>
          </w:tcPr>
          <w:p w14:paraId="18962E36" w14:textId="77777777" w:rsidR="00B10F1E" w:rsidRPr="006723EF" w:rsidRDefault="00B10F1E" w:rsidP="00816745">
            <w:pPr>
              <w:rPr>
                <w:rFonts w:asciiTheme="minorHAnsi" w:eastAsia="Times New Roman" w:hAnsiTheme="minorHAnsi"/>
                <w:b/>
                <w:bCs/>
                <w:color w:val="404040" w:themeColor="text1" w:themeTint="BF"/>
                <w:szCs w:val="20"/>
              </w:rPr>
            </w:pPr>
          </w:p>
        </w:tc>
      </w:tr>
      <w:tr w:rsidR="00B10F1E" w:rsidRPr="006723EF" w14:paraId="24ECBA50" w14:textId="77777777" w:rsidTr="00816745">
        <w:trPr>
          <w:cantSplit/>
          <w:trHeight w:val="294"/>
        </w:trPr>
        <w:tc>
          <w:tcPr>
            <w:tcW w:w="7944"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07DF848D" w14:textId="77777777" w:rsidR="00B10F1E" w:rsidRPr="006723EF" w:rsidRDefault="00B10F1E" w:rsidP="00816745">
            <w:pPr>
              <w:jc w:val="center"/>
              <w:rPr>
                <w:rFonts w:asciiTheme="minorHAnsi" w:eastAsia="Times New Roman" w:hAnsiTheme="minorHAnsi"/>
                <w:b/>
                <w:bCs/>
                <w:color w:val="404040" w:themeColor="text1" w:themeTint="BF"/>
                <w:szCs w:val="20"/>
              </w:rPr>
            </w:pPr>
            <w:r w:rsidRPr="006723EF">
              <w:rPr>
                <w:rFonts w:asciiTheme="minorHAnsi" w:eastAsia="Times New Roman" w:hAnsiTheme="minorHAnsi"/>
                <w:b/>
                <w:bCs/>
                <w:color w:val="404040" w:themeColor="text1" w:themeTint="BF"/>
                <w:szCs w:val="20"/>
              </w:rPr>
              <w:t>Contracts</w:t>
            </w:r>
          </w:p>
        </w:tc>
      </w:tr>
      <w:tr w:rsidR="00B10F1E" w:rsidRPr="006723EF" w14:paraId="1DDD8BB0" w14:textId="77777777" w:rsidTr="00816745">
        <w:trPr>
          <w:cantSplit/>
          <w:trHeight w:val="582"/>
        </w:trPr>
        <w:tc>
          <w:tcPr>
            <w:tcW w:w="1700" w:type="dxa"/>
            <w:tcBorders>
              <w:top w:val="nil"/>
              <w:left w:val="single" w:sz="8" w:space="0" w:color="auto"/>
              <w:bottom w:val="single" w:sz="8" w:space="0" w:color="auto"/>
              <w:right w:val="single" w:sz="8" w:space="0" w:color="auto"/>
            </w:tcBorders>
            <w:shd w:val="clear" w:color="auto" w:fill="auto"/>
            <w:vAlign w:val="center"/>
            <w:hideMark/>
          </w:tcPr>
          <w:p w14:paraId="28B46588" w14:textId="77777777" w:rsidR="00B10F1E" w:rsidRPr="006723EF" w:rsidRDefault="00B10F1E" w:rsidP="00816745">
            <w:pP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Dollar Amount</w:t>
            </w:r>
          </w:p>
        </w:tc>
        <w:tc>
          <w:tcPr>
            <w:tcW w:w="1000" w:type="dxa"/>
            <w:tcBorders>
              <w:top w:val="nil"/>
              <w:left w:val="nil"/>
              <w:bottom w:val="single" w:sz="8" w:space="0" w:color="auto"/>
              <w:right w:val="single" w:sz="8" w:space="0" w:color="auto"/>
            </w:tcBorders>
            <w:shd w:val="clear" w:color="auto" w:fill="auto"/>
            <w:vAlign w:val="center"/>
            <w:hideMark/>
          </w:tcPr>
          <w:p w14:paraId="2BA7DD69" w14:textId="77777777" w:rsidR="00B10F1E" w:rsidRPr="006723EF" w:rsidRDefault="00B10F1E"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244" w:type="dxa"/>
            <w:tcBorders>
              <w:top w:val="nil"/>
              <w:left w:val="nil"/>
              <w:bottom w:val="single" w:sz="8" w:space="0" w:color="auto"/>
              <w:right w:val="single" w:sz="8" w:space="0" w:color="auto"/>
            </w:tcBorders>
            <w:shd w:val="clear" w:color="auto" w:fill="auto"/>
            <w:vAlign w:val="center"/>
            <w:hideMark/>
          </w:tcPr>
          <w:p w14:paraId="61E5D82A" w14:textId="77777777" w:rsidR="00B10F1E" w:rsidRPr="006723EF" w:rsidRDefault="00B10F1E"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49A2A6FD" w14:textId="77777777" w:rsidR="00B10F1E" w:rsidRPr="006723EF" w:rsidRDefault="00B10F1E"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7FED08AE" w14:textId="77777777" w:rsidR="00B10F1E" w:rsidRPr="006723EF" w:rsidRDefault="00B10F1E"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4372F412" w14:textId="77777777" w:rsidR="00B10F1E" w:rsidRPr="006723EF" w:rsidRDefault="00B10F1E"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2C0A2FEE" w14:textId="77777777" w:rsidR="00B10F1E" w:rsidRPr="006723EF" w:rsidRDefault="00B10F1E"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r>
      <w:tr w:rsidR="00B10F1E" w:rsidRPr="006723EF" w14:paraId="42185202" w14:textId="77777777" w:rsidTr="00816745">
        <w:trPr>
          <w:cantSplit/>
          <w:trHeight w:val="294"/>
        </w:trPr>
        <w:tc>
          <w:tcPr>
            <w:tcW w:w="1700" w:type="dxa"/>
            <w:tcBorders>
              <w:top w:val="nil"/>
              <w:left w:val="single" w:sz="8" w:space="0" w:color="auto"/>
              <w:bottom w:val="single" w:sz="8" w:space="0" w:color="auto"/>
              <w:right w:val="single" w:sz="8" w:space="0" w:color="auto"/>
            </w:tcBorders>
            <w:shd w:val="clear" w:color="auto" w:fill="auto"/>
            <w:vAlign w:val="center"/>
            <w:hideMark/>
          </w:tcPr>
          <w:p w14:paraId="5744AAB0" w14:textId="77777777" w:rsidR="00B10F1E" w:rsidRPr="006723EF" w:rsidRDefault="00B10F1E" w:rsidP="00816745">
            <w:pP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Number</w:t>
            </w:r>
          </w:p>
        </w:tc>
        <w:tc>
          <w:tcPr>
            <w:tcW w:w="1000" w:type="dxa"/>
            <w:tcBorders>
              <w:top w:val="nil"/>
              <w:left w:val="nil"/>
              <w:bottom w:val="single" w:sz="8" w:space="0" w:color="auto"/>
              <w:right w:val="single" w:sz="8" w:space="0" w:color="auto"/>
            </w:tcBorders>
            <w:shd w:val="clear" w:color="auto" w:fill="auto"/>
            <w:vAlign w:val="center"/>
            <w:hideMark/>
          </w:tcPr>
          <w:p w14:paraId="00551448" w14:textId="77777777" w:rsidR="00B10F1E" w:rsidRPr="006723EF" w:rsidRDefault="00B10F1E"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244" w:type="dxa"/>
            <w:tcBorders>
              <w:top w:val="nil"/>
              <w:left w:val="nil"/>
              <w:bottom w:val="single" w:sz="8" w:space="0" w:color="auto"/>
              <w:right w:val="single" w:sz="8" w:space="0" w:color="auto"/>
            </w:tcBorders>
            <w:shd w:val="clear" w:color="auto" w:fill="auto"/>
            <w:vAlign w:val="center"/>
            <w:hideMark/>
          </w:tcPr>
          <w:p w14:paraId="5AF7C8AD" w14:textId="77777777" w:rsidR="00B10F1E" w:rsidRPr="006723EF" w:rsidRDefault="00B10F1E"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6EDA695E" w14:textId="77777777" w:rsidR="00B10F1E" w:rsidRPr="006723EF" w:rsidRDefault="00B10F1E"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4C091F2D" w14:textId="77777777" w:rsidR="00B10F1E" w:rsidRPr="006723EF" w:rsidRDefault="00B10F1E"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14FDEE12" w14:textId="77777777" w:rsidR="00B10F1E" w:rsidRPr="006723EF" w:rsidRDefault="00B10F1E"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6CA2F184" w14:textId="77777777" w:rsidR="00B10F1E" w:rsidRPr="006723EF" w:rsidRDefault="00B10F1E"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r>
      <w:tr w:rsidR="00B10F1E" w:rsidRPr="006723EF" w14:paraId="4C8CE35D" w14:textId="77777777" w:rsidTr="00816745">
        <w:trPr>
          <w:trHeight w:val="318"/>
        </w:trPr>
        <w:tc>
          <w:tcPr>
            <w:tcW w:w="1700" w:type="dxa"/>
            <w:tcBorders>
              <w:top w:val="nil"/>
              <w:left w:val="nil"/>
              <w:bottom w:val="nil"/>
              <w:right w:val="nil"/>
            </w:tcBorders>
            <w:shd w:val="clear" w:color="auto" w:fill="auto"/>
            <w:noWrap/>
            <w:vAlign w:val="center"/>
            <w:hideMark/>
          </w:tcPr>
          <w:p w14:paraId="3A0EF6B6" w14:textId="77777777" w:rsidR="00B10F1E" w:rsidRPr="006723EF" w:rsidRDefault="00B10F1E" w:rsidP="00816745">
            <w:pPr>
              <w:jc w:val="right"/>
              <w:rPr>
                <w:rFonts w:asciiTheme="minorHAnsi" w:eastAsia="Times New Roman" w:hAnsiTheme="minorHAnsi"/>
                <w:color w:val="404040" w:themeColor="text1" w:themeTint="BF"/>
                <w:szCs w:val="20"/>
              </w:rPr>
            </w:pPr>
          </w:p>
        </w:tc>
        <w:tc>
          <w:tcPr>
            <w:tcW w:w="1000" w:type="dxa"/>
            <w:tcBorders>
              <w:top w:val="nil"/>
              <w:left w:val="nil"/>
              <w:bottom w:val="nil"/>
              <w:right w:val="nil"/>
            </w:tcBorders>
            <w:shd w:val="clear" w:color="auto" w:fill="auto"/>
            <w:noWrap/>
            <w:vAlign w:val="bottom"/>
            <w:hideMark/>
          </w:tcPr>
          <w:p w14:paraId="6B1B71BE" w14:textId="77777777" w:rsidR="00B10F1E" w:rsidRPr="006723EF" w:rsidRDefault="00B10F1E" w:rsidP="00816745">
            <w:pPr>
              <w:rPr>
                <w:rFonts w:asciiTheme="minorHAnsi" w:eastAsia="Times New Roman" w:hAnsiTheme="minorHAnsi"/>
                <w:color w:val="404040" w:themeColor="text1" w:themeTint="BF"/>
                <w:szCs w:val="20"/>
              </w:rPr>
            </w:pPr>
          </w:p>
        </w:tc>
        <w:tc>
          <w:tcPr>
            <w:tcW w:w="1244" w:type="dxa"/>
            <w:tcBorders>
              <w:top w:val="nil"/>
              <w:left w:val="nil"/>
              <w:bottom w:val="nil"/>
              <w:right w:val="nil"/>
            </w:tcBorders>
            <w:shd w:val="clear" w:color="auto" w:fill="auto"/>
            <w:noWrap/>
            <w:vAlign w:val="bottom"/>
            <w:hideMark/>
          </w:tcPr>
          <w:p w14:paraId="16E766C2" w14:textId="77777777" w:rsidR="00B10F1E" w:rsidRPr="006723EF" w:rsidRDefault="00B10F1E" w:rsidP="00816745">
            <w:pPr>
              <w:rPr>
                <w:rFonts w:asciiTheme="minorHAnsi" w:eastAsia="Times New Roman" w:hAnsiTheme="minorHAnsi"/>
                <w:color w:val="404040" w:themeColor="text1" w:themeTint="BF"/>
                <w:szCs w:val="20"/>
              </w:rPr>
            </w:pPr>
          </w:p>
        </w:tc>
        <w:tc>
          <w:tcPr>
            <w:tcW w:w="1000" w:type="dxa"/>
            <w:tcBorders>
              <w:top w:val="nil"/>
              <w:left w:val="nil"/>
              <w:bottom w:val="nil"/>
              <w:right w:val="nil"/>
            </w:tcBorders>
            <w:shd w:val="clear" w:color="auto" w:fill="auto"/>
            <w:noWrap/>
            <w:vAlign w:val="bottom"/>
            <w:hideMark/>
          </w:tcPr>
          <w:p w14:paraId="465DE722" w14:textId="77777777" w:rsidR="00B10F1E" w:rsidRPr="006723EF" w:rsidRDefault="00B10F1E" w:rsidP="00816745">
            <w:pPr>
              <w:rPr>
                <w:rFonts w:asciiTheme="minorHAnsi" w:eastAsia="Times New Roman" w:hAnsiTheme="minorHAnsi"/>
                <w:color w:val="404040" w:themeColor="text1" w:themeTint="BF"/>
                <w:szCs w:val="20"/>
              </w:rPr>
            </w:pPr>
          </w:p>
        </w:tc>
        <w:tc>
          <w:tcPr>
            <w:tcW w:w="1000" w:type="dxa"/>
            <w:tcBorders>
              <w:top w:val="nil"/>
              <w:left w:val="nil"/>
              <w:bottom w:val="nil"/>
              <w:right w:val="nil"/>
            </w:tcBorders>
            <w:shd w:val="clear" w:color="auto" w:fill="auto"/>
            <w:noWrap/>
            <w:vAlign w:val="bottom"/>
            <w:hideMark/>
          </w:tcPr>
          <w:p w14:paraId="1B78E835" w14:textId="77777777" w:rsidR="00B10F1E" w:rsidRPr="006723EF" w:rsidRDefault="00B10F1E" w:rsidP="00816745">
            <w:pPr>
              <w:rPr>
                <w:rFonts w:asciiTheme="minorHAnsi" w:eastAsia="Times New Roman" w:hAnsiTheme="minorHAnsi"/>
                <w:color w:val="404040" w:themeColor="text1" w:themeTint="BF"/>
                <w:szCs w:val="20"/>
              </w:rPr>
            </w:pPr>
          </w:p>
        </w:tc>
        <w:tc>
          <w:tcPr>
            <w:tcW w:w="1000" w:type="dxa"/>
            <w:tcBorders>
              <w:top w:val="nil"/>
              <w:left w:val="nil"/>
              <w:bottom w:val="nil"/>
              <w:right w:val="nil"/>
            </w:tcBorders>
            <w:shd w:val="clear" w:color="auto" w:fill="auto"/>
            <w:noWrap/>
            <w:vAlign w:val="bottom"/>
            <w:hideMark/>
          </w:tcPr>
          <w:p w14:paraId="0870FF77" w14:textId="77777777" w:rsidR="00B10F1E" w:rsidRPr="006723EF" w:rsidRDefault="00B10F1E" w:rsidP="00816745">
            <w:pPr>
              <w:rPr>
                <w:rFonts w:asciiTheme="minorHAnsi" w:eastAsia="Times New Roman" w:hAnsiTheme="minorHAnsi"/>
                <w:color w:val="404040" w:themeColor="text1" w:themeTint="BF"/>
                <w:szCs w:val="20"/>
              </w:rPr>
            </w:pPr>
          </w:p>
        </w:tc>
        <w:tc>
          <w:tcPr>
            <w:tcW w:w="1000" w:type="dxa"/>
            <w:tcBorders>
              <w:top w:val="nil"/>
              <w:left w:val="nil"/>
              <w:bottom w:val="nil"/>
              <w:right w:val="nil"/>
            </w:tcBorders>
            <w:shd w:val="clear" w:color="auto" w:fill="auto"/>
            <w:noWrap/>
            <w:vAlign w:val="bottom"/>
            <w:hideMark/>
          </w:tcPr>
          <w:p w14:paraId="72053345" w14:textId="77777777" w:rsidR="00B10F1E" w:rsidRPr="006723EF" w:rsidRDefault="00B10F1E" w:rsidP="00816745">
            <w:pPr>
              <w:rPr>
                <w:rFonts w:asciiTheme="minorHAnsi" w:eastAsia="Times New Roman" w:hAnsiTheme="minorHAnsi"/>
                <w:color w:val="404040" w:themeColor="text1" w:themeTint="BF"/>
                <w:szCs w:val="20"/>
              </w:rPr>
            </w:pPr>
          </w:p>
        </w:tc>
      </w:tr>
      <w:tr w:rsidR="00B10F1E" w:rsidRPr="006723EF" w14:paraId="69BA027C" w14:textId="77777777" w:rsidTr="00816745">
        <w:trPr>
          <w:cantSplit/>
          <w:trHeight w:val="294"/>
        </w:trPr>
        <w:tc>
          <w:tcPr>
            <w:tcW w:w="7944"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53FB4605" w14:textId="77777777" w:rsidR="00B10F1E" w:rsidRPr="006723EF" w:rsidRDefault="00B10F1E" w:rsidP="00816745">
            <w:pPr>
              <w:jc w:val="center"/>
              <w:rPr>
                <w:rFonts w:asciiTheme="minorHAnsi" w:eastAsia="Times New Roman" w:hAnsiTheme="minorHAnsi"/>
                <w:b/>
                <w:bCs/>
                <w:color w:val="404040" w:themeColor="text1" w:themeTint="BF"/>
                <w:szCs w:val="20"/>
              </w:rPr>
            </w:pPr>
            <w:r w:rsidRPr="006723EF">
              <w:rPr>
                <w:rFonts w:asciiTheme="minorHAnsi" w:eastAsia="Times New Roman" w:hAnsiTheme="minorHAnsi"/>
                <w:b/>
                <w:bCs/>
                <w:color w:val="404040" w:themeColor="text1" w:themeTint="BF"/>
                <w:szCs w:val="20"/>
              </w:rPr>
              <w:t>Sub-Contracts</w:t>
            </w:r>
          </w:p>
        </w:tc>
      </w:tr>
      <w:tr w:rsidR="00B10F1E" w:rsidRPr="006723EF" w14:paraId="597E3C66" w14:textId="77777777" w:rsidTr="00816745">
        <w:trPr>
          <w:cantSplit/>
          <w:trHeight w:val="294"/>
        </w:trPr>
        <w:tc>
          <w:tcPr>
            <w:tcW w:w="1700" w:type="dxa"/>
            <w:tcBorders>
              <w:top w:val="nil"/>
              <w:left w:val="single" w:sz="8" w:space="0" w:color="auto"/>
              <w:bottom w:val="single" w:sz="8" w:space="0" w:color="auto"/>
              <w:right w:val="single" w:sz="8" w:space="0" w:color="auto"/>
            </w:tcBorders>
            <w:shd w:val="clear" w:color="auto" w:fill="auto"/>
            <w:vAlign w:val="center"/>
            <w:hideMark/>
          </w:tcPr>
          <w:p w14:paraId="1FFE32A1" w14:textId="77777777" w:rsidR="00B10F1E" w:rsidRPr="006723EF" w:rsidRDefault="00B10F1E" w:rsidP="00816745">
            <w:pP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Number</w:t>
            </w:r>
          </w:p>
        </w:tc>
        <w:tc>
          <w:tcPr>
            <w:tcW w:w="1000" w:type="dxa"/>
            <w:tcBorders>
              <w:top w:val="nil"/>
              <w:left w:val="nil"/>
              <w:bottom w:val="single" w:sz="8" w:space="0" w:color="auto"/>
              <w:right w:val="single" w:sz="8" w:space="0" w:color="auto"/>
            </w:tcBorders>
            <w:shd w:val="clear" w:color="auto" w:fill="auto"/>
            <w:vAlign w:val="center"/>
            <w:hideMark/>
          </w:tcPr>
          <w:p w14:paraId="75E90D52" w14:textId="77777777" w:rsidR="00B10F1E" w:rsidRPr="006723EF" w:rsidRDefault="00B10F1E"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244" w:type="dxa"/>
            <w:tcBorders>
              <w:top w:val="nil"/>
              <w:left w:val="nil"/>
              <w:bottom w:val="single" w:sz="8" w:space="0" w:color="auto"/>
              <w:right w:val="single" w:sz="8" w:space="0" w:color="auto"/>
            </w:tcBorders>
            <w:shd w:val="clear" w:color="auto" w:fill="auto"/>
            <w:vAlign w:val="center"/>
            <w:hideMark/>
          </w:tcPr>
          <w:p w14:paraId="08B103E5" w14:textId="77777777" w:rsidR="00B10F1E" w:rsidRPr="006723EF" w:rsidRDefault="00B10F1E"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09EF1A79" w14:textId="77777777" w:rsidR="00B10F1E" w:rsidRPr="006723EF" w:rsidRDefault="00B10F1E"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34D742DD" w14:textId="77777777" w:rsidR="00B10F1E" w:rsidRPr="006723EF" w:rsidRDefault="00B10F1E"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412CE6E3" w14:textId="77777777" w:rsidR="00B10F1E" w:rsidRPr="006723EF" w:rsidRDefault="00B10F1E"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72A25AB1" w14:textId="77777777" w:rsidR="00B10F1E" w:rsidRPr="006723EF" w:rsidRDefault="00B10F1E"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r>
      <w:tr w:rsidR="00B10F1E" w:rsidRPr="006723EF" w14:paraId="37E07FF7" w14:textId="77777777" w:rsidTr="00816745">
        <w:trPr>
          <w:cantSplit/>
          <w:trHeight w:val="582"/>
        </w:trPr>
        <w:tc>
          <w:tcPr>
            <w:tcW w:w="1700" w:type="dxa"/>
            <w:tcBorders>
              <w:top w:val="nil"/>
              <w:left w:val="single" w:sz="8" w:space="0" w:color="auto"/>
              <w:bottom w:val="single" w:sz="8" w:space="0" w:color="auto"/>
              <w:right w:val="single" w:sz="8" w:space="0" w:color="auto"/>
            </w:tcBorders>
            <w:shd w:val="clear" w:color="auto" w:fill="auto"/>
            <w:vAlign w:val="center"/>
            <w:hideMark/>
          </w:tcPr>
          <w:p w14:paraId="5ADFF7E2" w14:textId="77777777" w:rsidR="00B10F1E" w:rsidRPr="006723EF" w:rsidRDefault="00B10F1E" w:rsidP="00816745">
            <w:pP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Dollar Amount</w:t>
            </w:r>
          </w:p>
        </w:tc>
        <w:tc>
          <w:tcPr>
            <w:tcW w:w="1000" w:type="dxa"/>
            <w:tcBorders>
              <w:top w:val="nil"/>
              <w:left w:val="nil"/>
              <w:bottom w:val="single" w:sz="8" w:space="0" w:color="auto"/>
              <w:right w:val="single" w:sz="8" w:space="0" w:color="auto"/>
            </w:tcBorders>
            <w:shd w:val="clear" w:color="auto" w:fill="auto"/>
            <w:vAlign w:val="center"/>
            <w:hideMark/>
          </w:tcPr>
          <w:p w14:paraId="5D358958" w14:textId="77777777" w:rsidR="00B10F1E" w:rsidRPr="006723EF" w:rsidRDefault="00B10F1E"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244" w:type="dxa"/>
            <w:tcBorders>
              <w:top w:val="nil"/>
              <w:left w:val="nil"/>
              <w:bottom w:val="single" w:sz="8" w:space="0" w:color="auto"/>
              <w:right w:val="single" w:sz="8" w:space="0" w:color="auto"/>
            </w:tcBorders>
            <w:shd w:val="clear" w:color="auto" w:fill="auto"/>
            <w:vAlign w:val="center"/>
            <w:hideMark/>
          </w:tcPr>
          <w:p w14:paraId="69E2D28D" w14:textId="77777777" w:rsidR="00B10F1E" w:rsidRPr="006723EF" w:rsidRDefault="00B10F1E"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3DB46668" w14:textId="77777777" w:rsidR="00B10F1E" w:rsidRPr="006723EF" w:rsidRDefault="00B10F1E"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4CC96EEF" w14:textId="77777777" w:rsidR="00B10F1E" w:rsidRPr="006723EF" w:rsidRDefault="00B10F1E"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66B1A7C8" w14:textId="77777777" w:rsidR="00B10F1E" w:rsidRPr="006723EF" w:rsidRDefault="00B10F1E"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487E7F25" w14:textId="77777777" w:rsidR="00B10F1E" w:rsidRPr="006723EF" w:rsidRDefault="00B10F1E"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r>
      <w:tr w:rsidR="00B10F1E" w:rsidRPr="006723EF" w14:paraId="0DFDA19D" w14:textId="77777777" w:rsidTr="00816745">
        <w:trPr>
          <w:trHeight w:val="318"/>
        </w:trPr>
        <w:tc>
          <w:tcPr>
            <w:tcW w:w="1700" w:type="dxa"/>
            <w:tcBorders>
              <w:top w:val="nil"/>
              <w:left w:val="nil"/>
              <w:bottom w:val="nil"/>
              <w:right w:val="nil"/>
            </w:tcBorders>
            <w:shd w:val="clear" w:color="auto" w:fill="auto"/>
            <w:noWrap/>
            <w:vAlign w:val="center"/>
            <w:hideMark/>
          </w:tcPr>
          <w:p w14:paraId="3A99F22F" w14:textId="77777777" w:rsidR="00B10F1E" w:rsidRPr="006723EF" w:rsidRDefault="00B10F1E" w:rsidP="00816745">
            <w:pPr>
              <w:jc w:val="right"/>
              <w:rPr>
                <w:rFonts w:asciiTheme="minorHAnsi" w:eastAsia="Times New Roman" w:hAnsiTheme="minorHAnsi"/>
                <w:color w:val="404040" w:themeColor="text1" w:themeTint="BF"/>
                <w:szCs w:val="20"/>
              </w:rPr>
            </w:pPr>
          </w:p>
        </w:tc>
        <w:tc>
          <w:tcPr>
            <w:tcW w:w="1000" w:type="dxa"/>
            <w:tcBorders>
              <w:top w:val="nil"/>
              <w:left w:val="nil"/>
              <w:bottom w:val="nil"/>
              <w:right w:val="nil"/>
            </w:tcBorders>
            <w:shd w:val="clear" w:color="auto" w:fill="auto"/>
            <w:noWrap/>
            <w:vAlign w:val="bottom"/>
            <w:hideMark/>
          </w:tcPr>
          <w:p w14:paraId="3EECCB8B" w14:textId="77777777" w:rsidR="00B10F1E" w:rsidRPr="006723EF" w:rsidRDefault="00B10F1E" w:rsidP="00816745">
            <w:pPr>
              <w:rPr>
                <w:rFonts w:asciiTheme="minorHAnsi" w:eastAsia="Times New Roman" w:hAnsiTheme="minorHAnsi"/>
                <w:color w:val="404040" w:themeColor="text1" w:themeTint="BF"/>
                <w:szCs w:val="20"/>
              </w:rPr>
            </w:pPr>
          </w:p>
        </w:tc>
        <w:tc>
          <w:tcPr>
            <w:tcW w:w="1244" w:type="dxa"/>
            <w:tcBorders>
              <w:top w:val="nil"/>
              <w:left w:val="nil"/>
              <w:bottom w:val="nil"/>
              <w:right w:val="nil"/>
            </w:tcBorders>
            <w:shd w:val="clear" w:color="auto" w:fill="auto"/>
            <w:noWrap/>
            <w:vAlign w:val="bottom"/>
            <w:hideMark/>
          </w:tcPr>
          <w:p w14:paraId="1D495E80" w14:textId="77777777" w:rsidR="00B10F1E" w:rsidRPr="006723EF" w:rsidRDefault="00B10F1E" w:rsidP="00816745">
            <w:pPr>
              <w:rPr>
                <w:rFonts w:asciiTheme="minorHAnsi" w:eastAsia="Times New Roman" w:hAnsiTheme="minorHAnsi"/>
                <w:color w:val="404040" w:themeColor="text1" w:themeTint="BF"/>
                <w:szCs w:val="20"/>
              </w:rPr>
            </w:pPr>
          </w:p>
        </w:tc>
        <w:tc>
          <w:tcPr>
            <w:tcW w:w="1000" w:type="dxa"/>
            <w:tcBorders>
              <w:top w:val="nil"/>
              <w:left w:val="nil"/>
              <w:bottom w:val="nil"/>
              <w:right w:val="nil"/>
            </w:tcBorders>
            <w:shd w:val="clear" w:color="auto" w:fill="auto"/>
            <w:noWrap/>
            <w:vAlign w:val="bottom"/>
            <w:hideMark/>
          </w:tcPr>
          <w:p w14:paraId="22BB2786" w14:textId="77777777" w:rsidR="00B10F1E" w:rsidRPr="006723EF" w:rsidRDefault="00B10F1E" w:rsidP="00816745">
            <w:pPr>
              <w:rPr>
                <w:rFonts w:asciiTheme="minorHAnsi" w:eastAsia="Times New Roman" w:hAnsiTheme="minorHAnsi"/>
                <w:color w:val="404040" w:themeColor="text1" w:themeTint="BF"/>
                <w:szCs w:val="20"/>
              </w:rPr>
            </w:pPr>
          </w:p>
        </w:tc>
        <w:tc>
          <w:tcPr>
            <w:tcW w:w="1000" w:type="dxa"/>
            <w:tcBorders>
              <w:top w:val="nil"/>
              <w:left w:val="nil"/>
              <w:bottom w:val="nil"/>
              <w:right w:val="nil"/>
            </w:tcBorders>
            <w:shd w:val="clear" w:color="auto" w:fill="auto"/>
            <w:noWrap/>
            <w:vAlign w:val="bottom"/>
            <w:hideMark/>
          </w:tcPr>
          <w:p w14:paraId="00E7FD0D" w14:textId="77777777" w:rsidR="00B10F1E" w:rsidRPr="006723EF" w:rsidRDefault="00B10F1E" w:rsidP="00816745">
            <w:pPr>
              <w:rPr>
                <w:rFonts w:asciiTheme="minorHAnsi" w:eastAsia="Times New Roman" w:hAnsiTheme="minorHAnsi"/>
                <w:color w:val="404040" w:themeColor="text1" w:themeTint="BF"/>
                <w:szCs w:val="20"/>
              </w:rPr>
            </w:pPr>
          </w:p>
        </w:tc>
        <w:tc>
          <w:tcPr>
            <w:tcW w:w="1000" w:type="dxa"/>
            <w:tcBorders>
              <w:top w:val="nil"/>
              <w:left w:val="nil"/>
              <w:bottom w:val="nil"/>
              <w:right w:val="nil"/>
            </w:tcBorders>
            <w:shd w:val="clear" w:color="auto" w:fill="auto"/>
            <w:noWrap/>
            <w:vAlign w:val="bottom"/>
            <w:hideMark/>
          </w:tcPr>
          <w:p w14:paraId="5EE38621" w14:textId="77777777" w:rsidR="00B10F1E" w:rsidRPr="006723EF" w:rsidRDefault="00B10F1E" w:rsidP="00816745">
            <w:pPr>
              <w:rPr>
                <w:rFonts w:asciiTheme="minorHAnsi" w:eastAsia="Times New Roman" w:hAnsiTheme="minorHAnsi"/>
                <w:color w:val="404040" w:themeColor="text1" w:themeTint="BF"/>
                <w:szCs w:val="20"/>
              </w:rPr>
            </w:pPr>
          </w:p>
        </w:tc>
        <w:tc>
          <w:tcPr>
            <w:tcW w:w="1000" w:type="dxa"/>
            <w:tcBorders>
              <w:top w:val="nil"/>
              <w:left w:val="nil"/>
              <w:bottom w:val="nil"/>
              <w:right w:val="nil"/>
            </w:tcBorders>
            <w:shd w:val="clear" w:color="auto" w:fill="auto"/>
            <w:noWrap/>
            <w:vAlign w:val="bottom"/>
            <w:hideMark/>
          </w:tcPr>
          <w:p w14:paraId="599D98D9" w14:textId="77777777" w:rsidR="00B10F1E" w:rsidRPr="006723EF" w:rsidRDefault="00B10F1E" w:rsidP="00816745">
            <w:pPr>
              <w:rPr>
                <w:rFonts w:asciiTheme="minorHAnsi" w:eastAsia="Times New Roman" w:hAnsiTheme="minorHAnsi"/>
                <w:color w:val="404040" w:themeColor="text1" w:themeTint="BF"/>
                <w:szCs w:val="20"/>
              </w:rPr>
            </w:pPr>
          </w:p>
        </w:tc>
      </w:tr>
      <w:tr w:rsidR="00B10F1E" w:rsidRPr="006723EF" w14:paraId="6B00EA94" w14:textId="77777777" w:rsidTr="00816745">
        <w:trPr>
          <w:gridAfter w:val="3"/>
          <w:wAfter w:w="3000" w:type="dxa"/>
          <w:cantSplit/>
          <w:trHeight w:val="870"/>
        </w:trPr>
        <w:tc>
          <w:tcPr>
            <w:tcW w:w="170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562DC346" w14:textId="77777777" w:rsidR="00B10F1E" w:rsidRPr="006723EF" w:rsidRDefault="00B10F1E" w:rsidP="00816745">
            <w:pPr>
              <w:rPr>
                <w:rFonts w:asciiTheme="minorHAnsi" w:eastAsia="Times New Roman" w:hAnsiTheme="minorHAnsi"/>
                <w:b/>
                <w:bCs/>
                <w:color w:val="404040" w:themeColor="text1" w:themeTint="BF"/>
                <w:szCs w:val="20"/>
              </w:rPr>
            </w:pPr>
            <w:r w:rsidRPr="006723EF">
              <w:rPr>
                <w:rFonts w:asciiTheme="minorHAnsi" w:eastAsia="Times New Roman" w:hAnsiTheme="minorHAnsi"/>
                <w:b/>
                <w:bCs/>
                <w:color w:val="404040" w:themeColor="text1" w:themeTint="BF"/>
                <w:szCs w:val="20"/>
              </w:rPr>
              <w:t> </w:t>
            </w:r>
          </w:p>
        </w:tc>
        <w:tc>
          <w:tcPr>
            <w:tcW w:w="10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34A939F5" w14:textId="77777777" w:rsidR="00B10F1E" w:rsidRPr="006723EF" w:rsidRDefault="00B10F1E" w:rsidP="00816745">
            <w:pPr>
              <w:jc w:val="center"/>
              <w:rPr>
                <w:rFonts w:asciiTheme="minorHAnsi" w:eastAsia="Times New Roman" w:hAnsiTheme="minorHAnsi"/>
                <w:b/>
                <w:bCs/>
                <w:color w:val="404040" w:themeColor="text1" w:themeTint="BF"/>
                <w:szCs w:val="20"/>
              </w:rPr>
            </w:pPr>
            <w:r w:rsidRPr="006723EF">
              <w:rPr>
                <w:rFonts w:asciiTheme="minorHAnsi" w:eastAsia="Times New Roman" w:hAnsiTheme="minorHAnsi"/>
                <w:b/>
                <w:bCs/>
                <w:color w:val="404040" w:themeColor="text1" w:themeTint="BF"/>
                <w:szCs w:val="20"/>
              </w:rPr>
              <w:t>Total</w:t>
            </w:r>
          </w:p>
        </w:tc>
        <w:tc>
          <w:tcPr>
            <w:tcW w:w="124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B214A90" w14:textId="77777777" w:rsidR="00B10F1E" w:rsidRPr="006723EF" w:rsidRDefault="00B10F1E" w:rsidP="00816745">
            <w:pPr>
              <w:jc w:val="center"/>
              <w:rPr>
                <w:rFonts w:asciiTheme="minorHAnsi" w:eastAsia="Times New Roman" w:hAnsiTheme="minorHAnsi"/>
                <w:b/>
                <w:bCs/>
                <w:color w:val="404040" w:themeColor="text1" w:themeTint="BF"/>
                <w:szCs w:val="20"/>
              </w:rPr>
            </w:pPr>
            <w:r w:rsidRPr="006723EF">
              <w:rPr>
                <w:rFonts w:asciiTheme="minorHAnsi" w:eastAsia="Times New Roman" w:hAnsiTheme="minorHAnsi"/>
                <w:b/>
                <w:bCs/>
                <w:color w:val="404040" w:themeColor="text1" w:themeTint="BF"/>
                <w:szCs w:val="20"/>
              </w:rPr>
              <w:t>Women Business Enterprises</w:t>
            </w:r>
          </w:p>
        </w:tc>
        <w:tc>
          <w:tcPr>
            <w:tcW w:w="10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73658FF" w14:textId="77777777" w:rsidR="00B10F1E" w:rsidRPr="006723EF" w:rsidRDefault="00B10F1E" w:rsidP="00816745">
            <w:pPr>
              <w:jc w:val="center"/>
              <w:rPr>
                <w:rFonts w:asciiTheme="minorHAnsi" w:eastAsia="Times New Roman" w:hAnsiTheme="minorHAnsi"/>
                <w:b/>
                <w:bCs/>
                <w:color w:val="404040" w:themeColor="text1" w:themeTint="BF"/>
                <w:szCs w:val="20"/>
              </w:rPr>
            </w:pPr>
            <w:r w:rsidRPr="006723EF">
              <w:rPr>
                <w:rFonts w:asciiTheme="minorHAnsi" w:eastAsia="Times New Roman" w:hAnsiTheme="minorHAnsi"/>
                <w:b/>
                <w:bCs/>
                <w:color w:val="404040" w:themeColor="text1" w:themeTint="BF"/>
                <w:szCs w:val="20"/>
              </w:rPr>
              <w:t>Male</w:t>
            </w:r>
          </w:p>
        </w:tc>
      </w:tr>
      <w:tr w:rsidR="00B10F1E" w:rsidRPr="006723EF" w14:paraId="722D3C5C" w14:textId="77777777" w:rsidTr="00816745">
        <w:trPr>
          <w:gridAfter w:val="3"/>
          <w:wAfter w:w="3000" w:type="dxa"/>
          <w:cantSplit/>
          <w:trHeight w:val="294"/>
        </w:trPr>
        <w:tc>
          <w:tcPr>
            <w:tcW w:w="494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D341598" w14:textId="77777777" w:rsidR="00B10F1E" w:rsidRPr="006723EF" w:rsidRDefault="00B10F1E" w:rsidP="00816745">
            <w:pPr>
              <w:jc w:val="center"/>
              <w:rPr>
                <w:rFonts w:asciiTheme="minorHAnsi" w:eastAsia="Times New Roman" w:hAnsiTheme="minorHAnsi"/>
                <w:b/>
                <w:bCs/>
                <w:color w:val="404040" w:themeColor="text1" w:themeTint="BF"/>
                <w:szCs w:val="20"/>
              </w:rPr>
            </w:pPr>
            <w:r w:rsidRPr="006723EF">
              <w:rPr>
                <w:rFonts w:asciiTheme="minorHAnsi" w:eastAsia="Times New Roman" w:hAnsiTheme="minorHAnsi"/>
                <w:b/>
                <w:bCs/>
                <w:color w:val="404040" w:themeColor="text1" w:themeTint="BF"/>
                <w:szCs w:val="20"/>
              </w:rPr>
              <w:t>Contracts</w:t>
            </w:r>
          </w:p>
        </w:tc>
      </w:tr>
      <w:tr w:rsidR="00B10F1E" w:rsidRPr="006723EF" w14:paraId="0B33E469" w14:textId="77777777" w:rsidTr="00816745">
        <w:trPr>
          <w:gridAfter w:val="3"/>
          <w:wAfter w:w="3000" w:type="dxa"/>
          <w:cantSplit/>
          <w:trHeight w:val="582"/>
        </w:trPr>
        <w:tc>
          <w:tcPr>
            <w:tcW w:w="1700" w:type="dxa"/>
            <w:tcBorders>
              <w:top w:val="nil"/>
              <w:left w:val="single" w:sz="8" w:space="0" w:color="auto"/>
              <w:bottom w:val="single" w:sz="8" w:space="0" w:color="auto"/>
              <w:right w:val="single" w:sz="8" w:space="0" w:color="auto"/>
            </w:tcBorders>
            <w:shd w:val="clear" w:color="auto" w:fill="auto"/>
            <w:vAlign w:val="center"/>
            <w:hideMark/>
          </w:tcPr>
          <w:p w14:paraId="4C7194F3" w14:textId="77777777" w:rsidR="00B10F1E" w:rsidRPr="006723EF" w:rsidRDefault="00B10F1E" w:rsidP="00816745">
            <w:pP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Dollar Amount</w:t>
            </w:r>
          </w:p>
        </w:tc>
        <w:tc>
          <w:tcPr>
            <w:tcW w:w="1000" w:type="dxa"/>
            <w:tcBorders>
              <w:top w:val="nil"/>
              <w:left w:val="nil"/>
              <w:bottom w:val="single" w:sz="8" w:space="0" w:color="auto"/>
              <w:right w:val="single" w:sz="8" w:space="0" w:color="auto"/>
            </w:tcBorders>
            <w:shd w:val="clear" w:color="auto" w:fill="auto"/>
            <w:vAlign w:val="center"/>
            <w:hideMark/>
          </w:tcPr>
          <w:p w14:paraId="3C6C0E1C" w14:textId="77777777" w:rsidR="00B10F1E" w:rsidRPr="006723EF" w:rsidRDefault="00B10F1E"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244" w:type="dxa"/>
            <w:tcBorders>
              <w:top w:val="nil"/>
              <w:left w:val="nil"/>
              <w:bottom w:val="single" w:sz="8" w:space="0" w:color="auto"/>
              <w:right w:val="single" w:sz="8" w:space="0" w:color="auto"/>
            </w:tcBorders>
            <w:shd w:val="clear" w:color="auto" w:fill="auto"/>
            <w:vAlign w:val="center"/>
            <w:hideMark/>
          </w:tcPr>
          <w:p w14:paraId="18662E3A" w14:textId="77777777" w:rsidR="00B10F1E" w:rsidRPr="006723EF" w:rsidRDefault="00B10F1E"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230829AF" w14:textId="77777777" w:rsidR="00B10F1E" w:rsidRPr="006723EF" w:rsidRDefault="00B10F1E"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r>
      <w:tr w:rsidR="00B10F1E" w:rsidRPr="006723EF" w14:paraId="264AFF1F" w14:textId="77777777" w:rsidTr="00816745">
        <w:trPr>
          <w:gridAfter w:val="3"/>
          <w:wAfter w:w="3000" w:type="dxa"/>
          <w:cantSplit/>
          <w:trHeight w:val="294"/>
        </w:trPr>
        <w:tc>
          <w:tcPr>
            <w:tcW w:w="1700" w:type="dxa"/>
            <w:tcBorders>
              <w:top w:val="nil"/>
              <w:left w:val="single" w:sz="8" w:space="0" w:color="auto"/>
              <w:bottom w:val="single" w:sz="8" w:space="0" w:color="auto"/>
              <w:right w:val="single" w:sz="8" w:space="0" w:color="auto"/>
            </w:tcBorders>
            <w:shd w:val="clear" w:color="auto" w:fill="auto"/>
            <w:vAlign w:val="center"/>
            <w:hideMark/>
          </w:tcPr>
          <w:p w14:paraId="60CE4EB5" w14:textId="77777777" w:rsidR="00B10F1E" w:rsidRPr="006723EF" w:rsidRDefault="00B10F1E" w:rsidP="00816745">
            <w:pP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Number</w:t>
            </w:r>
          </w:p>
        </w:tc>
        <w:tc>
          <w:tcPr>
            <w:tcW w:w="1000" w:type="dxa"/>
            <w:tcBorders>
              <w:top w:val="nil"/>
              <w:left w:val="nil"/>
              <w:bottom w:val="single" w:sz="8" w:space="0" w:color="auto"/>
              <w:right w:val="single" w:sz="8" w:space="0" w:color="auto"/>
            </w:tcBorders>
            <w:shd w:val="clear" w:color="auto" w:fill="auto"/>
            <w:vAlign w:val="center"/>
            <w:hideMark/>
          </w:tcPr>
          <w:p w14:paraId="65AE694B" w14:textId="77777777" w:rsidR="00B10F1E" w:rsidRPr="006723EF" w:rsidRDefault="00B10F1E"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244" w:type="dxa"/>
            <w:tcBorders>
              <w:top w:val="nil"/>
              <w:left w:val="nil"/>
              <w:bottom w:val="single" w:sz="8" w:space="0" w:color="auto"/>
              <w:right w:val="single" w:sz="8" w:space="0" w:color="auto"/>
            </w:tcBorders>
            <w:shd w:val="clear" w:color="auto" w:fill="auto"/>
            <w:vAlign w:val="center"/>
            <w:hideMark/>
          </w:tcPr>
          <w:p w14:paraId="6F0A3F87" w14:textId="77777777" w:rsidR="00B10F1E" w:rsidRPr="006723EF" w:rsidRDefault="00B10F1E"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773423B6" w14:textId="77777777" w:rsidR="00B10F1E" w:rsidRPr="006723EF" w:rsidRDefault="00B10F1E"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r>
      <w:tr w:rsidR="00B10F1E" w:rsidRPr="006723EF" w14:paraId="32C3CF0B" w14:textId="77777777" w:rsidTr="00816745">
        <w:trPr>
          <w:gridAfter w:val="3"/>
          <w:wAfter w:w="3000" w:type="dxa"/>
          <w:trHeight w:val="318"/>
        </w:trPr>
        <w:tc>
          <w:tcPr>
            <w:tcW w:w="1700" w:type="dxa"/>
            <w:tcBorders>
              <w:top w:val="nil"/>
              <w:left w:val="nil"/>
              <w:bottom w:val="nil"/>
              <w:right w:val="nil"/>
            </w:tcBorders>
            <w:shd w:val="clear" w:color="auto" w:fill="auto"/>
            <w:noWrap/>
            <w:vAlign w:val="center"/>
            <w:hideMark/>
          </w:tcPr>
          <w:p w14:paraId="262A016F" w14:textId="77777777" w:rsidR="00B10F1E" w:rsidRPr="006723EF" w:rsidRDefault="00B10F1E" w:rsidP="00816745">
            <w:pPr>
              <w:rPr>
                <w:rFonts w:asciiTheme="minorHAnsi" w:eastAsia="Times New Roman" w:hAnsiTheme="minorHAnsi"/>
                <w:color w:val="404040" w:themeColor="text1" w:themeTint="BF"/>
                <w:szCs w:val="20"/>
              </w:rPr>
            </w:pPr>
          </w:p>
        </w:tc>
        <w:tc>
          <w:tcPr>
            <w:tcW w:w="1000" w:type="dxa"/>
            <w:tcBorders>
              <w:top w:val="nil"/>
              <w:left w:val="nil"/>
              <w:bottom w:val="nil"/>
              <w:right w:val="nil"/>
            </w:tcBorders>
            <w:shd w:val="clear" w:color="auto" w:fill="auto"/>
            <w:noWrap/>
            <w:vAlign w:val="bottom"/>
            <w:hideMark/>
          </w:tcPr>
          <w:p w14:paraId="3485C981" w14:textId="77777777" w:rsidR="00B10F1E" w:rsidRPr="006723EF" w:rsidRDefault="00B10F1E" w:rsidP="00816745">
            <w:pPr>
              <w:rPr>
                <w:rFonts w:asciiTheme="minorHAnsi" w:eastAsia="Times New Roman" w:hAnsiTheme="minorHAnsi"/>
                <w:color w:val="404040" w:themeColor="text1" w:themeTint="BF"/>
                <w:szCs w:val="20"/>
              </w:rPr>
            </w:pPr>
          </w:p>
        </w:tc>
        <w:tc>
          <w:tcPr>
            <w:tcW w:w="1244" w:type="dxa"/>
            <w:tcBorders>
              <w:top w:val="nil"/>
              <w:left w:val="nil"/>
              <w:bottom w:val="nil"/>
              <w:right w:val="nil"/>
            </w:tcBorders>
            <w:shd w:val="clear" w:color="auto" w:fill="auto"/>
            <w:noWrap/>
            <w:vAlign w:val="bottom"/>
            <w:hideMark/>
          </w:tcPr>
          <w:p w14:paraId="0B902CF6" w14:textId="77777777" w:rsidR="00B10F1E" w:rsidRPr="006723EF" w:rsidRDefault="00B10F1E" w:rsidP="00816745">
            <w:pPr>
              <w:rPr>
                <w:rFonts w:asciiTheme="minorHAnsi" w:eastAsia="Times New Roman" w:hAnsiTheme="minorHAnsi"/>
                <w:color w:val="404040" w:themeColor="text1" w:themeTint="BF"/>
                <w:szCs w:val="20"/>
              </w:rPr>
            </w:pPr>
          </w:p>
        </w:tc>
        <w:tc>
          <w:tcPr>
            <w:tcW w:w="1000" w:type="dxa"/>
            <w:tcBorders>
              <w:top w:val="nil"/>
              <w:left w:val="nil"/>
              <w:bottom w:val="nil"/>
              <w:right w:val="nil"/>
            </w:tcBorders>
            <w:shd w:val="clear" w:color="auto" w:fill="auto"/>
            <w:noWrap/>
            <w:vAlign w:val="bottom"/>
            <w:hideMark/>
          </w:tcPr>
          <w:p w14:paraId="35199DB4" w14:textId="77777777" w:rsidR="00B10F1E" w:rsidRPr="006723EF" w:rsidRDefault="00B10F1E" w:rsidP="00816745">
            <w:pPr>
              <w:rPr>
                <w:rFonts w:asciiTheme="minorHAnsi" w:eastAsia="Times New Roman" w:hAnsiTheme="minorHAnsi"/>
                <w:color w:val="404040" w:themeColor="text1" w:themeTint="BF"/>
                <w:szCs w:val="20"/>
              </w:rPr>
            </w:pPr>
          </w:p>
        </w:tc>
      </w:tr>
      <w:tr w:rsidR="00B10F1E" w:rsidRPr="006723EF" w14:paraId="71D03970" w14:textId="77777777" w:rsidTr="00816745">
        <w:trPr>
          <w:gridAfter w:val="3"/>
          <w:wAfter w:w="3000" w:type="dxa"/>
          <w:cantSplit/>
          <w:trHeight w:val="294"/>
        </w:trPr>
        <w:tc>
          <w:tcPr>
            <w:tcW w:w="494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CEAABDF" w14:textId="77777777" w:rsidR="00B10F1E" w:rsidRPr="006723EF" w:rsidRDefault="00B10F1E" w:rsidP="00816745">
            <w:pPr>
              <w:jc w:val="center"/>
              <w:rPr>
                <w:rFonts w:asciiTheme="minorHAnsi" w:eastAsia="Times New Roman" w:hAnsiTheme="minorHAnsi"/>
                <w:b/>
                <w:bCs/>
                <w:color w:val="404040" w:themeColor="text1" w:themeTint="BF"/>
                <w:szCs w:val="20"/>
              </w:rPr>
            </w:pPr>
            <w:r w:rsidRPr="006723EF">
              <w:rPr>
                <w:rFonts w:asciiTheme="minorHAnsi" w:eastAsia="Times New Roman" w:hAnsiTheme="minorHAnsi"/>
                <w:b/>
                <w:bCs/>
                <w:color w:val="404040" w:themeColor="text1" w:themeTint="BF"/>
                <w:szCs w:val="20"/>
              </w:rPr>
              <w:t>Sub-Contracts</w:t>
            </w:r>
          </w:p>
        </w:tc>
      </w:tr>
      <w:tr w:rsidR="00B10F1E" w:rsidRPr="006723EF" w14:paraId="6AB65085" w14:textId="77777777" w:rsidTr="00816745">
        <w:trPr>
          <w:gridAfter w:val="3"/>
          <w:wAfter w:w="3000" w:type="dxa"/>
          <w:cantSplit/>
          <w:trHeight w:val="294"/>
        </w:trPr>
        <w:tc>
          <w:tcPr>
            <w:tcW w:w="1700" w:type="dxa"/>
            <w:tcBorders>
              <w:top w:val="nil"/>
              <w:left w:val="single" w:sz="8" w:space="0" w:color="auto"/>
              <w:bottom w:val="single" w:sz="8" w:space="0" w:color="auto"/>
              <w:right w:val="single" w:sz="8" w:space="0" w:color="auto"/>
            </w:tcBorders>
            <w:shd w:val="clear" w:color="auto" w:fill="auto"/>
            <w:vAlign w:val="center"/>
            <w:hideMark/>
          </w:tcPr>
          <w:p w14:paraId="5C387D10" w14:textId="77777777" w:rsidR="00B10F1E" w:rsidRPr="006723EF" w:rsidRDefault="00B10F1E" w:rsidP="00816745">
            <w:pP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Number</w:t>
            </w:r>
          </w:p>
        </w:tc>
        <w:tc>
          <w:tcPr>
            <w:tcW w:w="1000" w:type="dxa"/>
            <w:tcBorders>
              <w:top w:val="nil"/>
              <w:left w:val="nil"/>
              <w:bottom w:val="single" w:sz="8" w:space="0" w:color="auto"/>
              <w:right w:val="single" w:sz="8" w:space="0" w:color="auto"/>
            </w:tcBorders>
            <w:shd w:val="clear" w:color="auto" w:fill="auto"/>
            <w:vAlign w:val="center"/>
            <w:hideMark/>
          </w:tcPr>
          <w:p w14:paraId="7E22C6EB" w14:textId="77777777" w:rsidR="00B10F1E" w:rsidRPr="006723EF" w:rsidRDefault="00B10F1E"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244" w:type="dxa"/>
            <w:tcBorders>
              <w:top w:val="nil"/>
              <w:left w:val="nil"/>
              <w:bottom w:val="single" w:sz="8" w:space="0" w:color="auto"/>
              <w:right w:val="single" w:sz="8" w:space="0" w:color="auto"/>
            </w:tcBorders>
            <w:shd w:val="clear" w:color="auto" w:fill="auto"/>
            <w:vAlign w:val="center"/>
            <w:hideMark/>
          </w:tcPr>
          <w:p w14:paraId="17362C18" w14:textId="77777777" w:rsidR="00B10F1E" w:rsidRPr="006723EF" w:rsidRDefault="00B10F1E"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14465EFA" w14:textId="77777777" w:rsidR="00B10F1E" w:rsidRPr="006723EF" w:rsidRDefault="00B10F1E"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r>
      <w:tr w:rsidR="00B10F1E" w:rsidRPr="006723EF" w14:paraId="43F6E415" w14:textId="77777777" w:rsidTr="00816745">
        <w:trPr>
          <w:gridAfter w:val="3"/>
          <w:wAfter w:w="3000" w:type="dxa"/>
          <w:cantSplit/>
          <w:trHeight w:val="582"/>
        </w:trPr>
        <w:tc>
          <w:tcPr>
            <w:tcW w:w="1700" w:type="dxa"/>
            <w:tcBorders>
              <w:top w:val="nil"/>
              <w:left w:val="single" w:sz="8" w:space="0" w:color="auto"/>
              <w:bottom w:val="single" w:sz="8" w:space="0" w:color="auto"/>
              <w:right w:val="single" w:sz="8" w:space="0" w:color="auto"/>
            </w:tcBorders>
            <w:shd w:val="clear" w:color="auto" w:fill="auto"/>
            <w:vAlign w:val="center"/>
            <w:hideMark/>
          </w:tcPr>
          <w:p w14:paraId="6F3BE4E4" w14:textId="77777777" w:rsidR="00B10F1E" w:rsidRPr="006723EF" w:rsidRDefault="00B10F1E" w:rsidP="00816745">
            <w:pP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Dollar Amount</w:t>
            </w:r>
          </w:p>
        </w:tc>
        <w:tc>
          <w:tcPr>
            <w:tcW w:w="1000" w:type="dxa"/>
            <w:tcBorders>
              <w:top w:val="nil"/>
              <w:left w:val="nil"/>
              <w:bottom w:val="single" w:sz="8" w:space="0" w:color="auto"/>
              <w:right w:val="single" w:sz="8" w:space="0" w:color="auto"/>
            </w:tcBorders>
            <w:shd w:val="clear" w:color="auto" w:fill="auto"/>
            <w:vAlign w:val="center"/>
            <w:hideMark/>
          </w:tcPr>
          <w:p w14:paraId="67C8F237" w14:textId="77777777" w:rsidR="00B10F1E" w:rsidRPr="006723EF" w:rsidRDefault="00B10F1E"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244" w:type="dxa"/>
            <w:tcBorders>
              <w:top w:val="nil"/>
              <w:left w:val="nil"/>
              <w:bottom w:val="single" w:sz="8" w:space="0" w:color="auto"/>
              <w:right w:val="single" w:sz="8" w:space="0" w:color="auto"/>
            </w:tcBorders>
            <w:shd w:val="clear" w:color="auto" w:fill="auto"/>
            <w:vAlign w:val="center"/>
            <w:hideMark/>
          </w:tcPr>
          <w:p w14:paraId="23011DB2" w14:textId="77777777" w:rsidR="00B10F1E" w:rsidRPr="006723EF" w:rsidRDefault="00B10F1E"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7CDCF6D9" w14:textId="77777777" w:rsidR="00B10F1E" w:rsidRPr="006723EF" w:rsidRDefault="00B10F1E"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r>
    </w:tbl>
    <w:p w14:paraId="7198E034" w14:textId="77777777" w:rsidR="00B10F1E" w:rsidRPr="006723EF" w:rsidRDefault="00B10F1E" w:rsidP="00B10F1E">
      <w:pPr>
        <w:spacing w:line="276" w:lineRule="auto"/>
        <w:ind w:right="360"/>
        <w:rPr>
          <w:rFonts w:asciiTheme="minorHAnsi" w:hAnsiTheme="minorHAnsi" w:cstheme="minorHAnsi"/>
          <w:b/>
          <w:color w:val="404040" w:themeColor="text1" w:themeTint="BF"/>
          <w:szCs w:val="20"/>
        </w:rPr>
      </w:pPr>
    </w:p>
    <w:p w14:paraId="10DE1E49" w14:textId="77777777" w:rsidR="00B10F1E" w:rsidRPr="006723EF" w:rsidRDefault="00B10F1E" w:rsidP="00B10F1E">
      <w:pPr>
        <w:spacing w:line="276" w:lineRule="auto"/>
        <w:ind w:right="360"/>
        <w:rPr>
          <w:rFonts w:asciiTheme="minorHAnsi" w:hAnsiTheme="minorHAnsi" w:cstheme="minorHAnsi"/>
          <w:b/>
          <w:color w:val="404040" w:themeColor="text1" w:themeTint="BF"/>
          <w:szCs w:val="20"/>
        </w:rPr>
      </w:pPr>
    </w:p>
    <w:p w14:paraId="343C7F82" w14:textId="77777777" w:rsidR="00B10F1E" w:rsidRPr="006723EF" w:rsidRDefault="00B10F1E" w:rsidP="00B10F1E">
      <w:pPr>
        <w:spacing w:line="360" w:lineRule="auto"/>
        <w:ind w:right="360"/>
        <w:rPr>
          <w:rFonts w:asciiTheme="minorHAnsi" w:hAnsiTheme="minorHAnsi" w:cstheme="minorHAnsi"/>
          <w:color w:val="404040" w:themeColor="text1" w:themeTint="BF"/>
          <w:szCs w:val="20"/>
        </w:rPr>
      </w:pPr>
      <w:r w:rsidRPr="006723EF">
        <w:rPr>
          <w:rFonts w:asciiTheme="minorHAnsi" w:hAnsiTheme="minorHAnsi" w:cstheme="minorHAnsi"/>
          <w:color w:val="404040" w:themeColor="text1" w:themeTint="BF"/>
          <w:szCs w:val="20"/>
        </w:rPr>
        <w:t>Salt Lake City looks to support Section 3 businesses, Women Owned Business, and Minority Owned Business</w:t>
      </w:r>
      <w:r>
        <w:rPr>
          <w:rFonts w:asciiTheme="minorHAnsi" w:hAnsiTheme="minorHAnsi" w:cstheme="minorHAnsi"/>
          <w:color w:val="404040" w:themeColor="text1" w:themeTint="BF"/>
          <w:szCs w:val="20"/>
        </w:rPr>
        <w:t xml:space="preserve"> where possible. During the </w:t>
      </w:r>
      <w:r w:rsidRPr="006723EF">
        <w:rPr>
          <w:rFonts w:asciiTheme="minorHAnsi" w:hAnsiTheme="minorHAnsi" w:cstheme="minorHAnsi"/>
          <w:color w:val="404040" w:themeColor="text1" w:themeTint="BF"/>
          <w:szCs w:val="20"/>
        </w:rPr>
        <w:t>program year, the City did not complete any HOME funded projects that utilized any of these businesses. In an effort to ensure Section 3, W/MBE are aware of potential construction projects the City follows our Section 3 policies, and looks to solicit W/MBE through local media advertising.</w:t>
      </w:r>
    </w:p>
    <w:p w14:paraId="0FF45F6B" w14:textId="77777777" w:rsidR="00B10F1E" w:rsidRPr="006723EF" w:rsidRDefault="00B10F1E" w:rsidP="00B10F1E">
      <w:pPr>
        <w:spacing w:line="276" w:lineRule="auto"/>
        <w:ind w:right="360"/>
        <w:rPr>
          <w:rFonts w:asciiTheme="minorHAnsi" w:hAnsiTheme="minorHAnsi" w:cstheme="minorHAnsi"/>
          <w:b/>
          <w:color w:val="404040" w:themeColor="text1" w:themeTint="BF"/>
          <w:szCs w:val="20"/>
        </w:rPr>
      </w:pPr>
    </w:p>
    <w:p w14:paraId="2CFD4066" w14:textId="77777777" w:rsidR="00B10F1E" w:rsidRPr="006723EF" w:rsidRDefault="00B10F1E" w:rsidP="00B10F1E">
      <w:pPr>
        <w:spacing w:line="276" w:lineRule="auto"/>
        <w:ind w:right="360"/>
        <w:rPr>
          <w:rFonts w:asciiTheme="minorHAnsi" w:hAnsiTheme="minorHAnsi" w:cstheme="minorHAnsi"/>
          <w:b/>
          <w:color w:val="404040" w:themeColor="text1" w:themeTint="BF"/>
          <w:szCs w:val="20"/>
        </w:rPr>
      </w:pPr>
      <w:r w:rsidRPr="006723EF">
        <w:rPr>
          <w:rFonts w:asciiTheme="minorHAnsi" w:hAnsiTheme="minorHAnsi" w:cstheme="minorHAnsi"/>
          <w:b/>
          <w:color w:val="404040" w:themeColor="text1" w:themeTint="BF"/>
          <w:szCs w:val="20"/>
        </w:rPr>
        <w:t>Table 9 – Minority Owners of Rental Properties</w:t>
      </w:r>
    </w:p>
    <w:tbl>
      <w:tblPr>
        <w:tblW w:w="7711" w:type="dxa"/>
        <w:tblLook w:val="04A0" w:firstRow="1" w:lastRow="0" w:firstColumn="1" w:lastColumn="0" w:noHBand="0" w:noVBand="1"/>
      </w:tblPr>
      <w:tblGrid>
        <w:gridCol w:w="1700"/>
        <w:gridCol w:w="937"/>
        <w:gridCol w:w="1090"/>
        <w:gridCol w:w="990"/>
        <w:gridCol w:w="998"/>
        <w:gridCol w:w="998"/>
        <w:gridCol w:w="998"/>
      </w:tblGrid>
      <w:tr w:rsidR="00B10F1E" w:rsidRPr="006723EF" w14:paraId="1B6A9F18" w14:textId="77777777" w:rsidTr="00816745">
        <w:trPr>
          <w:trHeight w:val="294"/>
        </w:trPr>
        <w:tc>
          <w:tcPr>
            <w:tcW w:w="170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14:paraId="0A9C4932" w14:textId="77777777" w:rsidR="00B10F1E" w:rsidRPr="006723EF" w:rsidRDefault="00B10F1E"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 </w:t>
            </w:r>
          </w:p>
        </w:tc>
        <w:tc>
          <w:tcPr>
            <w:tcW w:w="937"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14:paraId="28B0C939" w14:textId="77777777" w:rsidR="00B10F1E" w:rsidRPr="006723EF" w:rsidRDefault="00B10F1E"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Total</w:t>
            </w:r>
          </w:p>
        </w:tc>
        <w:tc>
          <w:tcPr>
            <w:tcW w:w="4076" w:type="dxa"/>
            <w:gridSpan w:val="4"/>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2124632E" w14:textId="77777777" w:rsidR="00B10F1E" w:rsidRPr="006723EF" w:rsidRDefault="00B10F1E"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Minority Property Owners</w:t>
            </w:r>
          </w:p>
        </w:tc>
        <w:tc>
          <w:tcPr>
            <w:tcW w:w="998"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14:paraId="0BFD9C87" w14:textId="77777777" w:rsidR="00B10F1E" w:rsidRPr="006723EF" w:rsidRDefault="00B10F1E"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White Non-Hispanic</w:t>
            </w:r>
          </w:p>
        </w:tc>
      </w:tr>
      <w:tr w:rsidR="00B10F1E" w:rsidRPr="006723EF" w14:paraId="3FD5EBBD" w14:textId="77777777" w:rsidTr="00816745">
        <w:trPr>
          <w:trHeight w:val="1158"/>
        </w:trPr>
        <w:tc>
          <w:tcPr>
            <w:tcW w:w="1700" w:type="dxa"/>
            <w:vMerge/>
            <w:tcBorders>
              <w:top w:val="single" w:sz="8" w:space="0" w:color="auto"/>
              <w:left w:val="single" w:sz="8" w:space="0" w:color="auto"/>
              <w:bottom w:val="single" w:sz="8" w:space="0" w:color="000000"/>
              <w:right w:val="single" w:sz="8" w:space="0" w:color="auto"/>
            </w:tcBorders>
            <w:vAlign w:val="center"/>
            <w:hideMark/>
          </w:tcPr>
          <w:p w14:paraId="64660A19" w14:textId="77777777" w:rsidR="00B10F1E" w:rsidRPr="006723EF" w:rsidRDefault="00B10F1E" w:rsidP="00816745">
            <w:pPr>
              <w:rPr>
                <w:rFonts w:ascii="Calibri" w:eastAsia="Times New Roman" w:hAnsi="Calibri"/>
                <w:b/>
                <w:bCs/>
                <w:color w:val="404040" w:themeColor="text1" w:themeTint="BF"/>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399E4BA1" w14:textId="77777777" w:rsidR="00B10F1E" w:rsidRPr="006723EF" w:rsidRDefault="00B10F1E" w:rsidP="00816745">
            <w:pPr>
              <w:rPr>
                <w:rFonts w:ascii="Calibri" w:eastAsia="Times New Roman" w:hAnsi="Calibri"/>
                <w:b/>
                <w:bCs/>
                <w:color w:val="404040" w:themeColor="text1" w:themeTint="BF"/>
                <w:szCs w:val="20"/>
              </w:rPr>
            </w:pPr>
          </w:p>
        </w:tc>
        <w:tc>
          <w:tcPr>
            <w:tcW w:w="1090" w:type="dxa"/>
            <w:tcBorders>
              <w:top w:val="nil"/>
              <w:left w:val="nil"/>
              <w:bottom w:val="single" w:sz="8" w:space="0" w:color="auto"/>
              <w:right w:val="single" w:sz="8" w:space="0" w:color="auto"/>
            </w:tcBorders>
            <w:shd w:val="clear" w:color="auto" w:fill="C6D9F1" w:themeFill="text2" w:themeFillTint="33"/>
            <w:vAlign w:val="center"/>
            <w:hideMark/>
          </w:tcPr>
          <w:p w14:paraId="08C84492" w14:textId="77777777" w:rsidR="00B10F1E" w:rsidRPr="006723EF" w:rsidRDefault="00B10F1E"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Alaskan Native or American Indian</w:t>
            </w:r>
          </w:p>
        </w:tc>
        <w:tc>
          <w:tcPr>
            <w:tcW w:w="990" w:type="dxa"/>
            <w:tcBorders>
              <w:top w:val="nil"/>
              <w:left w:val="nil"/>
              <w:bottom w:val="single" w:sz="8" w:space="0" w:color="auto"/>
              <w:right w:val="single" w:sz="8" w:space="0" w:color="auto"/>
            </w:tcBorders>
            <w:shd w:val="clear" w:color="auto" w:fill="C6D9F1" w:themeFill="text2" w:themeFillTint="33"/>
            <w:vAlign w:val="center"/>
            <w:hideMark/>
          </w:tcPr>
          <w:p w14:paraId="05FB49CB" w14:textId="77777777" w:rsidR="00B10F1E" w:rsidRPr="006723EF" w:rsidRDefault="00B10F1E"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Asian or Pacific Islander</w:t>
            </w:r>
          </w:p>
        </w:tc>
        <w:tc>
          <w:tcPr>
            <w:tcW w:w="998" w:type="dxa"/>
            <w:tcBorders>
              <w:top w:val="nil"/>
              <w:left w:val="nil"/>
              <w:bottom w:val="single" w:sz="8" w:space="0" w:color="auto"/>
              <w:right w:val="single" w:sz="8" w:space="0" w:color="auto"/>
            </w:tcBorders>
            <w:shd w:val="clear" w:color="auto" w:fill="C6D9F1" w:themeFill="text2" w:themeFillTint="33"/>
            <w:vAlign w:val="center"/>
            <w:hideMark/>
          </w:tcPr>
          <w:p w14:paraId="144A9F6E" w14:textId="77777777" w:rsidR="00B10F1E" w:rsidRPr="006723EF" w:rsidRDefault="00B10F1E"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Black Non-Hispanic</w:t>
            </w:r>
          </w:p>
        </w:tc>
        <w:tc>
          <w:tcPr>
            <w:tcW w:w="998" w:type="dxa"/>
            <w:tcBorders>
              <w:top w:val="nil"/>
              <w:left w:val="nil"/>
              <w:bottom w:val="single" w:sz="8" w:space="0" w:color="auto"/>
              <w:right w:val="single" w:sz="8" w:space="0" w:color="auto"/>
            </w:tcBorders>
            <w:shd w:val="clear" w:color="auto" w:fill="C6D9F1" w:themeFill="text2" w:themeFillTint="33"/>
            <w:vAlign w:val="center"/>
            <w:hideMark/>
          </w:tcPr>
          <w:p w14:paraId="0DD2F8A9" w14:textId="77777777" w:rsidR="00B10F1E" w:rsidRPr="006723EF" w:rsidRDefault="00B10F1E"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Hispanic</w:t>
            </w:r>
          </w:p>
        </w:tc>
        <w:tc>
          <w:tcPr>
            <w:tcW w:w="998" w:type="dxa"/>
            <w:vMerge/>
            <w:tcBorders>
              <w:top w:val="single" w:sz="8" w:space="0" w:color="auto"/>
              <w:left w:val="single" w:sz="8" w:space="0" w:color="auto"/>
              <w:bottom w:val="single" w:sz="8" w:space="0" w:color="000000"/>
              <w:right w:val="single" w:sz="8" w:space="0" w:color="auto"/>
            </w:tcBorders>
            <w:vAlign w:val="center"/>
            <w:hideMark/>
          </w:tcPr>
          <w:p w14:paraId="719A199F" w14:textId="77777777" w:rsidR="00B10F1E" w:rsidRPr="006723EF" w:rsidRDefault="00B10F1E" w:rsidP="00816745">
            <w:pPr>
              <w:rPr>
                <w:rFonts w:ascii="Calibri" w:eastAsia="Times New Roman" w:hAnsi="Calibri"/>
                <w:b/>
                <w:bCs/>
                <w:color w:val="404040" w:themeColor="text1" w:themeTint="BF"/>
                <w:szCs w:val="20"/>
              </w:rPr>
            </w:pPr>
          </w:p>
        </w:tc>
      </w:tr>
      <w:tr w:rsidR="00B10F1E" w:rsidRPr="006723EF" w14:paraId="030FBDA8" w14:textId="77777777" w:rsidTr="00816745">
        <w:trPr>
          <w:trHeight w:val="294"/>
        </w:trPr>
        <w:tc>
          <w:tcPr>
            <w:tcW w:w="1700" w:type="dxa"/>
            <w:tcBorders>
              <w:top w:val="nil"/>
              <w:left w:val="single" w:sz="8" w:space="0" w:color="auto"/>
              <w:bottom w:val="single" w:sz="8" w:space="0" w:color="auto"/>
              <w:right w:val="single" w:sz="8" w:space="0" w:color="auto"/>
            </w:tcBorders>
            <w:shd w:val="clear" w:color="auto" w:fill="auto"/>
            <w:vAlign w:val="center"/>
            <w:hideMark/>
          </w:tcPr>
          <w:p w14:paraId="0CC1789F" w14:textId="77777777" w:rsidR="00B10F1E" w:rsidRPr="006723EF" w:rsidRDefault="00B10F1E" w:rsidP="00816745">
            <w:pP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Number</w:t>
            </w:r>
          </w:p>
        </w:tc>
        <w:tc>
          <w:tcPr>
            <w:tcW w:w="937" w:type="dxa"/>
            <w:tcBorders>
              <w:top w:val="nil"/>
              <w:left w:val="nil"/>
              <w:bottom w:val="single" w:sz="8" w:space="0" w:color="auto"/>
              <w:right w:val="single" w:sz="8" w:space="0" w:color="auto"/>
            </w:tcBorders>
            <w:shd w:val="clear" w:color="auto" w:fill="auto"/>
            <w:vAlign w:val="center"/>
            <w:hideMark/>
          </w:tcPr>
          <w:p w14:paraId="753D1FC2" w14:textId="77777777" w:rsidR="00B10F1E" w:rsidRPr="006723EF" w:rsidRDefault="00B10F1E"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1090" w:type="dxa"/>
            <w:tcBorders>
              <w:top w:val="nil"/>
              <w:left w:val="nil"/>
              <w:bottom w:val="single" w:sz="8" w:space="0" w:color="auto"/>
              <w:right w:val="single" w:sz="8" w:space="0" w:color="auto"/>
            </w:tcBorders>
            <w:shd w:val="clear" w:color="auto" w:fill="auto"/>
            <w:vAlign w:val="center"/>
            <w:hideMark/>
          </w:tcPr>
          <w:p w14:paraId="44F857ED" w14:textId="77777777" w:rsidR="00B10F1E" w:rsidRPr="006723EF" w:rsidRDefault="00B10F1E"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990" w:type="dxa"/>
            <w:tcBorders>
              <w:top w:val="nil"/>
              <w:left w:val="nil"/>
              <w:bottom w:val="single" w:sz="8" w:space="0" w:color="auto"/>
              <w:right w:val="single" w:sz="8" w:space="0" w:color="auto"/>
            </w:tcBorders>
            <w:shd w:val="clear" w:color="auto" w:fill="auto"/>
            <w:vAlign w:val="center"/>
            <w:hideMark/>
          </w:tcPr>
          <w:p w14:paraId="06520215" w14:textId="77777777" w:rsidR="00B10F1E" w:rsidRPr="006723EF" w:rsidRDefault="00B10F1E"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998" w:type="dxa"/>
            <w:tcBorders>
              <w:top w:val="nil"/>
              <w:left w:val="nil"/>
              <w:bottom w:val="single" w:sz="8" w:space="0" w:color="auto"/>
              <w:right w:val="single" w:sz="8" w:space="0" w:color="auto"/>
            </w:tcBorders>
            <w:shd w:val="clear" w:color="auto" w:fill="auto"/>
            <w:vAlign w:val="center"/>
            <w:hideMark/>
          </w:tcPr>
          <w:p w14:paraId="13269116" w14:textId="77777777" w:rsidR="00B10F1E" w:rsidRPr="006723EF" w:rsidRDefault="00B10F1E"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998" w:type="dxa"/>
            <w:tcBorders>
              <w:top w:val="nil"/>
              <w:left w:val="nil"/>
              <w:bottom w:val="single" w:sz="8" w:space="0" w:color="auto"/>
              <w:right w:val="single" w:sz="8" w:space="0" w:color="auto"/>
            </w:tcBorders>
            <w:shd w:val="clear" w:color="auto" w:fill="auto"/>
            <w:vAlign w:val="center"/>
            <w:hideMark/>
          </w:tcPr>
          <w:p w14:paraId="4998A7F9" w14:textId="77777777" w:rsidR="00B10F1E" w:rsidRPr="006723EF" w:rsidRDefault="00B10F1E"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998" w:type="dxa"/>
            <w:tcBorders>
              <w:top w:val="nil"/>
              <w:left w:val="nil"/>
              <w:bottom w:val="single" w:sz="8" w:space="0" w:color="auto"/>
              <w:right w:val="single" w:sz="8" w:space="0" w:color="auto"/>
            </w:tcBorders>
            <w:shd w:val="clear" w:color="auto" w:fill="auto"/>
            <w:vAlign w:val="center"/>
            <w:hideMark/>
          </w:tcPr>
          <w:p w14:paraId="0070D108" w14:textId="77777777" w:rsidR="00B10F1E" w:rsidRPr="006723EF" w:rsidRDefault="00B10F1E"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r>
      <w:tr w:rsidR="00B10F1E" w:rsidRPr="006723EF" w14:paraId="2FD7E705" w14:textId="77777777" w:rsidTr="00816745">
        <w:trPr>
          <w:trHeight w:val="582"/>
        </w:trPr>
        <w:tc>
          <w:tcPr>
            <w:tcW w:w="1700" w:type="dxa"/>
            <w:tcBorders>
              <w:top w:val="nil"/>
              <w:left w:val="single" w:sz="8" w:space="0" w:color="auto"/>
              <w:bottom w:val="single" w:sz="8" w:space="0" w:color="auto"/>
              <w:right w:val="single" w:sz="8" w:space="0" w:color="auto"/>
            </w:tcBorders>
            <w:shd w:val="clear" w:color="auto" w:fill="auto"/>
            <w:vAlign w:val="center"/>
            <w:hideMark/>
          </w:tcPr>
          <w:p w14:paraId="0DEB8DC8" w14:textId="77777777" w:rsidR="00B10F1E" w:rsidRPr="006723EF" w:rsidRDefault="00B10F1E" w:rsidP="00816745">
            <w:pP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Dollar Amount</w:t>
            </w:r>
          </w:p>
        </w:tc>
        <w:tc>
          <w:tcPr>
            <w:tcW w:w="937" w:type="dxa"/>
            <w:tcBorders>
              <w:top w:val="nil"/>
              <w:left w:val="nil"/>
              <w:bottom w:val="single" w:sz="8" w:space="0" w:color="auto"/>
              <w:right w:val="single" w:sz="8" w:space="0" w:color="auto"/>
            </w:tcBorders>
            <w:shd w:val="clear" w:color="auto" w:fill="auto"/>
            <w:vAlign w:val="center"/>
            <w:hideMark/>
          </w:tcPr>
          <w:p w14:paraId="20AAF607" w14:textId="77777777" w:rsidR="00B10F1E" w:rsidRPr="006723EF" w:rsidRDefault="00B10F1E"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1090" w:type="dxa"/>
            <w:tcBorders>
              <w:top w:val="nil"/>
              <w:left w:val="nil"/>
              <w:bottom w:val="single" w:sz="8" w:space="0" w:color="auto"/>
              <w:right w:val="single" w:sz="8" w:space="0" w:color="auto"/>
            </w:tcBorders>
            <w:shd w:val="clear" w:color="auto" w:fill="auto"/>
            <w:vAlign w:val="center"/>
            <w:hideMark/>
          </w:tcPr>
          <w:p w14:paraId="59AD36DB" w14:textId="77777777" w:rsidR="00B10F1E" w:rsidRPr="006723EF" w:rsidRDefault="00B10F1E"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990" w:type="dxa"/>
            <w:tcBorders>
              <w:top w:val="nil"/>
              <w:left w:val="nil"/>
              <w:bottom w:val="single" w:sz="8" w:space="0" w:color="auto"/>
              <w:right w:val="single" w:sz="8" w:space="0" w:color="auto"/>
            </w:tcBorders>
            <w:shd w:val="clear" w:color="auto" w:fill="auto"/>
            <w:vAlign w:val="center"/>
            <w:hideMark/>
          </w:tcPr>
          <w:p w14:paraId="651E5C9D" w14:textId="77777777" w:rsidR="00B10F1E" w:rsidRPr="006723EF" w:rsidRDefault="00B10F1E"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998" w:type="dxa"/>
            <w:tcBorders>
              <w:top w:val="nil"/>
              <w:left w:val="nil"/>
              <w:bottom w:val="single" w:sz="8" w:space="0" w:color="auto"/>
              <w:right w:val="single" w:sz="8" w:space="0" w:color="auto"/>
            </w:tcBorders>
            <w:shd w:val="clear" w:color="auto" w:fill="auto"/>
            <w:vAlign w:val="center"/>
            <w:hideMark/>
          </w:tcPr>
          <w:p w14:paraId="58D3EE84" w14:textId="77777777" w:rsidR="00B10F1E" w:rsidRPr="006723EF" w:rsidRDefault="00B10F1E"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998" w:type="dxa"/>
            <w:tcBorders>
              <w:top w:val="nil"/>
              <w:left w:val="nil"/>
              <w:bottom w:val="single" w:sz="8" w:space="0" w:color="auto"/>
              <w:right w:val="single" w:sz="8" w:space="0" w:color="auto"/>
            </w:tcBorders>
            <w:shd w:val="clear" w:color="auto" w:fill="auto"/>
            <w:vAlign w:val="center"/>
            <w:hideMark/>
          </w:tcPr>
          <w:p w14:paraId="557224FB" w14:textId="77777777" w:rsidR="00B10F1E" w:rsidRPr="006723EF" w:rsidRDefault="00B10F1E"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998" w:type="dxa"/>
            <w:tcBorders>
              <w:top w:val="nil"/>
              <w:left w:val="nil"/>
              <w:bottom w:val="single" w:sz="8" w:space="0" w:color="auto"/>
              <w:right w:val="single" w:sz="8" w:space="0" w:color="auto"/>
            </w:tcBorders>
            <w:shd w:val="clear" w:color="auto" w:fill="auto"/>
            <w:vAlign w:val="center"/>
            <w:hideMark/>
          </w:tcPr>
          <w:p w14:paraId="170181A9" w14:textId="77777777" w:rsidR="00B10F1E" w:rsidRPr="006723EF" w:rsidRDefault="00B10F1E"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r>
    </w:tbl>
    <w:p w14:paraId="08C66E41" w14:textId="77777777" w:rsidR="00B10F1E" w:rsidRPr="006723EF" w:rsidRDefault="00B10F1E" w:rsidP="00B10F1E">
      <w:pPr>
        <w:spacing w:line="276" w:lineRule="auto"/>
        <w:ind w:right="360"/>
        <w:rPr>
          <w:rFonts w:asciiTheme="minorHAnsi" w:hAnsiTheme="minorHAnsi" w:cstheme="minorHAnsi"/>
          <w:b/>
          <w:color w:val="404040" w:themeColor="text1" w:themeTint="BF"/>
          <w:szCs w:val="20"/>
        </w:rPr>
      </w:pPr>
    </w:p>
    <w:p w14:paraId="3F80795F" w14:textId="77777777" w:rsidR="00B10F1E" w:rsidRPr="006723EF" w:rsidRDefault="00B10F1E" w:rsidP="00B10F1E">
      <w:pPr>
        <w:spacing w:line="276" w:lineRule="auto"/>
        <w:ind w:right="360"/>
        <w:rPr>
          <w:rFonts w:asciiTheme="minorHAnsi" w:hAnsiTheme="minorHAnsi" w:cstheme="minorHAnsi"/>
          <w:b/>
          <w:color w:val="404040" w:themeColor="text1" w:themeTint="BF"/>
          <w:szCs w:val="20"/>
        </w:rPr>
      </w:pPr>
    </w:p>
    <w:p w14:paraId="3EBD0F79" w14:textId="77777777" w:rsidR="00B10F1E" w:rsidRPr="006723EF" w:rsidRDefault="00B10F1E" w:rsidP="00B10F1E">
      <w:pPr>
        <w:spacing w:line="276" w:lineRule="auto"/>
        <w:ind w:right="360"/>
        <w:rPr>
          <w:rFonts w:asciiTheme="minorHAnsi" w:hAnsiTheme="minorHAnsi" w:cstheme="minorHAnsi"/>
          <w:color w:val="404040" w:themeColor="text1" w:themeTint="BF"/>
          <w:szCs w:val="20"/>
        </w:rPr>
      </w:pPr>
      <w:r w:rsidRPr="006723EF">
        <w:rPr>
          <w:rFonts w:asciiTheme="minorHAnsi" w:hAnsiTheme="minorHAnsi" w:cstheme="minorHAnsi"/>
          <w:color w:val="404040" w:themeColor="text1" w:themeTint="BF"/>
          <w:szCs w:val="20"/>
        </w:rPr>
        <w:t>Salt Lake City did not use HOME funds for r</w:t>
      </w:r>
      <w:r>
        <w:rPr>
          <w:rFonts w:asciiTheme="minorHAnsi" w:hAnsiTheme="minorHAnsi" w:cstheme="minorHAnsi"/>
          <w:color w:val="404040" w:themeColor="text1" w:themeTint="BF"/>
          <w:szCs w:val="20"/>
        </w:rPr>
        <w:t>ental properties during the 2017-18</w:t>
      </w:r>
      <w:r w:rsidRPr="006723EF">
        <w:rPr>
          <w:rFonts w:asciiTheme="minorHAnsi" w:hAnsiTheme="minorHAnsi" w:cstheme="minorHAnsi"/>
          <w:color w:val="404040" w:themeColor="text1" w:themeTint="BF"/>
          <w:szCs w:val="20"/>
        </w:rPr>
        <w:t xml:space="preserve"> program year.</w:t>
      </w:r>
    </w:p>
    <w:p w14:paraId="76076640" w14:textId="77777777" w:rsidR="00B10F1E" w:rsidRPr="006723EF" w:rsidRDefault="00B10F1E" w:rsidP="00B10F1E">
      <w:pPr>
        <w:spacing w:line="276" w:lineRule="auto"/>
        <w:ind w:right="360"/>
        <w:rPr>
          <w:rFonts w:asciiTheme="minorHAnsi" w:hAnsiTheme="minorHAnsi" w:cstheme="minorHAnsi"/>
          <w:b/>
          <w:color w:val="404040" w:themeColor="text1" w:themeTint="BF"/>
          <w:szCs w:val="20"/>
        </w:rPr>
      </w:pPr>
    </w:p>
    <w:p w14:paraId="14EAA887" w14:textId="77777777" w:rsidR="00B10F1E" w:rsidRPr="006723EF" w:rsidRDefault="00B10F1E" w:rsidP="00B10F1E">
      <w:pPr>
        <w:spacing w:line="276" w:lineRule="auto"/>
        <w:ind w:right="360"/>
        <w:rPr>
          <w:rFonts w:asciiTheme="minorHAnsi" w:hAnsiTheme="minorHAnsi" w:cstheme="minorHAnsi"/>
          <w:b/>
          <w:color w:val="404040" w:themeColor="text1" w:themeTint="BF"/>
          <w:szCs w:val="20"/>
        </w:rPr>
      </w:pPr>
      <w:r w:rsidRPr="006723EF">
        <w:rPr>
          <w:rFonts w:asciiTheme="minorHAnsi" w:hAnsiTheme="minorHAnsi" w:cstheme="minorHAnsi"/>
          <w:b/>
          <w:color w:val="404040" w:themeColor="text1" w:themeTint="BF"/>
          <w:szCs w:val="20"/>
        </w:rPr>
        <w:t>Table 10 – Relocation and Real Property Acquisition</w:t>
      </w:r>
    </w:p>
    <w:tbl>
      <w:tblPr>
        <w:tblW w:w="5590" w:type="dxa"/>
        <w:tblLook w:val="04A0" w:firstRow="1" w:lastRow="0" w:firstColumn="1" w:lastColumn="0" w:noHBand="0" w:noVBand="1"/>
      </w:tblPr>
      <w:tblGrid>
        <w:gridCol w:w="3590"/>
        <w:gridCol w:w="1000"/>
        <w:gridCol w:w="1000"/>
      </w:tblGrid>
      <w:tr w:rsidR="00B10F1E" w:rsidRPr="006723EF" w14:paraId="74B98C87" w14:textId="77777777" w:rsidTr="00816745">
        <w:trPr>
          <w:cantSplit/>
          <w:trHeight w:val="294"/>
          <w:hidden/>
        </w:trPr>
        <w:tc>
          <w:tcPr>
            <w:tcW w:w="359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094FFF84" w14:textId="77777777" w:rsidR="00B10F1E" w:rsidRPr="006723EF" w:rsidRDefault="00B10F1E" w:rsidP="00816745">
            <w:pPr>
              <w:rPr>
                <w:rFonts w:ascii="Calibri" w:eastAsia="Times New Roman" w:hAnsi="Calibri"/>
                <w:b/>
                <w:bCs/>
                <w:color w:val="404040" w:themeColor="text1" w:themeTint="BF"/>
                <w:szCs w:val="20"/>
              </w:rPr>
            </w:pPr>
            <w:r w:rsidRPr="006723EF">
              <w:rPr>
                <w:rFonts w:ascii="Calibri" w:eastAsia="Times New Roman" w:hAnsi="Calibri"/>
                <w:b/>
                <w:bCs/>
                <w:vanish/>
                <w:color w:val="404040" w:themeColor="text1" w:themeTint="BF"/>
                <w:szCs w:val="20"/>
              </w:rPr>
              <w:t> </w:t>
            </w:r>
          </w:p>
        </w:tc>
        <w:tc>
          <w:tcPr>
            <w:tcW w:w="10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D0A0E78" w14:textId="77777777" w:rsidR="00B10F1E" w:rsidRPr="006723EF" w:rsidRDefault="00B10F1E"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Number</w:t>
            </w:r>
            <w:r w:rsidRPr="006723EF">
              <w:rPr>
                <w:rFonts w:ascii="Calibri" w:eastAsia="Times New Roman" w:hAnsi="Calibri"/>
                <w:b/>
                <w:bCs/>
                <w:vanish/>
                <w:color w:val="404040" w:themeColor="text1" w:themeTint="BF"/>
                <w:szCs w:val="20"/>
              </w:rPr>
              <w:t>Number</w:t>
            </w:r>
          </w:p>
        </w:tc>
        <w:tc>
          <w:tcPr>
            <w:tcW w:w="10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5D9EF2D" w14:textId="77777777" w:rsidR="00B10F1E" w:rsidRPr="006723EF" w:rsidRDefault="00B10F1E" w:rsidP="00816745">
            <w:pPr>
              <w:jc w:val="center"/>
              <w:rPr>
                <w:rFonts w:ascii="Calibri" w:eastAsia="Times New Roman" w:hAnsi="Calibri"/>
                <w:b/>
                <w:bCs/>
                <w:color w:val="404040" w:themeColor="text1" w:themeTint="BF"/>
                <w:szCs w:val="20"/>
              </w:rPr>
            </w:pPr>
            <w:r w:rsidRPr="006723EF">
              <w:rPr>
                <w:rFonts w:ascii="Calibri" w:eastAsia="Times New Roman" w:hAnsi="Calibri"/>
                <w:b/>
                <w:bCs/>
                <w:vanish/>
                <w:color w:val="404040" w:themeColor="text1" w:themeTint="BF"/>
                <w:szCs w:val="20"/>
              </w:rPr>
              <w:t>CostC</w:t>
            </w:r>
            <w:r w:rsidRPr="006723EF">
              <w:rPr>
                <w:rFonts w:ascii="Calibri" w:eastAsia="Times New Roman" w:hAnsi="Calibri"/>
                <w:b/>
                <w:bCs/>
                <w:color w:val="404040" w:themeColor="text1" w:themeTint="BF"/>
                <w:szCs w:val="20"/>
              </w:rPr>
              <w:t>Cost</w:t>
            </w:r>
          </w:p>
        </w:tc>
      </w:tr>
      <w:tr w:rsidR="00B10F1E" w:rsidRPr="006723EF" w14:paraId="77B1EA20" w14:textId="77777777" w:rsidTr="00816745">
        <w:trPr>
          <w:cantSplit/>
          <w:trHeight w:val="294"/>
        </w:trPr>
        <w:tc>
          <w:tcPr>
            <w:tcW w:w="3590" w:type="dxa"/>
            <w:tcBorders>
              <w:top w:val="nil"/>
              <w:left w:val="single" w:sz="8" w:space="0" w:color="auto"/>
              <w:bottom w:val="single" w:sz="8" w:space="0" w:color="auto"/>
              <w:right w:val="single" w:sz="8" w:space="0" w:color="auto"/>
            </w:tcBorders>
            <w:shd w:val="clear" w:color="auto" w:fill="auto"/>
            <w:vAlign w:val="center"/>
            <w:hideMark/>
          </w:tcPr>
          <w:p w14:paraId="0D510890" w14:textId="77777777" w:rsidR="00B10F1E" w:rsidRPr="006723EF" w:rsidRDefault="00B10F1E" w:rsidP="00816745">
            <w:pP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Parcels Acquired</w:t>
            </w:r>
          </w:p>
        </w:tc>
        <w:tc>
          <w:tcPr>
            <w:tcW w:w="1000" w:type="dxa"/>
            <w:tcBorders>
              <w:top w:val="nil"/>
              <w:left w:val="nil"/>
              <w:bottom w:val="single" w:sz="8" w:space="0" w:color="auto"/>
              <w:right w:val="single" w:sz="8" w:space="0" w:color="auto"/>
            </w:tcBorders>
            <w:shd w:val="clear" w:color="auto" w:fill="auto"/>
            <w:vAlign w:val="center"/>
            <w:hideMark/>
          </w:tcPr>
          <w:p w14:paraId="78C236FA" w14:textId="77777777" w:rsidR="00B10F1E" w:rsidRPr="006723EF" w:rsidRDefault="00B10F1E"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4DC41DA4" w14:textId="77777777" w:rsidR="00B10F1E" w:rsidRPr="006723EF" w:rsidRDefault="00B10F1E"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r>
      <w:tr w:rsidR="00B10F1E" w:rsidRPr="006723EF" w14:paraId="1B294444" w14:textId="77777777" w:rsidTr="00816745">
        <w:trPr>
          <w:cantSplit/>
          <w:trHeight w:val="294"/>
        </w:trPr>
        <w:tc>
          <w:tcPr>
            <w:tcW w:w="3590" w:type="dxa"/>
            <w:tcBorders>
              <w:top w:val="nil"/>
              <w:left w:val="single" w:sz="8" w:space="0" w:color="auto"/>
              <w:bottom w:val="single" w:sz="8" w:space="0" w:color="auto"/>
              <w:right w:val="single" w:sz="8" w:space="0" w:color="auto"/>
            </w:tcBorders>
            <w:shd w:val="clear" w:color="auto" w:fill="auto"/>
            <w:vAlign w:val="center"/>
            <w:hideMark/>
          </w:tcPr>
          <w:p w14:paraId="7F6FCDC0" w14:textId="77777777" w:rsidR="00B10F1E" w:rsidRPr="006723EF" w:rsidRDefault="00B10F1E" w:rsidP="00816745">
            <w:pP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Businesses Displaced</w:t>
            </w:r>
          </w:p>
        </w:tc>
        <w:tc>
          <w:tcPr>
            <w:tcW w:w="1000" w:type="dxa"/>
            <w:tcBorders>
              <w:top w:val="nil"/>
              <w:left w:val="nil"/>
              <w:bottom w:val="single" w:sz="8" w:space="0" w:color="auto"/>
              <w:right w:val="single" w:sz="8" w:space="0" w:color="auto"/>
            </w:tcBorders>
            <w:shd w:val="clear" w:color="auto" w:fill="auto"/>
            <w:vAlign w:val="center"/>
            <w:hideMark/>
          </w:tcPr>
          <w:p w14:paraId="7F352FF7" w14:textId="77777777" w:rsidR="00B10F1E" w:rsidRPr="006723EF" w:rsidRDefault="00B10F1E"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367E0241" w14:textId="77777777" w:rsidR="00B10F1E" w:rsidRPr="006723EF" w:rsidRDefault="00B10F1E"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r>
      <w:tr w:rsidR="00B10F1E" w:rsidRPr="006723EF" w14:paraId="26C16976" w14:textId="77777777" w:rsidTr="00816745">
        <w:trPr>
          <w:cantSplit/>
          <w:trHeight w:val="582"/>
        </w:trPr>
        <w:tc>
          <w:tcPr>
            <w:tcW w:w="3590" w:type="dxa"/>
            <w:tcBorders>
              <w:top w:val="nil"/>
              <w:left w:val="single" w:sz="8" w:space="0" w:color="auto"/>
              <w:bottom w:val="single" w:sz="8" w:space="0" w:color="auto"/>
              <w:right w:val="single" w:sz="8" w:space="0" w:color="auto"/>
            </w:tcBorders>
            <w:shd w:val="clear" w:color="auto" w:fill="auto"/>
            <w:vAlign w:val="center"/>
            <w:hideMark/>
          </w:tcPr>
          <w:p w14:paraId="192CB794" w14:textId="77777777" w:rsidR="00B10F1E" w:rsidRPr="006723EF" w:rsidRDefault="00B10F1E" w:rsidP="00816745">
            <w:pP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Nonprofit Organizations Displaced</w:t>
            </w:r>
          </w:p>
        </w:tc>
        <w:tc>
          <w:tcPr>
            <w:tcW w:w="1000" w:type="dxa"/>
            <w:tcBorders>
              <w:top w:val="nil"/>
              <w:left w:val="nil"/>
              <w:bottom w:val="single" w:sz="8" w:space="0" w:color="auto"/>
              <w:right w:val="single" w:sz="8" w:space="0" w:color="auto"/>
            </w:tcBorders>
            <w:shd w:val="clear" w:color="auto" w:fill="auto"/>
            <w:vAlign w:val="center"/>
            <w:hideMark/>
          </w:tcPr>
          <w:p w14:paraId="638B5832" w14:textId="77777777" w:rsidR="00B10F1E" w:rsidRPr="006723EF" w:rsidRDefault="00B10F1E"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73C34F2D" w14:textId="77777777" w:rsidR="00B10F1E" w:rsidRPr="006723EF" w:rsidRDefault="00B10F1E"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r>
      <w:tr w:rsidR="00B10F1E" w:rsidRPr="006723EF" w14:paraId="0083322B" w14:textId="77777777" w:rsidTr="00816745">
        <w:trPr>
          <w:cantSplit/>
          <w:trHeight w:val="582"/>
        </w:trPr>
        <w:tc>
          <w:tcPr>
            <w:tcW w:w="3590" w:type="dxa"/>
            <w:tcBorders>
              <w:top w:val="nil"/>
              <w:left w:val="single" w:sz="8" w:space="0" w:color="auto"/>
              <w:bottom w:val="single" w:sz="8" w:space="0" w:color="auto"/>
              <w:right w:val="single" w:sz="8" w:space="0" w:color="auto"/>
            </w:tcBorders>
            <w:shd w:val="clear" w:color="auto" w:fill="auto"/>
            <w:vAlign w:val="center"/>
            <w:hideMark/>
          </w:tcPr>
          <w:p w14:paraId="64F78DEF" w14:textId="77777777" w:rsidR="00B10F1E" w:rsidRPr="006723EF" w:rsidRDefault="00B10F1E" w:rsidP="00816745">
            <w:pP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Households Temporarily Relocated, not Displaced</w:t>
            </w:r>
          </w:p>
        </w:tc>
        <w:tc>
          <w:tcPr>
            <w:tcW w:w="1000" w:type="dxa"/>
            <w:tcBorders>
              <w:top w:val="nil"/>
              <w:left w:val="nil"/>
              <w:bottom w:val="single" w:sz="8" w:space="0" w:color="auto"/>
              <w:right w:val="single" w:sz="8" w:space="0" w:color="auto"/>
            </w:tcBorders>
            <w:shd w:val="clear" w:color="auto" w:fill="auto"/>
            <w:vAlign w:val="center"/>
            <w:hideMark/>
          </w:tcPr>
          <w:p w14:paraId="080D0143" w14:textId="77777777" w:rsidR="00B10F1E" w:rsidRPr="006723EF" w:rsidRDefault="00B10F1E"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75F62F58" w14:textId="77777777" w:rsidR="00B10F1E" w:rsidRPr="006723EF" w:rsidRDefault="00B10F1E"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r>
    </w:tbl>
    <w:p w14:paraId="44283E03" w14:textId="77777777" w:rsidR="00B10F1E" w:rsidRPr="006723EF" w:rsidRDefault="00B10F1E" w:rsidP="00B10F1E">
      <w:pPr>
        <w:spacing w:line="276" w:lineRule="auto"/>
        <w:ind w:right="360"/>
        <w:rPr>
          <w:rFonts w:asciiTheme="minorHAnsi" w:hAnsiTheme="minorHAnsi" w:cstheme="minorHAnsi"/>
          <w:b/>
          <w:color w:val="FF0000"/>
          <w:szCs w:val="20"/>
        </w:rPr>
      </w:pPr>
    </w:p>
    <w:p w14:paraId="56DFE13E" w14:textId="77777777" w:rsidR="00B10F1E" w:rsidRPr="006723EF" w:rsidRDefault="00B10F1E" w:rsidP="00B10F1E">
      <w:pPr>
        <w:spacing w:line="276" w:lineRule="auto"/>
        <w:ind w:right="360"/>
        <w:rPr>
          <w:rFonts w:asciiTheme="minorHAnsi" w:hAnsiTheme="minorHAnsi" w:cstheme="minorHAnsi"/>
          <w:b/>
          <w:color w:val="FF0000"/>
          <w:szCs w:val="20"/>
        </w:rPr>
      </w:pPr>
    </w:p>
    <w:tbl>
      <w:tblPr>
        <w:tblW w:w="8340" w:type="dxa"/>
        <w:tblLook w:val="04A0" w:firstRow="1" w:lastRow="0" w:firstColumn="1" w:lastColumn="0" w:noHBand="0" w:noVBand="1"/>
      </w:tblPr>
      <w:tblGrid>
        <w:gridCol w:w="2332"/>
        <w:gridCol w:w="998"/>
        <w:gridCol w:w="1011"/>
        <w:gridCol w:w="999"/>
        <w:gridCol w:w="1000"/>
        <w:gridCol w:w="1000"/>
        <w:gridCol w:w="1000"/>
      </w:tblGrid>
      <w:tr w:rsidR="00B10F1E" w:rsidRPr="006723EF" w14:paraId="6FA9A5ED" w14:textId="77777777" w:rsidTr="00816745">
        <w:trPr>
          <w:cantSplit/>
          <w:trHeight w:val="294"/>
        </w:trPr>
        <w:tc>
          <w:tcPr>
            <w:tcW w:w="234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14:paraId="65D0D8E5" w14:textId="77777777" w:rsidR="00B10F1E" w:rsidRPr="006723EF" w:rsidRDefault="00B10F1E"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Households Displaced</w:t>
            </w:r>
          </w:p>
        </w:tc>
        <w:tc>
          <w:tcPr>
            <w:tcW w:w="100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14:paraId="181DAD13" w14:textId="77777777" w:rsidR="00B10F1E" w:rsidRPr="006723EF" w:rsidRDefault="00B10F1E"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Total</w:t>
            </w:r>
          </w:p>
        </w:tc>
        <w:tc>
          <w:tcPr>
            <w:tcW w:w="4000" w:type="dxa"/>
            <w:gridSpan w:val="4"/>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45856A40" w14:textId="77777777" w:rsidR="00B10F1E" w:rsidRPr="006723EF" w:rsidRDefault="00B10F1E"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Minority Property Enterprises</w:t>
            </w:r>
          </w:p>
        </w:tc>
        <w:tc>
          <w:tcPr>
            <w:tcW w:w="100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14:paraId="2A49E381" w14:textId="77777777" w:rsidR="00B10F1E" w:rsidRPr="006723EF" w:rsidRDefault="00B10F1E"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White Non-Hispanic</w:t>
            </w:r>
          </w:p>
        </w:tc>
      </w:tr>
      <w:tr w:rsidR="00B10F1E" w:rsidRPr="006723EF" w14:paraId="53D81FF5" w14:textId="77777777" w:rsidTr="00816745">
        <w:trPr>
          <w:trHeight w:val="1158"/>
        </w:trPr>
        <w:tc>
          <w:tcPr>
            <w:tcW w:w="2340" w:type="dxa"/>
            <w:vMerge/>
            <w:tcBorders>
              <w:top w:val="single" w:sz="8" w:space="0" w:color="auto"/>
              <w:left w:val="single" w:sz="8" w:space="0" w:color="auto"/>
              <w:bottom w:val="single" w:sz="8" w:space="0" w:color="000000"/>
              <w:right w:val="single" w:sz="8" w:space="0" w:color="auto"/>
            </w:tcBorders>
            <w:vAlign w:val="center"/>
            <w:hideMark/>
          </w:tcPr>
          <w:p w14:paraId="5A4F5BAC" w14:textId="77777777" w:rsidR="00B10F1E" w:rsidRPr="006723EF" w:rsidRDefault="00B10F1E" w:rsidP="00816745">
            <w:pPr>
              <w:rPr>
                <w:rFonts w:ascii="Calibri" w:eastAsia="Times New Roman" w:hAnsi="Calibri"/>
                <w:b/>
                <w:bCs/>
                <w:color w:val="404040" w:themeColor="text1" w:themeTint="BF"/>
                <w:szCs w:val="20"/>
              </w:rPr>
            </w:pPr>
          </w:p>
        </w:tc>
        <w:tc>
          <w:tcPr>
            <w:tcW w:w="1000" w:type="dxa"/>
            <w:vMerge/>
            <w:tcBorders>
              <w:top w:val="single" w:sz="8" w:space="0" w:color="auto"/>
              <w:left w:val="single" w:sz="8" w:space="0" w:color="auto"/>
              <w:bottom w:val="single" w:sz="8" w:space="0" w:color="000000"/>
              <w:right w:val="single" w:sz="8" w:space="0" w:color="auto"/>
            </w:tcBorders>
            <w:vAlign w:val="center"/>
            <w:hideMark/>
          </w:tcPr>
          <w:p w14:paraId="317CC8F3" w14:textId="77777777" w:rsidR="00B10F1E" w:rsidRPr="006723EF" w:rsidRDefault="00B10F1E" w:rsidP="00816745">
            <w:pPr>
              <w:rPr>
                <w:rFonts w:ascii="Calibri" w:eastAsia="Times New Roman" w:hAnsi="Calibri"/>
                <w:b/>
                <w:bCs/>
                <w:color w:val="404040" w:themeColor="text1" w:themeTint="BF"/>
                <w:szCs w:val="20"/>
              </w:rPr>
            </w:pPr>
          </w:p>
        </w:tc>
        <w:tc>
          <w:tcPr>
            <w:tcW w:w="1000" w:type="dxa"/>
            <w:tcBorders>
              <w:top w:val="nil"/>
              <w:left w:val="nil"/>
              <w:bottom w:val="single" w:sz="8" w:space="0" w:color="auto"/>
              <w:right w:val="single" w:sz="8" w:space="0" w:color="auto"/>
            </w:tcBorders>
            <w:shd w:val="clear" w:color="auto" w:fill="C6D9F1" w:themeFill="text2" w:themeFillTint="33"/>
            <w:vAlign w:val="center"/>
            <w:hideMark/>
          </w:tcPr>
          <w:p w14:paraId="1B35E899" w14:textId="77777777" w:rsidR="00B10F1E" w:rsidRPr="006723EF" w:rsidRDefault="00B10F1E"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Alaskan Native or American Indian</w:t>
            </w:r>
          </w:p>
        </w:tc>
        <w:tc>
          <w:tcPr>
            <w:tcW w:w="1000" w:type="dxa"/>
            <w:tcBorders>
              <w:top w:val="nil"/>
              <w:left w:val="nil"/>
              <w:bottom w:val="single" w:sz="8" w:space="0" w:color="auto"/>
              <w:right w:val="single" w:sz="8" w:space="0" w:color="auto"/>
            </w:tcBorders>
            <w:shd w:val="clear" w:color="auto" w:fill="C6D9F1" w:themeFill="text2" w:themeFillTint="33"/>
            <w:vAlign w:val="center"/>
            <w:hideMark/>
          </w:tcPr>
          <w:p w14:paraId="7E28F2A5" w14:textId="77777777" w:rsidR="00B10F1E" w:rsidRPr="006723EF" w:rsidRDefault="00B10F1E"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Asian or Pacific Islander</w:t>
            </w:r>
          </w:p>
        </w:tc>
        <w:tc>
          <w:tcPr>
            <w:tcW w:w="1000" w:type="dxa"/>
            <w:tcBorders>
              <w:top w:val="nil"/>
              <w:left w:val="nil"/>
              <w:bottom w:val="single" w:sz="8" w:space="0" w:color="auto"/>
              <w:right w:val="single" w:sz="8" w:space="0" w:color="auto"/>
            </w:tcBorders>
            <w:shd w:val="clear" w:color="auto" w:fill="C6D9F1" w:themeFill="text2" w:themeFillTint="33"/>
            <w:vAlign w:val="center"/>
            <w:hideMark/>
          </w:tcPr>
          <w:p w14:paraId="03F1A592" w14:textId="77777777" w:rsidR="00B10F1E" w:rsidRPr="006723EF" w:rsidRDefault="00B10F1E"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Black Non-Hispanic</w:t>
            </w:r>
          </w:p>
        </w:tc>
        <w:tc>
          <w:tcPr>
            <w:tcW w:w="1000" w:type="dxa"/>
            <w:tcBorders>
              <w:top w:val="nil"/>
              <w:left w:val="nil"/>
              <w:bottom w:val="single" w:sz="8" w:space="0" w:color="auto"/>
              <w:right w:val="single" w:sz="8" w:space="0" w:color="auto"/>
            </w:tcBorders>
            <w:shd w:val="clear" w:color="auto" w:fill="C6D9F1" w:themeFill="text2" w:themeFillTint="33"/>
            <w:vAlign w:val="center"/>
            <w:hideMark/>
          </w:tcPr>
          <w:p w14:paraId="68698ECE" w14:textId="77777777" w:rsidR="00B10F1E" w:rsidRPr="006723EF" w:rsidRDefault="00B10F1E"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Hispanic</w:t>
            </w:r>
          </w:p>
        </w:tc>
        <w:tc>
          <w:tcPr>
            <w:tcW w:w="1000" w:type="dxa"/>
            <w:vMerge/>
            <w:tcBorders>
              <w:top w:val="single" w:sz="8" w:space="0" w:color="auto"/>
              <w:left w:val="single" w:sz="8" w:space="0" w:color="auto"/>
              <w:bottom w:val="single" w:sz="8" w:space="0" w:color="000000"/>
              <w:right w:val="single" w:sz="8" w:space="0" w:color="auto"/>
            </w:tcBorders>
            <w:vAlign w:val="center"/>
            <w:hideMark/>
          </w:tcPr>
          <w:p w14:paraId="34985A97" w14:textId="77777777" w:rsidR="00B10F1E" w:rsidRPr="006723EF" w:rsidRDefault="00B10F1E" w:rsidP="00816745">
            <w:pPr>
              <w:rPr>
                <w:rFonts w:ascii="Calibri" w:eastAsia="Times New Roman" w:hAnsi="Calibri"/>
                <w:b/>
                <w:bCs/>
                <w:color w:val="404040" w:themeColor="text1" w:themeTint="BF"/>
                <w:szCs w:val="20"/>
              </w:rPr>
            </w:pPr>
          </w:p>
        </w:tc>
      </w:tr>
      <w:tr w:rsidR="00B10F1E" w:rsidRPr="006723EF" w14:paraId="78E676BC" w14:textId="77777777" w:rsidTr="00816745">
        <w:trPr>
          <w:cantSplit/>
          <w:trHeight w:val="294"/>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254ED053" w14:textId="77777777" w:rsidR="00B10F1E" w:rsidRPr="006723EF" w:rsidRDefault="00B10F1E" w:rsidP="00816745">
            <w:pP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Number</w:t>
            </w:r>
          </w:p>
        </w:tc>
        <w:tc>
          <w:tcPr>
            <w:tcW w:w="1000" w:type="dxa"/>
            <w:tcBorders>
              <w:top w:val="nil"/>
              <w:left w:val="nil"/>
              <w:bottom w:val="single" w:sz="8" w:space="0" w:color="auto"/>
              <w:right w:val="single" w:sz="8" w:space="0" w:color="auto"/>
            </w:tcBorders>
            <w:shd w:val="clear" w:color="auto" w:fill="auto"/>
            <w:vAlign w:val="center"/>
            <w:hideMark/>
          </w:tcPr>
          <w:p w14:paraId="5B9ABD38" w14:textId="77777777" w:rsidR="00B10F1E" w:rsidRPr="006723EF" w:rsidRDefault="00B10F1E"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5A59E89B" w14:textId="77777777" w:rsidR="00B10F1E" w:rsidRPr="006723EF" w:rsidRDefault="00B10F1E"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463D654A" w14:textId="77777777" w:rsidR="00B10F1E" w:rsidRPr="006723EF" w:rsidRDefault="00B10F1E"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3C639FB3" w14:textId="77777777" w:rsidR="00B10F1E" w:rsidRPr="006723EF" w:rsidRDefault="00B10F1E"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54F26B5F" w14:textId="77777777" w:rsidR="00B10F1E" w:rsidRPr="006723EF" w:rsidRDefault="00B10F1E"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730DF114" w14:textId="77777777" w:rsidR="00B10F1E" w:rsidRPr="006723EF" w:rsidRDefault="00B10F1E"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r>
      <w:tr w:rsidR="00B10F1E" w:rsidRPr="006723EF" w14:paraId="082E779B" w14:textId="77777777" w:rsidTr="00816745">
        <w:trPr>
          <w:cantSplit/>
          <w:trHeight w:val="294"/>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3C660ED8" w14:textId="77777777" w:rsidR="00B10F1E" w:rsidRPr="006723EF" w:rsidRDefault="00B10F1E" w:rsidP="00816745">
            <w:pP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Cost</w:t>
            </w:r>
          </w:p>
        </w:tc>
        <w:tc>
          <w:tcPr>
            <w:tcW w:w="1000" w:type="dxa"/>
            <w:tcBorders>
              <w:top w:val="nil"/>
              <w:left w:val="nil"/>
              <w:bottom w:val="single" w:sz="8" w:space="0" w:color="auto"/>
              <w:right w:val="single" w:sz="8" w:space="0" w:color="auto"/>
            </w:tcBorders>
            <w:shd w:val="clear" w:color="auto" w:fill="auto"/>
            <w:vAlign w:val="center"/>
            <w:hideMark/>
          </w:tcPr>
          <w:p w14:paraId="32545ABF" w14:textId="77777777" w:rsidR="00B10F1E" w:rsidRPr="006723EF" w:rsidRDefault="00B10F1E"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692A28E7" w14:textId="77777777" w:rsidR="00B10F1E" w:rsidRPr="006723EF" w:rsidRDefault="00B10F1E"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117005C1" w14:textId="77777777" w:rsidR="00B10F1E" w:rsidRPr="006723EF" w:rsidRDefault="00B10F1E"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11997CCE" w14:textId="77777777" w:rsidR="00B10F1E" w:rsidRPr="006723EF" w:rsidRDefault="00B10F1E"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4855AD72" w14:textId="77777777" w:rsidR="00B10F1E" w:rsidRPr="006723EF" w:rsidRDefault="00B10F1E"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19EBDA9D" w14:textId="77777777" w:rsidR="00B10F1E" w:rsidRPr="006723EF" w:rsidRDefault="00B10F1E"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r>
    </w:tbl>
    <w:p w14:paraId="79AF1C1E" w14:textId="77777777" w:rsidR="00B10F1E" w:rsidRPr="006723EF" w:rsidRDefault="00B10F1E" w:rsidP="00B10F1E">
      <w:pPr>
        <w:spacing w:line="276" w:lineRule="auto"/>
        <w:ind w:right="360"/>
        <w:rPr>
          <w:rFonts w:asciiTheme="minorHAnsi" w:hAnsiTheme="minorHAnsi" w:cstheme="minorHAnsi"/>
          <w:b/>
          <w:color w:val="FF0000"/>
          <w:szCs w:val="20"/>
        </w:rPr>
      </w:pPr>
    </w:p>
    <w:p w14:paraId="4DD6AE8C" w14:textId="77777777" w:rsidR="00B10F1E" w:rsidRPr="006723EF" w:rsidRDefault="00B10F1E" w:rsidP="00B10F1E">
      <w:pPr>
        <w:spacing w:line="360" w:lineRule="auto"/>
        <w:ind w:right="360"/>
        <w:rPr>
          <w:rFonts w:asciiTheme="minorHAnsi" w:hAnsiTheme="minorHAnsi" w:cstheme="minorHAnsi"/>
          <w:b/>
          <w:color w:val="FF0000"/>
          <w:szCs w:val="20"/>
        </w:rPr>
      </w:pPr>
      <w:r w:rsidRPr="006723EF">
        <w:rPr>
          <w:rFonts w:asciiTheme="minorHAnsi" w:hAnsiTheme="minorHAnsi" w:cstheme="minorHAnsi"/>
          <w:color w:val="404040" w:themeColor="text1" w:themeTint="BF"/>
          <w:szCs w:val="20"/>
        </w:rPr>
        <w:t>Salt Lake City did not use HOME funds to acquire parcels, and none of the funded activities triggered relocation requirements.</w:t>
      </w:r>
    </w:p>
    <w:p w14:paraId="503552E6" w14:textId="77777777" w:rsidR="00B10F1E" w:rsidRPr="006723EF" w:rsidRDefault="00B10F1E" w:rsidP="00B10F1E">
      <w:pPr>
        <w:spacing w:line="276" w:lineRule="auto"/>
        <w:ind w:right="360"/>
        <w:rPr>
          <w:rFonts w:asciiTheme="minorHAnsi" w:hAnsiTheme="minorHAnsi" w:cstheme="minorHAnsi"/>
          <w:b/>
          <w:color w:val="FF0000"/>
          <w:szCs w:val="20"/>
        </w:rPr>
      </w:pPr>
    </w:p>
    <w:p w14:paraId="6AC2FD20" w14:textId="77777777" w:rsidR="00B10F1E" w:rsidRPr="006723EF" w:rsidRDefault="00B10F1E" w:rsidP="00B10F1E">
      <w:pPr>
        <w:spacing w:line="276" w:lineRule="auto"/>
        <w:ind w:right="360"/>
        <w:rPr>
          <w:rFonts w:asciiTheme="minorHAnsi" w:hAnsiTheme="minorHAnsi" w:cstheme="minorHAnsi"/>
          <w:b/>
          <w:color w:val="FF0000"/>
          <w:szCs w:val="20"/>
        </w:rPr>
      </w:pPr>
    </w:p>
    <w:p w14:paraId="5D3160D1" w14:textId="528B540D" w:rsidR="00B10F1E" w:rsidRPr="00B10F1E" w:rsidRDefault="00B10F1E" w:rsidP="00B10F1E">
      <w:pPr>
        <w:spacing w:line="276" w:lineRule="auto"/>
        <w:ind w:right="360"/>
        <w:rPr>
          <w:rFonts w:asciiTheme="minorHAnsi" w:hAnsiTheme="minorHAnsi" w:cstheme="minorHAnsi"/>
          <w:b/>
          <w:color w:val="1F497D" w:themeColor="text2"/>
          <w:sz w:val="24"/>
        </w:rPr>
      </w:pPr>
      <w:r w:rsidRPr="009629AD">
        <w:rPr>
          <w:rFonts w:asciiTheme="minorHAnsi" w:hAnsiTheme="minorHAnsi" w:cstheme="minorHAnsi"/>
          <w:noProof/>
          <w:color w:val="1F497D" w:themeColor="text2"/>
          <w:sz w:val="24"/>
        </w:rPr>
        <mc:AlternateContent>
          <mc:Choice Requires="wps">
            <w:drawing>
              <wp:anchor distT="0" distB="0" distL="114300" distR="114300" simplePos="0" relativeHeight="251771904" behindDoc="0" locked="0" layoutInCell="1" allowOverlap="1" wp14:anchorId="2F4BE7F4" wp14:editId="0E0E381C">
                <wp:simplePos x="0" y="0"/>
                <wp:positionH relativeFrom="column">
                  <wp:posOffset>0</wp:posOffset>
                </wp:positionH>
                <wp:positionV relativeFrom="paragraph">
                  <wp:posOffset>9525</wp:posOffset>
                </wp:positionV>
                <wp:extent cx="6779895" cy="635"/>
                <wp:effectExtent l="9525" t="9525" r="11430" b="889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989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5D97E" id="AutoShape 15" o:spid="_x0000_s1026" type="#_x0000_t32" style="position:absolute;margin-left:0;margin-top:.75pt;width:533.85pt;height:.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" strokecolor="#548dd4"/>
            </w:pict>
          </mc:Fallback>
        </mc:AlternateContent>
      </w:r>
      <w:r w:rsidRPr="00B10F1E">
        <w:rPr>
          <w:rFonts w:asciiTheme="minorHAnsi" w:hAnsiTheme="minorHAnsi" w:cstheme="minorHAnsi"/>
          <w:b/>
          <w:color w:val="1F497D" w:themeColor="text2"/>
          <w:sz w:val="24"/>
        </w:rPr>
        <w:t xml:space="preserve">CR-20 AFFORDABLE HOUSING– </w:t>
      </w:r>
      <w:r w:rsidRPr="00D73F6A">
        <w:rPr>
          <w:rFonts w:asciiTheme="minorHAnsi" w:hAnsiTheme="minorHAnsi" w:cstheme="minorHAnsi"/>
          <w:i/>
          <w:color w:val="1F497D" w:themeColor="text2"/>
          <w:sz w:val="18"/>
          <w:szCs w:val="18"/>
        </w:rPr>
        <w:t>91.520(b)</w:t>
      </w:r>
    </w:p>
    <w:p w14:paraId="4A5C2624" w14:textId="77777777" w:rsidR="00B10F1E" w:rsidRPr="00BF2DE4" w:rsidRDefault="00B10F1E" w:rsidP="00B10F1E">
      <w:pPr>
        <w:spacing w:line="276" w:lineRule="auto"/>
        <w:ind w:right="360"/>
        <w:rPr>
          <w:rFonts w:ascii="Calibri" w:hAnsi="Calibri" w:cs="Calibri"/>
          <w:i/>
          <w:color w:val="1F497D"/>
          <w:sz w:val="18"/>
          <w:szCs w:val="18"/>
        </w:rPr>
      </w:pPr>
    </w:p>
    <w:p w14:paraId="4C30025A" w14:textId="77777777" w:rsidR="00B10F1E" w:rsidRPr="00BF2DE4" w:rsidRDefault="00B10F1E" w:rsidP="00B10F1E">
      <w:pPr>
        <w:spacing w:line="276" w:lineRule="auto"/>
        <w:ind w:right="360"/>
        <w:rPr>
          <w:rFonts w:ascii="Calibri" w:hAnsi="Calibri" w:cs="Calibri"/>
          <w:b/>
          <w:color w:val="404040"/>
          <w:szCs w:val="20"/>
        </w:rPr>
      </w:pPr>
      <w:r w:rsidRPr="00BF2DE4">
        <w:rPr>
          <w:rFonts w:ascii="Calibri" w:hAnsi="Calibri" w:cs="Calibri"/>
          <w:b/>
          <w:color w:val="404040"/>
          <w:szCs w:val="20"/>
        </w:rPr>
        <w:t xml:space="preserve">Evaluation of Salt Lake City’s progress in providing affordable housing, including the number and types of families served, the number of extremely low-income, low-income, moderate income and middle income persons served. </w:t>
      </w:r>
    </w:p>
    <w:p w14:paraId="68D71747" w14:textId="77777777" w:rsidR="00B10F1E" w:rsidRPr="00BF2DE4" w:rsidRDefault="00B10F1E" w:rsidP="00B10F1E">
      <w:pPr>
        <w:spacing w:line="276" w:lineRule="auto"/>
        <w:ind w:right="360"/>
        <w:rPr>
          <w:rFonts w:ascii="Calibri" w:hAnsi="Calibri" w:cs="Calibri"/>
          <w:b/>
          <w:color w:val="404040"/>
          <w:szCs w:val="20"/>
        </w:rPr>
      </w:pPr>
    </w:p>
    <w:p w14:paraId="1EA4DDCE" w14:textId="77777777" w:rsidR="00B10F1E" w:rsidRPr="00BF2DE4" w:rsidRDefault="00B10F1E" w:rsidP="00B10F1E">
      <w:pPr>
        <w:spacing w:line="276" w:lineRule="auto"/>
        <w:ind w:right="360"/>
        <w:rPr>
          <w:rFonts w:ascii="Calibri" w:hAnsi="Calibri" w:cs="Calibri"/>
          <w:b/>
          <w:color w:val="404040"/>
          <w:szCs w:val="20"/>
        </w:rPr>
      </w:pPr>
      <w:r w:rsidRPr="00BF2DE4">
        <w:rPr>
          <w:rFonts w:ascii="Calibri" w:hAnsi="Calibri" w:cs="Calibri"/>
          <w:b/>
          <w:color w:val="404040"/>
          <w:szCs w:val="20"/>
        </w:rPr>
        <w:t xml:space="preserve">Table 11 – Number of Households </w:t>
      </w:r>
    </w:p>
    <w:tbl>
      <w:tblPr>
        <w:tblW w:w="8560" w:type="dxa"/>
        <w:tblLook w:val="04A0" w:firstRow="1" w:lastRow="0" w:firstColumn="1" w:lastColumn="0" w:noHBand="0" w:noVBand="1"/>
      </w:tblPr>
      <w:tblGrid>
        <w:gridCol w:w="6560"/>
        <w:gridCol w:w="1000"/>
        <w:gridCol w:w="1000"/>
      </w:tblGrid>
      <w:tr w:rsidR="00B10F1E" w:rsidRPr="00BF2DE4" w14:paraId="56AC656A" w14:textId="77777777" w:rsidTr="00816745">
        <w:trPr>
          <w:trHeight w:val="582"/>
        </w:trPr>
        <w:tc>
          <w:tcPr>
            <w:tcW w:w="6560"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35DDE79A" w14:textId="77777777" w:rsidR="00B10F1E" w:rsidRPr="00BF2DE4" w:rsidRDefault="00B10F1E" w:rsidP="00816745">
            <w:pPr>
              <w:jc w:val="center"/>
              <w:rPr>
                <w:rFonts w:ascii="Calibri" w:eastAsia="Times New Roman" w:hAnsi="Calibri"/>
                <w:b/>
                <w:bCs/>
                <w:color w:val="404040"/>
                <w:szCs w:val="20"/>
              </w:rPr>
            </w:pPr>
            <w:r w:rsidRPr="00BF2DE4">
              <w:rPr>
                <w:rFonts w:ascii="Calibri" w:eastAsia="Times New Roman" w:hAnsi="Calibri"/>
                <w:b/>
                <w:bCs/>
                <w:color w:val="404040"/>
                <w:szCs w:val="20"/>
              </w:rPr>
              <w:t> </w:t>
            </w:r>
          </w:p>
        </w:tc>
        <w:tc>
          <w:tcPr>
            <w:tcW w:w="1000" w:type="dxa"/>
            <w:tcBorders>
              <w:top w:val="single" w:sz="8" w:space="0" w:color="auto"/>
              <w:left w:val="nil"/>
              <w:bottom w:val="single" w:sz="8" w:space="0" w:color="auto"/>
              <w:right w:val="single" w:sz="8" w:space="0" w:color="auto"/>
            </w:tcBorders>
            <w:shd w:val="clear" w:color="000000" w:fill="BDD7EE"/>
            <w:vAlign w:val="center"/>
            <w:hideMark/>
          </w:tcPr>
          <w:p w14:paraId="1D0AC887" w14:textId="77777777" w:rsidR="00B10F1E" w:rsidRPr="00BF2DE4" w:rsidRDefault="00B10F1E" w:rsidP="00816745">
            <w:pPr>
              <w:jc w:val="center"/>
              <w:rPr>
                <w:rFonts w:ascii="Calibri" w:eastAsia="Times New Roman" w:hAnsi="Calibri"/>
                <w:b/>
                <w:bCs/>
                <w:color w:val="404040"/>
                <w:szCs w:val="20"/>
              </w:rPr>
            </w:pPr>
            <w:r w:rsidRPr="00BF2DE4">
              <w:rPr>
                <w:rFonts w:ascii="Calibri" w:eastAsia="Times New Roman" w:hAnsi="Calibri"/>
                <w:b/>
                <w:bCs/>
                <w:color w:val="404040"/>
                <w:szCs w:val="20"/>
              </w:rPr>
              <w:t>One-Year Goal</w:t>
            </w:r>
          </w:p>
        </w:tc>
        <w:tc>
          <w:tcPr>
            <w:tcW w:w="1000" w:type="dxa"/>
            <w:tcBorders>
              <w:top w:val="single" w:sz="8" w:space="0" w:color="auto"/>
              <w:left w:val="nil"/>
              <w:bottom w:val="single" w:sz="8" w:space="0" w:color="auto"/>
              <w:right w:val="single" w:sz="8" w:space="0" w:color="auto"/>
            </w:tcBorders>
            <w:shd w:val="clear" w:color="000000" w:fill="BDD7EE"/>
            <w:vAlign w:val="center"/>
            <w:hideMark/>
          </w:tcPr>
          <w:p w14:paraId="41BBA4C1" w14:textId="77777777" w:rsidR="00B10F1E" w:rsidRPr="00BF2DE4" w:rsidRDefault="00B10F1E" w:rsidP="00816745">
            <w:pPr>
              <w:jc w:val="center"/>
              <w:rPr>
                <w:rFonts w:ascii="Calibri" w:eastAsia="Times New Roman" w:hAnsi="Calibri"/>
                <w:b/>
                <w:bCs/>
                <w:color w:val="404040"/>
                <w:szCs w:val="20"/>
              </w:rPr>
            </w:pPr>
            <w:r w:rsidRPr="00BF2DE4">
              <w:rPr>
                <w:rFonts w:ascii="Calibri" w:eastAsia="Times New Roman" w:hAnsi="Calibri"/>
                <w:b/>
                <w:bCs/>
                <w:color w:val="404040"/>
                <w:szCs w:val="20"/>
              </w:rPr>
              <w:t>Actual</w:t>
            </w:r>
          </w:p>
        </w:tc>
      </w:tr>
      <w:tr w:rsidR="00B10F1E" w:rsidRPr="00BF2DE4" w14:paraId="49DBA25B" w14:textId="77777777" w:rsidTr="00816745">
        <w:trPr>
          <w:trHeight w:val="582"/>
        </w:trPr>
        <w:tc>
          <w:tcPr>
            <w:tcW w:w="6560" w:type="dxa"/>
            <w:tcBorders>
              <w:top w:val="nil"/>
              <w:left w:val="single" w:sz="8" w:space="0" w:color="auto"/>
              <w:bottom w:val="single" w:sz="8" w:space="0" w:color="auto"/>
              <w:right w:val="single" w:sz="8" w:space="0" w:color="auto"/>
            </w:tcBorders>
            <w:shd w:val="clear" w:color="auto" w:fill="auto"/>
            <w:vAlign w:val="center"/>
            <w:hideMark/>
          </w:tcPr>
          <w:p w14:paraId="2EBB8387" w14:textId="77777777" w:rsidR="00B10F1E" w:rsidRPr="00BF2DE4" w:rsidRDefault="00B10F1E" w:rsidP="00816745">
            <w:pPr>
              <w:rPr>
                <w:rFonts w:ascii="Calibri" w:eastAsia="Times New Roman" w:hAnsi="Calibri"/>
                <w:color w:val="404040"/>
                <w:szCs w:val="20"/>
              </w:rPr>
            </w:pPr>
            <w:r w:rsidRPr="00BF2DE4">
              <w:rPr>
                <w:rFonts w:ascii="Calibri" w:eastAsia="Times New Roman" w:hAnsi="Calibri"/>
                <w:color w:val="404040"/>
                <w:szCs w:val="20"/>
              </w:rPr>
              <w:t>Number of homeless households to be provided affordable housing units</w:t>
            </w:r>
          </w:p>
        </w:tc>
        <w:tc>
          <w:tcPr>
            <w:tcW w:w="1000" w:type="dxa"/>
            <w:tcBorders>
              <w:top w:val="nil"/>
              <w:left w:val="nil"/>
              <w:bottom w:val="single" w:sz="8" w:space="0" w:color="auto"/>
              <w:right w:val="single" w:sz="8" w:space="0" w:color="auto"/>
            </w:tcBorders>
            <w:shd w:val="clear" w:color="auto" w:fill="auto"/>
            <w:vAlign w:val="center"/>
            <w:hideMark/>
          </w:tcPr>
          <w:p w14:paraId="6AB19AB9" w14:textId="77777777" w:rsidR="00B10F1E" w:rsidRPr="00BF2DE4" w:rsidRDefault="00B10F1E" w:rsidP="00816745">
            <w:pPr>
              <w:jc w:val="center"/>
              <w:rPr>
                <w:rFonts w:ascii="Calibri" w:eastAsia="Times New Roman" w:hAnsi="Calibri"/>
                <w:color w:val="404040"/>
                <w:szCs w:val="20"/>
              </w:rPr>
            </w:pPr>
            <w:r>
              <w:rPr>
                <w:rFonts w:ascii="Calibri" w:eastAsia="Times New Roman" w:hAnsi="Calibri"/>
                <w:color w:val="404040"/>
                <w:szCs w:val="20"/>
              </w:rPr>
              <w:t>146</w:t>
            </w:r>
          </w:p>
        </w:tc>
        <w:tc>
          <w:tcPr>
            <w:tcW w:w="1000" w:type="dxa"/>
            <w:tcBorders>
              <w:top w:val="nil"/>
              <w:left w:val="nil"/>
              <w:bottom w:val="single" w:sz="8" w:space="0" w:color="auto"/>
              <w:right w:val="single" w:sz="8" w:space="0" w:color="auto"/>
            </w:tcBorders>
            <w:shd w:val="clear" w:color="auto" w:fill="auto"/>
            <w:vAlign w:val="center"/>
            <w:hideMark/>
          </w:tcPr>
          <w:p w14:paraId="3A898C64" w14:textId="77777777" w:rsidR="00B10F1E" w:rsidRPr="00BF2DE4" w:rsidRDefault="00B10F1E" w:rsidP="00816745">
            <w:pPr>
              <w:jc w:val="center"/>
              <w:rPr>
                <w:rFonts w:ascii="Calibri" w:eastAsia="Times New Roman" w:hAnsi="Calibri"/>
                <w:color w:val="404040"/>
                <w:szCs w:val="20"/>
              </w:rPr>
            </w:pPr>
            <w:r>
              <w:rPr>
                <w:rFonts w:ascii="Calibri" w:eastAsia="Times New Roman" w:hAnsi="Calibri"/>
                <w:color w:val="404040"/>
                <w:szCs w:val="20"/>
              </w:rPr>
              <w:t>173</w:t>
            </w:r>
          </w:p>
        </w:tc>
      </w:tr>
      <w:tr w:rsidR="00B10F1E" w:rsidRPr="00BF2DE4" w14:paraId="3DAE8DF2" w14:textId="77777777" w:rsidTr="00816745">
        <w:trPr>
          <w:trHeight w:val="582"/>
        </w:trPr>
        <w:tc>
          <w:tcPr>
            <w:tcW w:w="6560" w:type="dxa"/>
            <w:tcBorders>
              <w:top w:val="nil"/>
              <w:left w:val="single" w:sz="8" w:space="0" w:color="auto"/>
              <w:bottom w:val="single" w:sz="8" w:space="0" w:color="auto"/>
              <w:right w:val="single" w:sz="8" w:space="0" w:color="auto"/>
            </w:tcBorders>
            <w:shd w:val="clear" w:color="auto" w:fill="auto"/>
            <w:vAlign w:val="center"/>
            <w:hideMark/>
          </w:tcPr>
          <w:p w14:paraId="09F06896" w14:textId="77777777" w:rsidR="00B10F1E" w:rsidRPr="00BF2DE4" w:rsidRDefault="00B10F1E" w:rsidP="00816745">
            <w:pPr>
              <w:rPr>
                <w:rFonts w:ascii="Calibri" w:eastAsia="Times New Roman" w:hAnsi="Calibri"/>
                <w:color w:val="404040"/>
                <w:szCs w:val="20"/>
              </w:rPr>
            </w:pPr>
            <w:r w:rsidRPr="00BF2DE4">
              <w:rPr>
                <w:rFonts w:ascii="Calibri" w:eastAsia="Times New Roman" w:hAnsi="Calibri"/>
                <w:color w:val="404040"/>
                <w:szCs w:val="20"/>
              </w:rPr>
              <w:t>Number of non-homeless households to be provided affordable housing units</w:t>
            </w:r>
          </w:p>
        </w:tc>
        <w:tc>
          <w:tcPr>
            <w:tcW w:w="1000" w:type="dxa"/>
            <w:tcBorders>
              <w:top w:val="nil"/>
              <w:left w:val="nil"/>
              <w:bottom w:val="single" w:sz="8" w:space="0" w:color="auto"/>
              <w:right w:val="single" w:sz="8" w:space="0" w:color="auto"/>
            </w:tcBorders>
            <w:shd w:val="clear" w:color="auto" w:fill="auto"/>
            <w:vAlign w:val="center"/>
            <w:hideMark/>
          </w:tcPr>
          <w:p w14:paraId="66E8E8B4" w14:textId="77777777" w:rsidR="00B10F1E" w:rsidRPr="00BF2DE4" w:rsidRDefault="00B10F1E" w:rsidP="00816745">
            <w:pPr>
              <w:jc w:val="center"/>
              <w:rPr>
                <w:rFonts w:ascii="Calibri" w:eastAsia="Times New Roman" w:hAnsi="Calibri"/>
                <w:color w:val="404040"/>
                <w:szCs w:val="20"/>
              </w:rPr>
            </w:pPr>
            <w:r>
              <w:rPr>
                <w:rFonts w:ascii="Calibri" w:eastAsia="Times New Roman" w:hAnsi="Calibri"/>
                <w:color w:val="404040"/>
                <w:szCs w:val="20"/>
              </w:rPr>
              <w:t>656</w:t>
            </w:r>
          </w:p>
        </w:tc>
        <w:tc>
          <w:tcPr>
            <w:tcW w:w="1000" w:type="dxa"/>
            <w:tcBorders>
              <w:top w:val="nil"/>
              <w:left w:val="nil"/>
              <w:bottom w:val="single" w:sz="8" w:space="0" w:color="auto"/>
              <w:right w:val="single" w:sz="8" w:space="0" w:color="auto"/>
            </w:tcBorders>
            <w:shd w:val="clear" w:color="auto" w:fill="auto"/>
            <w:vAlign w:val="center"/>
            <w:hideMark/>
          </w:tcPr>
          <w:p w14:paraId="103433A9" w14:textId="77777777" w:rsidR="00B10F1E" w:rsidRPr="00BF2DE4" w:rsidRDefault="00B10F1E" w:rsidP="00816745">
            <w:pPr>
              <w:jc w:val="center"/>
              <w:rPr>
                <w:rFonts w:ascii="Calibri" w:eastAsia="Times New Roman" w:hAnsi="Calibri"/>
                <w:color w:val="404040"/>
                <w:szCs w:val="20"/>
              </w:rPr>
            </w:pPr>
            <w:r>
              <w:rPr>
                <w:rFonts w:ascii="Calibri" w:eastAsia="Times New Roman" w:hAnsi="Calibri"/>
                <w:color w:val="404040"/>
                <w:szCs w:val="20"/>
              </w:rPr>
              <w:t>357</w:t>
            </w:r>
          </w:p>
        </w:tc>
      </w:tr>
      <w:tr w:rsidR="00B10F1E" w:rsidRPr="006B4D90" w14:paraId="50F171DE" w14:textId="77777777" w:rsidTr="00816745">
        <w:trPr>
          <w:trHeight w:val="582"/>
        </w:trPr>
        <w:tc>
          <w:tcPr>
            <w:tcW w:w="6560" w:type="dxa"/>
            <w:tcBorders>
              <w:top w:val="nil"/>
              <w:left w:val="single" w:sz="8" w:space="0" w:color="auto"/>
              <w:bottom w:val="single" w:sz="8" w:space="0" w:color="auto"/>
              <w:right w:val="single" w:sz="8" w:space="0" w:color="auto"/>
            </w:tcBorders>
            <w:shd w:val="clear" w:color="auto" w:fill="auto"/>
            <w:vAlign w:val="center"/>
            <w:hideMark/>
          </w:tcPr>
          <w:p w14:paraId="6C88558D" w14:textId="77777777" w:rsidR="00B10F1E" w:rsidRPr="006B4D90" w:rsidRDefault="00B10F1E" w:rsidP="00816745">
            <w:pPr>
              <w:rPr>
                <w:rFonts w:ascii="Calibri" w:eastAsia="Times New Roman" w:hAnsi="Calibri"/>
                <w:color w:val="404040"/>
                <w:szCs w:val="20"/>
              </w:rPr>
            </w:pPr>
            <w:r w:rsidRPr="006B4D90">
              <w:rPr>
                <w:rFonts w:ascii="Calibri" w:eastAsia="Times New Roman" w:hAnsi="Calibri"/>
                <w:color w:val="404040"/>
                <w:szCs w:val="20"/>
              </w:rPr>
              <w:t>Number of special-needs households to be provided affordable housing units</w:t>
            </w:r>
          </w:p>
        </w:tc>
        <w:tc>
          <w:tcPr>
            <w:tcW w:w="1000" w:type="dxa"/>
            <w:tcBorders>
              <w:top w:val="nil"/>
              <w:left w:val="nil"/>
              <w:bottom w:val="single" w:sz="8" w:space="0" w:color="auto"/>
              <w:right w:val="single" w:sz="8" w:space="0" w:color="auto"/>
            </w:tcBorders>
            <w:shd w:val="clear" w:color="auto" w:fill="auto"/>
            <w:vAlign w:val="center"/>
            <w:hideMark/>
          </w:tcPr>
          <w:p w14:paraId="4546FDDB" w14:textId="77777777" w:rsidR="00B10F1E" w:rsidRPr="006B4D90" w:rsidRDefault="00B10F1E" w:rsidP="00816745">
            <w:pPr>
              <w:jc w:val="center"/>
              <w:rPr>
                <w:rFonts w:ascii="Calibri" w:eastAsia="Times New Roman" w:hAnsi="Calibri"/>
                <w:color w:val="404040"/>
                <w:szCs w:val="20"/>
              </w:rPr>
            </w:pPr>
            <w:r w:rsidRPr="006B4D90">
              <w:rPr>
                <w:rFonts w:ascii="Calibri" w:eastAsia="Times New Roman" w:hAnsi="Calibri"/>
                <w:color w:val="404040"/>
                <w:szCs w:val="20"/>
              </w:rPr>
              <w:t>N/A</w:t>
            </w:r>
          </w:p>
        </w:tc>
        <w:tc>
          <w:tcPr>
            <w:tcW w:w="1000" w:type="dxa"/>
            <w:tcBorders>
              <w:top w:val="nil"/>
              <w:left w:val="nil"/>
              <w:bottom w:val="single" w:sz="8" w:space="0" w:color="auto"/>
              <w:right w:val="single" w:sz="8" w:space="0" w:color="auto"/>
            </w:tcBorders>
            <w:shd w:val="clear" w:color="auto" w:fill="auto"/>
            <w:vAlign w:val="center"/>
            <w:hideMark/>
          </w:tcPr>
          <w:p w14:paraId="4F85894F" w14:textId="77777777" w:rsidR="00B10F1E" w:rsidRPr="006B4D90" w:rsidRDefault="00B10F1E" w:rsidP="00816745">
            <w:pPr>
              <w:jc w:val="center"/>
              <w:rPr>
                <w:rFonts w:ascii="Calibri" w:eastAsia="Times New Roman" w:hAnsi="Calibri"/>
                <w:color w:val="404040"/>
                <w:szCs w:val="20"/>
              </w:rPr>
            </w:pPr>
            <w:r w:rsidRPr="006B4D90">
              <w:rPr>
                <w:rFonts w:ascii="Calibri" w:eastAsia="Times New Roman" w:hAnsi="Calibri"/>
                <w:color w:val="404040"/>
                <w:szCs w:val="20"/>
              </w:rPr>
              <w:t>N/A</w:t>
            </w:r>
          </w:p>
        </w:tc>
      </w:tr>
      <w:tr w:rsidR="00B10F1E" w:rsidRPr="006B4D90" w14:paraId="7D36915A" w14:textId="77777777" w:rsidTr="00816745">
        <w:trPr>
          <w:trHeight w:val="294"/>
        </w:trPr>
        <w:tc>
          <w:tcPr>
            <w:tcW w:w="6560" w:type="dxa"/>
            <w:tcBorders>
              <w:top w:val="nil"/>
              <w:left w:val="single" w:sz="8" w:space="0" w:color="auto"/>
              <w:bottom w:val="single" w:sz="8" w:space="0" w:color="auto"/>
              <w:right w:val="single" w:sz="8" w:space="0" w:color="auto"/>
            </w:tcBorders>
            <w:shd w:val="clear" w:color="auto" w:fill="auto"/>
            <w:vAlign w:val="center"/>
            <w:hideMark/>
          </w:tcPr>
          <w:p w14:paraId="59AA2724" w14:textId="77777777" w:rsidR="00B10F1E" w:rsidRPr="006B4D90" w:rsidRDefault="00B10F1E" w:rsidP="00816745">
            <w:pPr>
              <w:rPr>
                <w:rFonts w:ascii="Calibri" w:eastAsia="Times New Roman" w:hAnsi="Calibri"/>
                <w:b/>
                <w:bCs/>
                <w:color w:val="404040"/>
                <w:szCs w:val="20"/>
              </w:rPr>
            </w:pPr>
            <w:r w:rsidRPr="006B4D90">
              <w:rPr>
                <w:rFonts w:ascii="Calibri" w:eastAsia="Times New Roman" w:hAnsi="Calibri"/>
                <w:b/>
                <w:bCs/>
                <w:color w:val="404040"/>
                <w:szCs w:val="20"/>
              </w:rPr>
              <w:t>Total</w:t>
            </w:r>
          </w:p>
        </w:tc>
        <w:tc>
          <w:tcPr>
            <w:tcW w:w="1000" w:type="dxa"/>
            <w:tcBorders>
              <w:top w:val="nil"/>
              <w:left w:val="nil"/>
              <w:bottom w:val="single" w:sz="8" w:space="0" w:color="auto"/>
              <w:right w:val="single" w:sz="8" w:space="0" w:color="auto"/>
            </w:tcBorders>
            <w:shd w:val="clear" w:color="auto" w:fill="auto"/>
            <w:vAlign w:val="center"/>
            <w:hideMark/>
          </w:tcPr>
          <w:p w14:paraId="6FAC7395" w14:textId="77777777" w:rsidR="00B10F1E" w:rsidRPr="006B4D90" w:rsidRDefault="00B10F1E" w:rsidP="00816745">
            <w:pPr>
              <w:jc w:val="center"/>
              <w:rPr>
                <w:rFonts w:ascii="Calibri" w:eastAsia="Times New Roman" w:hAnsi="Calibri"/>
                <w:b/>
                <w:bCs/>
                <w:color w:val="404040"/>
                <w:szCs w:val="20"/>
              </w:rPr>
            </w:pPr>
            <w:r w:rsidRPr="006B4D90">
              <w:rPr>
                <w:rFonts w:ascii="Calibri" w:eastAsia="Times New Roman" w:hAnsi="Calibri"/>
                <w:b/>
                <w:bCs/>
                <w:color w:val="404040"/>
                <w:szCs w:val="20"/>
              </w:rPr>
              <w:t>802</w:t>
            </w:r>
          </w:p>
        </w:tc>
        <w:tc>
          <w:tcPr>
            <w:tcW w:w="1000" w:type="dxa"/>
            <w:tcBorders>
              <w:top w:val="nil"/>
              <w:left w:val="nil"/>
              <w:bottom w:val="single" w:sz="8" w:space="0" w:color="auto"/>
              <w:right w:val="single" w:sz="8" w:space="0" w:color="auto"/>
            </w:tcBorders>
            <w:shd w:val="clear" w:color="auto" w:fill="auto"/>
            <w:vAlign w:val="center"/>
            <w:hideMark/>
          </w:tcPr>
          <w:p w14:paraId="45DAFD5C" w14:textId="1AB2EBE1" w:rsidR="00B10F1E" w:rsidRPr="006B4D90" w:rsidRDefault="006B4D90" w:rsidP="00816745">
            <w:pPr>
              <w:jc w:val="center"/>
              <w:rPr>
                <w:rFonts w:ascii="Calibri" w:eastAsia="Times New Roman" w:hAnsi="Calibri"/>
                <w:b/>
                <w:bCs/>
                <w:color w:val="404040"/>
                <w:szCs w:val="20"/>
              </w:rPr>
            </w:pPr>
            <w:r w:rsidRPr="006B4D90">
              <w:rPr>
                <w:rFonts w:ascii="Calibri" w:eastAsia="Times New Roman" w:hAnsi="Calibri"/>
                <w:b/>
                <w:bCs/>
                <w:color w:val="404040"/>
                <w:szCs w:val="20"/>
              </w:rPr>
              <w:t>530</w:t>
            </w:r>
          </w:p>
        </w:tc>
      </w:tr>
    </w:tbl>
    <w:p w14:paraId="31732F38" w14:textId="77777777" w:rsidR="00B10F1E" w:rsidRPr="00BF2DE4" w:rsidRDefault="00B10F1E" w:rsidP="00B10F1E">
      <w:pPr>
        <w:spacing w:line="276" w:lineRule="auto"/>
        <w:ind w:right="360"/>
        <w:rPr>
          <w:rFonts w:ascii="Calibri" w:hAnsi="Calibri" w:cs="Calibri"/>
          <w:b/>
          <w:color w:val="FF0000"/>
          <w:szCs w:val="20"/>
        </w:rPr>
      </w:pPr>
    </w:p>
    <w:p w14:paraId="2AE74532" w14:textId="77777777" w:rsidR="00B10F1E" w:rsidRPr="00BF2DE4" w:rsidRDefault="00B10F1E" w:rsidP="00B10F1E">
      <w:pPr>
        <w:spacing w:line="360" w:lineRule="auto"/>
        <w:ind w:right="360"/>
        <w:rPr>
          <w:rFonts w:ascii="Calibri" w:hAnsi="Calibri" w:cs="Calibri"/>
          <w:b/>
          <w:color w:val="404040"/>
          <w:szCs w:val="20"/>
        </w:rPr>
      </w:pPr>
      <w:r w:rsidRPr="00BF2DE4">
        <w:rPr>
          <w:rFonts w:ascii="Calibri" w:hAnsi="Calibri" w:cs="Calibri"/>
          <w:b/>
          <w:color w:val="404040"/>
          <w:szCs w:val="20"/>
        </w:rPr>
        <w:t xml:space="preserve">Discuss the difference between goals and outcomes and problems encountered in meeting these goals. </w:t>
      </w:r>
    </w:p>
    <w:p w14:paraId="05565E71" w14:textId="5D9596BE" w:rsidR="00B10F1E" w:rsidRPr="006B4D90" w:rsidRDefault="00B10F1E" w:rsidP="006B4D90">
      <w:pPr>
        <w:spacing w:line="276" w:lineRule="auto"/>
        <w:ind w:right="360"/>
        <w:rPr>
          <w:rFonts w:asciiTheme="minorHAnsi" w:hAnsiTheme="minorHAnsi" w:cstheme="minorHAnsi"/>
          <w:color w:val="404040" w:themeColor="text1" w:themeTint="BF"/>
          <w:szCs w:val="20"/>
        </w:rPr>
      </w:pPr>
      <w:r w:rsidRPr="006B4D90">
        <w:rPr>
          <w:rFonts w:asciiTheme="minorHAnsi" w:hAnsiTheme="minorHAnsi" w:cstheme="minorHAnsi"/>
          <w:color w:val="404040" w:themeColor="text1" w:themeTint="BF"/>
          <w:szCs w:val="20"/>
        </w:rPr>
        <w:t xml:space="preserve">During the 17-18 year, Salt Lake City supported housing activities through all four of its federal grant programs: CDBG, ESG, HOME, and HOPWA. Households with incomes ranging from 0-80% AMI were assisted with subsidies. The activities that occurred included rapid-rehousing, homeowner housing and rehabilitation, tenant-based rental assistance, short term rental/utility assistance, and direct financial assistance. </w:t>
      </w:r>
      <w:r w:rsidR="005D668A">
        <w:rPr>
          <w:rFonts w:asciiTheme="minorHAnsi" w:hAnsiTheme="minorHAnsi" w:cstheme="minorHAnsi"/>
          <w:color w:val="404040" w:themeColor="text1" w:themeTint="BF"/>
          <w:szCs w:val="20"/>
        </w:rPr>
        <w:t>Tight rental markets</w:t>
      </w:r>
      <w:r w:rsidR="00407732">
        <w:rPr>
          <w:rFonts w:asciiTheme="minorHAnsi" w:hAnsiTheme="minorHAnsi" w:cstheme="minorHAnsi"/>
          <w:color w:val="404040" w:themeColor="text1" w:themeTint="BF"/>
          <w:szCs w:val="20"/>
        </w:rPr>
        <w:t xml:space="preserve"> and an increase in rental costs</w:t>
      </w:r>
      <w:r w:rsidR="005D668A">
        <w:rPr>
          <w:rFonts w:asciiTheme="minorHAnsi" w:hAnsiTheme="minorHAnsi" w:cstheme="minorHAnsi"/>
          <w:color w:val="404040" w:themeColor="text1" w:themeTint="BF"/>
          <w:szCs w:val="20"/>
        </w:rPr>
        <w:t xml:space="preserve"> have made it </w:t>
      </w:r>
      <w:r w:rsidR="00407732">
        <w:rPr>
          <w:rFonts w:asciiTheme="minorHAnsi" w:hAnsiTheme="minorHAnsi" w:cstheme="minorHAnsi"/>
          <w:color w:val="404040" w:themeColor="text1" w:themeTint="BF"/>
          <w:szCs w:val="20"/>
        </w:rPr>
        <w:t xml:space="preserve">more </w:t>
      </w:r>
      <w:r w:rsidR="005D668A">
        <w:rPr>
          <w:rFonts w:asciiTheme="minorHAnsi" w:hAnsiTheme="minorHAnsi" w:cstheme="minorHAnsi"/>
          <w:color w:val="404040" w:themeColor="text1" w:themeTint="BF"/>
          <w:szCs w:val="20"/>
        </w:rPr>
        <w:t xml:space="preserve">difficult to place clients in housing, which is largely responsible for the gap between the one-year goal and the actual number served during the 17-18 year. </w:t>
      </w:r>
    </w:p>
    <w:p w14:paraId="5D71CF45" w14:textId="77777777" w:rsidR="00B10F1E" w:rsidRPr="006B4D90" w:rsidRDefault="00B10F1E" w:rsidP="006B4D90">
      <w:pPr>
        <w:spacing w:line="276" w:lineRule="auto"/>
        <w:ind w:right="360"/>
        <w:rPr>
          <w:rFonts w:asciiTheme="minorHAnsi" w:hAnsiTheme="minorHAnsi" w:cstheme="minorHAnsi"/>
          <w:color w:val="404040" w:themeColor="text1" w:themeTint="BF"/>
          <w:szCs w:val="20"/>
        </w:rPr>
      </w:pPr>
    </w:p>
    <w:p w14:paraId="72296913" w14:textId="77777777" w:rsidR="00B10F1E" w:rsidRPr="006B4D90" w:rsidRDefault="00B10F1E" w:rsidP="006B4D90">
      <w:pPr>
        <w:spacing w:line="276" w:lineRule="auto"/>
        <w:ind w:right="360"/>
        <w:rPr>
          <w:rFonts w:asciiTheme="minorHAnsi" w:hAnsiTheme="minorHAnsi" w:cstheme="minorHAnsi"/>
          <w:color w:val="404040" w:themeColor="text1" w:themeTint="BF"/>
          <w:szCs w:val="20"/>
        </w:rPr>
      </w:pPr>
      <w:r w:rsidRPr="006B4D90">
        <w:rPr>
          <w:rFonts w:asciiTheme="minorHAnsi" w:hAnsiTheme="minorHAnsi" w:cstheme="minorHAnsi"/>
          <w:color w:val="404040" w:themeColor="text1" w:themeTint="BF"/>
          <w:szCs w:val="20"/>
        </w:rPr>
        <w:t>All rapid re-housing and tenant based rental assistance programs funded followed a Housing First model. This model strategically targeted households at risk for returning to homelessness and supported them with intensive case management, with a goal of achieving housing stability. By utilizing this approach, Salt Lake City supported a larger number of homeless households with accessing affordable units.</w:t>
      </w:r>
    </w:p>
    <w:p w14:paraId="70E8C444" w14:textId="77777777" w:rsidR="00407732" w:rsidRDefault="00407732" w:rsidP="00B10F1E">
      <w:pPr>
        <w:spacing w:line="276" w:lineRule="auto"/>
        <w:ind w:right="360"/>
        <w:rPr>
          <w:rFonts w:asciiTheme="minorHAnsi" w:hAnsiTheme="minorHAnsi"/>
          <w:szCs w:val="20"/>
        </w:rPr>
      </w:pPr>
    </w:p>
    <w:p w14:paraId="2CBE4690" w14:textId="77777777" w:rsidR="00407732" w:rsidRDefault="00407732" w:rsidP="00B10F1E">
      <w:pPr>
        <w:spacing w:line="276" w:lineRule="auto"/>
        <w:ind w:right="360"/>
        <w:rPr>
          <w:rFonts w:asciiTheme="minorHAnsi" w:hAnsiTheme="minorHAnsi"/>
          <w:szCs w:val="20"/>
        </w:rPr>
      </w:pPr>
    </w:p>
    <w:p w14:paraId="1AA5BE7C" w14:textId="77777777" w:rsidR="00407732" w:rsidRDefault="00407732" w:rsidP="00B10F1E">
      <w:pPr>
        <w:spacing w:line="276" w:lineRule="auto"/>
        <w:ind w:right="360"/>
        <w:rPr>
          <w:rFonts w:asciiTheme="minorHAnsi" w:hAnsiTheme="minorHAnsi"/>
          <w:szCs w:val="20"/>
        </w:rPr>
      </w:pPr>
    </w:p>
    <w:p w14:paraId="5228D08F" w14:textId="77777777" w:rsidR="00B10F1E" w:rsidRPr="00BF2DE4" w:rsidRDefault="00B10F1E" w:rsidP="00B10F1E">
      <w:pPr>
        <w:spacing w:line="276" w:lineRule="auto"/>
        <w:ind w:right="360"/>
        <w:rPr>
          <w:rFonts w:ascii="Calibri" w:hAnsi="Calibri" w:cs="Calibri"/>
          <w:b/>
          <w:color w:val="404040"/>
          <w:szCs w:val="20"/>
        </w:rPr>
      </w:pPr>
      <w:r w:rsidRPr="00BF2DE4">
        <w:rPr>
          <w:rFonts w:ascii="Calibri" w:hAnsi="Calibri" w:cs="Calibri"/>
          <w:b/>
          <w:color w:val="404040"/>
          <w:szCs w:val="20"/>
        </w:rPr>
        <w:t xml:space="preserve">Table 12 – Number of Households Supported </w:t>
      </w:r>
    </w:p>
    <w:tbl>
      <w:tblPr>
        <w:tblW w:w="8380" w:type="dxa"/>
        <w:tblLook w:val="04A0" w:firstRow="1" w:lastRow="0" w:firstColumn="1" w:lastColumn="0" w:noHBand="0" w:noVBand="1"/>
      </w:tblPr>
      <w:tblGrid>
        <w:gridCol w:w="6380"/>
        <w:gridCol w:w="1000"/>
        <w:gridCol w:w="1000"/>
      </w:tblGrid>
      <w:tr w:rsidR="00B10F1E" w:rsidRPr="00BF2DE4" w14:paraId="6DCB02EE" w14:textId="77777777" w:rsidTr="00816745">
        <w:trPr>
          <w:trHeight w:val="582"/>
        </w:trPr>
        <w:tc>
          <w:tcPr>
            <w:tcW w:w="6380" w:type="dxa"/>
            <w:tcBorders>
              <w:top w:val="single" w:sz="8" w:space="0" w:color="auto"/>
              <w:left w:val="single" w:sz="8" w:space="0" w:color="auto"/>
              <w:bottom w:val="single" w:sz="8" w:space="0" w:color="auto"/>
              <w:right w:val="single" w:sz="8" w:space="0" w:color="auto"/>
            </w:tcBorders>
            <w:shd w:val="clear" w:color="auto" w:fill="C6D9F1"/>
            <w:vAlign w:val="center"/>
            <w:hideMark/>
          </w:tcPr>
          <w:p w14:paraId="02D5ECFF" w14:textId="77777777" w:rsidR="00B10F1E" w:rsidRPr="00BF2DE4" w:rsidRDefault="00B10F1E" w:rsidP="00816745">
            <w:pPr>
              <w:jc w:val="center"/>
              <w:rPr>
                <w:rFonts w:ascii="Calibri" w:eastAsia="Times New Roman" w:hAnsi="Calibri"/>
                <w:b/>
                <w:bCs/>
                <w:color w:val="404040"/>
                <w:szCs w:val="20"/>
              </w:rPr>
            </w:pPr>
            <w:r w:rsidRPr="00BF2DE4">
              <w:rPr>
                <w:rFonts w:ascii="Calibri" w:eastAsia="Times New Roman" w:hAnsi="Calibri"/>
                <w:b/>
                <w:bCs/>
                <w:color w:val="404040"/>
                <w:szCs w:val="20"/>
              </w:rPr>
              <w:t> </w:t>
            </w:r>
          </w:p>
        </w:tc>
        <w:tc>
          <w:tcPr>
            <w:tcW w:w="1000" w:type="dxa"/>
            <w:tcBorders>
              <w:top w:val="single" w:sz="8" w:space="0" w:color="auto"/>
              <w:left w:val="nil"/>
              <w:bottom w:val="single" w:sz="8" w:space="0" w:color="auto"/>
              <w:right w:val="single" w:sz="8" w:space="0" w:color="auto"/>
            </w:tcBorders>
            <w:shd w:val="clear" w:color="auto" w:fill="C6D9F1"/>
            <w:vAlign w:val="center"/>
            <w:hideMark/>
          </w:tcPr>
          <w:p w14:paraId="63F1AD74" w14:textId="77777777" w:rsidR="00B10F1E" w:rsidRPr="00BF2DE4" w:rsidRDefault="00B10F1E" w:rsidP="00816745">
            <w:pPr>
              <w:jc w:val="center"/>
              <w:rPr>
                <w:rFonts w:ascii="Calibri" w:eastAsia="Times New Roman" w:hAnsi="Calibri"/>
                <w:b/>
                <w:bCs/>
                <w:color w:val="404040"/>
                <w:szCs w:val="20"/>
              </w:rPr>
            </w:pPr>
            <w:r w:rsidRPr="00BF2DE4">
              <w:rPr>
                <w:rFonts w:ascii="Calibri" w:eastAsia="Times New Roman" w:hAnsi="Calibri"/>
                <w:b/>
                <w:bCs/>
                <w:color w:val="404040"/>
                <w:szCs w:val="20"/>
              </w:rPr>
              <w:t>One-Year Goal</w:t>
            </w:r>
          </w:p>
        </w:tc>
        <w:tc>
          <w:tcPr>
            <w:tcW w:w="1000" w:type="dxa"/>
            <w:tcBorders>
              <w:top w:val="single" w:sz="8" w:space="0" w:color="auto"/>
              <w:left w:val="nil"/>
              <w:bottom w:val="single" w:sz="8" w:space="0" w:color="auto"/>
              <w:right w:val="single" w:sz="8" w:space="0" w:color="auto"/>
            </w:tcBorders>
            <w:shd w:val="clear" w:color="auto" w:fill="C6D9F1"/>
            <w:vAlign w:val="center"/>
            <w:hideMark/>
          </w:tcPr>
          <w:p w14:paraId="49982B89" w14:textId="77777777" w:rsidR="00B10F1E" w:rsidRPr="00BF2DE4" w:rsidRDefault="00B10F1E" w:rsidP="00816745">
            <w:pPr>
              <w:jc w:val="center"/>
              <w:rPr>
                <w:rFonts w:ascii="Calibri" w:eastAsia="Times New Roman" w:hAnsi="Calibri"/>
                <w:b/>
                <w:bCs/>
                <w:color w:val="404040"/>
                <w:szCs w:val="20"/>
              </w:rPr>
            </w:pPr>
            <w:r w:rsidRPr="00BF2DE4">
              <w:rPr>
                <w:rFonts w:ascii="Calibri" w:eastAsia="Times New Roman" w:hAnsi="Calibri"/>
                <w:b/>
                <w:bCs/>
                <w:color w:val="404040"/>
                <w:szCs w:val="20"/>
              </w:rPr>
              <w:t>Actual</w:t>
            </w:r>
          </w:p>
        </w:tc>
      </w:tr>
      <w:tr w:rsidR="00B10F1E" w:rsidRPr="00BF2DE4" w14:paraId="2D8F1063" w14:textId="77777777" w:rsidTr="00816745">
        <w:trPr>
          <w:trHeight w:val="403"/>
        </w:trPr>
        <w:tc>
          <w:tcPr>
            <w:tcW w:w="6380" w:type="dxa"/>
            <w:tcBorders>
              <w:top w:val="nil"/>
              <w:left w:val="single" w:sz="8" w:space="0" w:color="auto"/>
              <w:bottom w:val="single" w:sz="8" w:space="0" w:color="auto"/>
              <w:right w:val="single" w:sz="8" w:space="0" w:color="auto"/>
            </w:tcBorders>
            <w:shd w:val="clear" w:color="auto" w:fill="auto"/>
            <w:vAlign w:val="center"/>
            <w:hideMark/>
          </w:tcPr>
          <w:p w14:paraId="203C4E56" w14:textId="77777777" w:rsidR="00B10F1E" w:rsidRPr="00BF2DE4" w:rsidRDefault="00B10F1E" w:rsidP="00816745">
            <w:pPr>
              <w:rPr>
                <w:rFonts w:ascii="Calibri" w:eastAsia="Times New Roman" w:hAnsi="Calibri"/>
                <w:color w:val="404040"/>
                <w:szCs w:val="20"/>
              </w:rPr>
            </w:pPr>
            <w:r w:rsidRPr="00BF2DE4">
              <w:rPr>
                <w:rFonts w:ascii="Calibri" w:eastAsia="Times New Roman" w:hAnsi="Calibri"/>
                <w:color w:val="404040"/>
                <w:szCs w:val="20"/>
              </w:rPr>
              <w:t>Number of households supported through rental assistance</w:t>
            </w:r>
          </w:p>
        </w:tc>
        <w:tc>
          <w:tcPr>
            <w:tcW w:w="1000" w:type="dxa"/>
            <w:tcBorders>
              <w:top w:val="nil"/>
              <w:left w:val="nil"/>
              <w:bottom w:val="single" w:sz="8" w:space="0" w:color="auto"/>
              <w:right w:val="single" w:sz="8" w:space="0" w:color="auto"/>
            </w:tcBorders>
            <w:shd w:val="clear" w:color="auto" w:fill="auto"/>
            <w:vAlign w:val="center"/>
            <w:hideMark/>
          </w:tcPr>
          <w:p w14:paraId="4496060B" w14:textId="77777777" w:rsidR="00B10F1E" w:rsidRPr="00BF2DE4" w:rsidRDefault="00B10F1E" w:rsidP="00816745">
            <w:pPr>
              <w:jc w:val="center"/>
              <w:rPr>
                <w:rFonts w:ascii="Calibri" w:eastAsia="Times New Roman" w:hAnsi="Calibri"/>
                <w:color w:val="404040"/>
                <w:szCs w:val="20"/>
              </w:rPr>
            </w:pPr>
            <w:r>
              <w:rPr>
                <w:rFonts w:ascii="Calibri" w:eastAsia="Times New Roman" w:hAnsi="Calibri"/>
                <w:color w:val="404040"/>
                <w:szCs w:val="20"/>
              </w:rPr>
              <w:t>250</w:t>
            </w:r>
          </w:p>
        </w:tc>
        <w:tc>
          <w:tcPr>
            <w:tcW w:w="1000" w:type="dxa"/>
            <w:tcBorders>
              <w:top w:val="nil"/>
              <w:left w:val="nil"/>
              <w:bottom w:val="single" w:sz="8" w:space="0" w:color="auto"/>
              <w:right w:val="single" w:sz="8" w:space="0" w:color="auto"/>
            </w:tcBorders>
            <w:shd w:val="clear" w:color="auto" w:fill="auto"/>
            <w:vAlign w:val="center"/>
            <w:hideMark/>
          </w:tcPr>
          <w:p w14:paraId="4A72B4CE" w14:textId="77777777" w:rsidR="00B10F1E" w:rsidRPr="00BF2DE4" w:rsidRDefault="00B10F1E" w:rsidP="00816745">
            <w:pPr>
              <w:jc w:val="center"/>
              <w:rPr>
                <w:rFonts w:ascii="Calibri" w:eastAsia="Times New Roman" w:hAnsi="Calibri"/>
                <w:color w:val="404040"/>
                <w:szCs w:val="20"/>
              </w:rPr>
            </w:pPr>
            <w:r>
              <w:rPr>
                <w:rFonts w:ascii="Calibri" w:eastAsia="Times New Roman" w:hAnsi="Calibri"/>
                <w:color w:val="404040"/>
                <w:szCs w:val="20"/>
              </w:rPr>
              <w:t>272</w:t>
            </w:r>
          </w:p>
        </w:tc>
      </w:tr>
      <w:tr w:rsidR="00B10F1E" w:rsidRPr="00BF2DE4" w14:paraId="4BCA5A6C" w14:textId="77777777" w:rsidTr="00816745">
        <w:trPr>
          <w:trHeight w:val="421"/>
        </w:trPr>
        <w:tc>
          <w:tcPr>
            <w:tcW w:w="6380" w:type="dxa"/>
            <w:tcBorders>
              <w:top w:val="nil"/>
              <w:left w:val="single" w:sz="8" w:space="0" w:color="auto"/>
              <w:bottom w:val="single" w:sz="8" w:space="0" w:color="auto"/>
              <w:right w:val="single" w:sz="8" w:space="0" w:color="auto"/>
            </w:tcBorders>
            <w:shd w:val="clear" w:color="auto" w:fill="auto"/>
            <w:vAlign w:val="center"/>
            <w:hideMark/>
          </w:tcPr>
          <w:p w14:paraId="64747FBA" w14:textId="77777777" w:rsidR="00B10F1E" w:rsidRPr="00BF2DE4" w:rsidRDefault="00B10F1E" w:rsidP="00816745">
            <w:pPr>
              <w:rPr>
                <w:rFonts w:ascii="Calibri" w:eastAsia="Times New Roman" w:hAnsi="Calibri"/>
                <w:color w:val="404040"/>
                <w:szCs w:val="20"/>
              </w:rPr>
            </w:pPr>
            <w:r w:rsidRPr="00BF2DE4">
              <w:rPr>
                <w:rFonts w:ascii="Calibri" w:eastAsia="Times New Roman" w:hAnsi="Calibri"/>
                <w:color w:val="404040"/>
                <w:szCs w:val="20"/>
              </w:rPr>
              <w:t>Number of households supported through the production of new units</w:t>
            </w:r>
          </w:p>
        </w:tc>
        <w:tc>
          <w:tcPr>
            <w:tcW w:w="1000" w:type="dxa"/>
            <w:tcBorders>
              <w:top w:val="nil"/>
              <w:left w:val="nil"/>
              <w:bottom w:val="single" w:sz="8" w:space="0" w:color="auto"/>
              <w:right w:val="single" w:sz="8" w:space="0" w:color="auto"/>
            </w:tcBorders>
            <w:shd w:val="clear" w:color="auto" w:fill="auto"/>
            <w:vAlign w:val="center"/>
            <w:hideMark/>
          </w:tcPr>
          <w:p w14:paraId="6454F3A3" w14:textId="77777777" w:rsidR="00B10F1E" w:rsidRPr="00BF2DE4" w:rsidRDefault="00B10F1E" w:rsidP="00816745">
            <w:pPr>
              <w:jc w:val="center"/>
              <w:rPr>
                <w:rFonts w:ascii="Calibri" w:eastAsia="Times New Roman" w:hAnsi="Calibri"/>
                <w:color w:val="404040"/>
                <w:szCs w:val="20"/>
              </w:rPr>
            </w:pPr>
            <w:r w:rsidRPr="00BF2DE4">
              <w:rPr>
                <w:rFonts w:ascii="Calibri" w:eastAsia="Times New Roman" w:hAnsi="Calibri"/>
                <w:color w:val="404040"/>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2A1391BA" w14:textId="77777777" w:rsidR="00B10F1E" w:rsidRPr="00BF2DE4" w:rsidRDefault="00B10F1E" w:rsidP="00816745">
            <w:pPr>
              <w:jc w:val="center"/>
              <w:rPr>
                <w:rFonts w:ascii="Calibri" w:eastAsia="Times New Roman" w:hAnsi="Calibri"/>
                <w:color w:val="404040"/>
                <w:szCs w:val="20"/>
              </w:rPr>
            </w:pPr>
            <w:r w:rsidRPr="00BF2DE4">
              <w:rPr>
                <w:rFonts w:ascii="Calibri" w:eastAsia="Times New Roman" w:hAnsi="Calibri"/>
                <w:color w:val="404040"/>
                <w:szCs w:val="20"/>
              </w:rPr>
              <w:t>0</w:t>
            </w:r>
          </w:p>
        </w:tc>
      </w:tr>
      <w:tr w:rsidR="00B10F1E" w:rsidRPr="00BF2DE4" w14:paraId="24DF8E62" w14:textId="77777777" w:rsidTr="00816745">
        <w:trPr>
          <w:trHeight w:val="439"/>
        </w:trPr>
        <w:tc>
          <w:tcPr>
            <w:tcW w:w="6380" w:type="dxa"/>
            <w:tcBorders>
              <w:top w:val="nil"/>
              <w:left w:val="single" w:sz="8" w:space="0" w:color="auto"/>
              <w:bottom w:val="single" w:sz="8" w:space="0" w:color="auto"/>
              <w:right w:val="single" w:sz="8" w:space="0" w:color="auto"/>
            </w:tcBorders>
            <w:shd w:val="clear" w:color="auto" w:fill="auto"/>
            <w:vAlign w:val="center"/>
            <w:hideMark/>
          </w:tcPr>
          <w:p w14:paraId="2CFBB083" w14:textId="77777777" w:rsidR="00B10F1E" w:rsidRPr="00BF2DE4" w:rsidRDefault="00B10F1E" w:rsidP="00816745">
            <w:pPr>
              <w:rPr>
                <w:rFonts w:ascii="Calibri" w:eastAsia="Times New Roman" w:hAnsi="Calibri"/>
                <w:color w:val="404040"/>
                <w:szCs w:val="20"/>
              </w:rPr>
            </w:pPr>
            <w:r w:rsidRPr="00BF2DE4">
              <w:rPr>
                <w:rFonts w:ascii="Calibri" w:eastAsia="Times New Roman" w:hAnsi="Calibri"/>
                <w:color w:val="404040"/>
                <w:szCs w:val="20"/>
              </w:rPr>
              <w:t>Number of households supported through the rehab of existing units</w:t>
            </w:r>
          </w:p>
        </w:tc>
        <w:tc>
          <w:tcPr>
            <w:tcW w:w="1000" w:type="dxa"/>
            <w:tcBorders>
              <w:top w:val="nil"/>
              <w:left w:val="nil"/>
              <w:bottom w:val="single" w:sz="8" w:space="0" w:color="auto"/>
              <w:right w:val="single" w:sz="8" w:space="0" w:color="auto"/>
            </w:tcBorders>
            <w:shd w:val="clear" w:color="auto" w:fill="auto"/>
            <w:vAlign w:val="center"/>
            <w:hideMark/>
          </w:tcPr>
          <w:p w14:paraId="4EAF4BCF" w14:textId="77777777" w:rsidR="00B10F1E" w:rsidRPr="00BF2DE4" w:rsidRDefault="00B10F1E" w:rsidP="00816745">
            <w:pPr>
              <w:jc w:val="center"/>
              <w:rPr>
                <w:rFonts w:ascii="Calibri" w:eastAsia="Times New Roman" w:hAnsi="Calibri"/>
                <w:color w:val="404040"/>
                <w:szCs w:val="20"/>
              </w:rPr>
            </w:pPr>
            <w:r>
              <w:rPr>
                <w:rFonts w:ascii="Calibri" w:eastAsia="Times New Roman" w:hAnsi="Calibri"/>
                <w:color w:val="404040"/>
                <w:szCs w:val="20"/>
              </w:rPr>
              <w:t>452</w:t>
            </w:r>
          </w:p>
        </w:tc>
        <w:tc>
          <w:tcPr>
            <w:tcW w:w="1000" w:type="dxa"/>
            <w:tcBorders>
              <w:top w:val="nil"/>
              <w:left w:val="nil"/>
              <w:bottom w:val="single" w:sz="8" w:space="0" w:color="auto"/>
              <w:right w:val="single" w:sz="8" w:space="0" w:color="auto"/>
            </w:tcBorders>
            <w:shd w:val="clear" w:color="auto" w:fill="auto"/>
            <w:vAlign w:val="center"/>
            <w:hideMark/>
          </w:tcPr>
          <w:p w14:paraId="35FC2336" w14:textId="77777777" w:rsidR="00B10F1E" w:rsidRPr="00BF2DE4" w:rsidRDefault="00B10F1E" w:rsidP="00816745">
            <w:pPr>
              <w:jc w:val="center"/>
              <w:rPr>
                <w:rFonts w:ascii="Calibri" w:eastAsia="Times New Roman" w:hAnsi="Calibri"/>
                <w:color w:val="404040"/>
                <w:szCs w:val="20"/>
              </w:rPr>
            </w:pPr>
            <w:r>
              <w:rPr>
                <w:rFonts w:ascii="Calibri" w:eastAsia="Times New Roman" w:hAnsi="Calibri"/>
                <w:color w:val="404040"/>
                <w:szCs w:val="20"/>
              </w:rPr>
              <w:t>268</w:t>
            </w:r>
          </w:p>
        </w:tc>
      </w:tr>
      <w:tr w:rsidR="00B10F1E" w:rsidRPr="00BF2DE4" w14:paraId="762F24CE" w14:textId="77777777" w:rsidTr="00816745">
        <w:trPr>
          <w:trHeight w:val="511"/>
        </w:trPr>
        <w:tc>
          <w:tcPr>
            <w:tcW w:w="6380" w:type="dxa"/>
            <w:tcBorders>
              <w:top w:val="nil"/>
              <w:left w:val="single" w:sz="8" w:space="0" w:color="auto"/>
              <w:bottom w:val="single" w:sz="8" w:space="0" w:color="auto"/>
              <w:right w:val="single" w:sz="8" w:space="0" w:color="auto"/>
            </w:tcBorders>
            <w:shd w:val="clear" w:color="auto" w:fill="auto"/>
            <w:vAlign w:val="center"/>
            <w:hideMark/>
          </w:tcPr>
          <w:p w14:paraId="2F660F2F" w14:textId="77777777" w:rsidR="00B10F1E" w:rsidRPr="00BF2DE4" w:rsidRDefault="00B10F1E" w:rsidP="00816745">
            <w:pPr>
              <w:rPr>
                <w:rFonts w:ascii="Calibri" w:eastAsia="Times New Roman" w:hAnsi="Calibri"/>
                <w:color w:val="404040"/>
                <w:szCs w:val="20"/>
              </w:rPr>
            </w:pPr>
            <w:r w:rsidRPr="00BF2DE4">
              <w:rPr>
                <w:rFonts w:ascii="Calibri" w:eastAsia="Times New Roman" w:hAnsi="Calibri"/>
                <w:color w:val="404040"/>
                <w:szCs w:val="20"/>
              </w:rPr>
              <w:t>Number of households supported through the acquisition of existing units</w:t>
            </w:r>
          </w:p>
        </w:tc>
        <w:tc>
          <w:tcPr>
            <w:tcW w:w="1000" w:type="dxa"/>
            <w:tcBorders>
              <w:top w:val="nil"/>
              <w:left w:val="nil"/>
              <w:bottom w:val="single" w:sz="8" w:space="0" w:color="auto"/>
              <w:right w:val="single" w:sz="8" w:space="0" w:color="auto"/>
            </w:tcBorders>
            <w:shd w:val="clear" w:color="auto" w:fill="auto"/>
            <w:vAlign w:val="center"/>
            <w:hideMark/>
          </w:tcPr>
          <w:p w14:paraId="79613FC8" w14:textId="77777777" w:rsidR="00B10F1E" w:rsidRPr="00BF2DE4" w:rsidRDefault="00B10F1E" w:rsidP="00816745">
            <w:pPr>
              <w:jc w:val="center"/>
              <w:rPr>
                <w:rFonts w:ascii="Calibri" w:eastAsia="Times New Roman" w:hAnsi="Calibri"/>
                <w:color w:val="404040"/>
                <w:szCs w:val="20"/>
              </w:rPr>
            </w:pPr>
            <w:r>
              <w:rPr>
                <w:rFonts w:ascii="Calibri" w:eastAsia="Times New Roman" w:hAnsi="Calibri"/>
                <w:color w:val="404040"/>
                <w:szCs w:val="20"/>
              </w:rPr>
              <w:t>25</w:t>
            </w:r>
          </w:p>
        </w:tc>
        <w:tc>
          <w:tcPr>
            <w:tcW w:w="1000" w:type="dxa"/>
            <w:tcBorders>
              <w:top w:val="nil"/>
              <w:left w:val="nil"/>
              <w:bottom w:val="single" w:sz="8" w:space="0" w:color="auto"/>
              <w:right w:val="single" w:sz="8" w:space="0" w:color="auto"/>
            </w:tcBorders>
            <w:shd w:val="clear" w:color="auto" w:fill="auto"/>
            <w:vAlign w:val="center"/>
            <w:hideMark/>
          </w:tcPr>
          <w:p w14:paraId="22D8E753" w14:textId="77777777" w:rsidR="00B10F1E" w:rsidRPr="00BF2DE4" w:rsidRDefault="00B10F1E" w:rsidP="00816745">
            <w:pPr>
              <w:jc w:val="center"/>
              <w:rPr>
                <w:rFonts w:ascii="Calibri" w:eastAsia="Times New Roman" w:hAnsi="Calibri"/>
                <w:color w:val="404040"/>
                <w:szCs w:val="20"/>
              </w:rPr>
            </w:pPr>
            <w:r>
              <w:rPr>
                <w:rFonts w:ascii="Calibri" w:eastAsia="Times New Roman" w:hAnsi="Calibri"/>
                <w:color w:val="404040"/>
                <w:szCs w:val="20"/>
              </w:rPr>
              <w:t>9</w:t>
            </w:r>
          </w:p>
        </w:tc>
      </w:tr>
      <w:tr w:rsidR="00B10F1E" w:rsidRPr="00BF2DE4" w14:paraId="4EC7E04B" w14:textId="77777777" w:rsidTr="00816745">
        <w:trPr>
          <w:trHeight w:val="294"/>
        </w:trPr>
        <w:tc>
          <w:tcPr>
            <w:tcW w:w="6380" w:type="dxa"/>
            <w:tcBorders>
              <w:top w:val="nil"/>
              <w:left w:val="single" w:sz="8" w:space="0" w:color="auto"/>
              <w:bottom w:val="single" w:sz="8" w:space="0" w:color="auto"/>
              <w:right w:val="single" w:sz="8" w:space="0" w:color="auto"/>
            </w:tcBorders>
            <w:shd w:val="clear" w:color="auto" w:fill="auto"/>
            <w:vAlign w:val="center"/>
            <w:hideMark/>
          </w:tcPr>
          <w:p w14:paraId="09A3E1E2" w14:textId="77777777" w:rsidR="00B10F1E" w:rsidRPr="00BF2DE4" w:rsidRDefault="00B10F1E" w:rsidP="00816745">
            <w:pPr>
              <w:rPr>
                <w:rFonts w:ascii="Calibri" w:eastAsia="Times New Roman" w:hAnsi="Calibri"/>
                <w:b/>
                <w:bCs/>
                <w:color w:val="404040"/>
                <w:szCs w:val="20"/>
              </w:rPr>
            </w:pPr>
            <w:r w:rsidRPr="00BF2DE4">
              <w:rPr>
                <w:rFonts w:ascii="Calibri" w:eastAsia="Times New Roman" w:hAnsi="Calibri"/>
                <w:b/>
                <w:bCs/>
                <w:color w:val="404040"/>
                <w:szCs w:val="20"/>
              </w:rPr>
              <w:t>Total</w:t>
            </w:r>
          </w:p>
        </w:tc>
        <w:tc>
          <w:tcPr>
            <w:tcW w:w="1000" w:type="dxa"/>
            <w:tcBorders>
              <w:top w:val="nil"/>
              <w:left w:val="nil"/>
              <w:bottom w:val="single" w:sz="8" w:space="0" w:color="auto"/>
              <w:right w:val="single" w:sz="8" w:space="0" w:color="auto"/>
            </w:tcBorders>
            <w:shd w:val="clear" w:color="auto" w:fill="auto"/>
            <w:vAlign w:val="center"/>
            <w:hideMark/>
          </w:tcPr>
          <w:p w14:paraId="6F1D5611" w14:textId="77777777" w:rsidR="00B10F1E" w:rsidRPr="00BF2DE4" w:rsidRDefault="00B10F1E" w:rsidP="00816745">
            <w:pPr>
              <w:jc w:val="center"/>
              <w:rPr>
                <w:rFonts w:ascii="Calibri" w:eastAsia="Times New Roman" w:hAnsi="Calibri"/>
                <w:b/>
                <w:bCs/>
                <w:color w:val="404040"/>
                <w:szCs w:val="20"/>
              </w:rPr>
            </w:pPr>
            <w:r>
              <w:rPr>
                <w:rFonts w:ascii="Calibri" w:eastAsia="Times New Roman" w:hAnsi="Calibri"/>
                <w:b/>
                <w:bCs/>
                <w:color w:val="404040"/>
                <w:szCs w:val="20"/>
              </w:rPr>
              <w:t>727</w:t>
            </w:r>
          </w:p>
        </w:tc>
        <w:tc>
          <w:tcPr>
            <w:tcW w:w="1000" w:type="dxa"/>
            <w:tcBorders>
              <w:top w:val="nil"/>
              <w:left w:val="nil"/>
              <w:bottom w:val="single" w:sz="8" w:space="0" w:color="auto"/>
              <w:right w:val="single" w:sz="8" w:space="0" w:color="auto"/>
            </w:tcBorders>
            <w:shd w:val="clear" w:color="auto" w:fill="auto"/>
            <w:vAlign w:val="center"/>
            <w:hideMark/>
          </w:tcPr>
          <w:p w14:paraId="537BC881" w14:textId="2EE9A2FB" w:rsidR="00B10F1E" w:rsidRPr="00BF2DE4" w:rsidRDefault="00910AF7" w:rsidP="00816745">
            <w:pPr>
              <w:jc w:val="center"/>
              <w:rPr>
                <w:rFonts w:ascii="Calibri" w:eastAsia="Times New Roman" w:hAnsi="Calibri"/>
                <w:b/>
                <w:bCs/>
                <w:color w:val="404040"/>
                <w:szCs w:val="20"/>
              </w:rPr>
            </w:pPr>
            <w:r>
              <w:rPr>
                <w:rFonts w:ascii="Calibri" w:eastAsia="Times New Roman" w:hAnsi="Calibri"/>
                <w:b/>
                <w:bCs/>
                <w:color w:val="404040"/>
                <w:szCs w:val="20"/>
              </w:rPr>
              <w:t>549</w:t>
            </w:r>
          </w:p>
        </w:tc>
      </w:tr>
    </w:tbl>
    <w:p w14:paraId="64F47882" w14:textId="77777777" w:rsidR="00B10F1E" w:rsidRPr="00BF2DE4" w:rsidRDefault="00B10F1E" w:rsidP="00B10F1E">
      <w:pPr>
        <w:spacing w:line="276" w:lineRule="auto"/>
        <w:ind w:right="360"/>
        <w:rPr>
          <w:rFonts w:ascii="Calibri" w:hAnsi="Calibri" w:cs="Calibri"/>
          <w:b/>
          <w:color w:val="FF0000"/>
          <w:szCs w:val="20"/>
        </w:rPr>
      </w:pPr>
    </w:p>
    <w:p w14:paraId="11BFF636" w14:textId="77777777" w:rsidR="00B10F1E" w:rsidRPr="00BF2DE4" w:rsidRDefault="00B10F1E" w:rsidP="00B10F1E">
      <w:pPr>
        <w:spacing w:line="276" w:lineRule="auto"/>
        <w:ind w:right="360"/>
        <w:rPr>
          <w:rFonts w:ascii="Calibri" w:hAnsi="Calibri" w:cs="Calibri"/>
          <w:b/>
          <w:color w:val="FF0000"/>
          <w:szCs w:val="20"/>
        </w:rPr>
      </w:pPr>
      <w:r w:rsidRPr="00BF2DE4">
        <w:rPr>
          <w:rFonts w:ascii="Calibri" w:hAnsi="Calibri" w:cs="Calibri"/>
          <w:b/>
          <w:color w:val="404040"/>
          <w:szCs w:val="20"/>
        </w:rPr>
        <w:t>Discuss how these outcomes will impact future annual action plans.</w:t>
      </w:r>
      <w:r w:rsidRPr="00BF2DE4">
        <w:rPr>
          <w:rFonts w:ascii="Calibri" w:hAnsi="Calibri" w:cs="Calibri"/>
          <w:b/>
          <w:color w:val="FF0000"/>
          <w:szCs w:val="20"/>
        </w:rPr>
        <w:t xml:space="preserve">  </w:t>
      </w:r>
    </w:p>
    <w:p w14:paraId="0C552713" w14:textId="77777777" w:rsidR="00B10F1E" w:rsidRPr="00407732" w:rsidRDefault="00B10F1E" w:rsidP="00B10F1E">
      <w:pPr>
        <w:spacing w:line="360" w:lineRule="auto"/>
        <w:rPr>
          <w:rFonts w:ascii="Calibri" w:hAnsi="Calibri" w:cs="Calibri"/>
          <w:color w:val="404040"/>
          <w:szCs w:val="20"/>
        </w:rPr>
      </w:pPr>
      <w:r w:rsidRPr="00407732">
        <w:rPr>
          <w:rFonts w:ascii="Calibri" w:hAnsi="Calibri" w:cs="Calibri"/>
          <w:color w:val="404040"/>
          <w:szCs w:val="20"/>
        </w:rPr>
        <w:t>Salt Lake City is pleased with the total households supported through rental assistance activities funded by CDBG, ESG, HOME, and HOPWA funding. Due to sharply increased construction costs and a labor shortage in the construction field, it was difficult for the City to rehabilitate as many units as originally projected. Additionally, one subgrantee awarded funding did not expend any of Salt Lake City’s federal funding during the program year. Rising housing costs led to a smaller number of households supported through the acquisition of existing units. At this time, no future annual action plans are anticipated to change. Housing activities provided critical support in the form of subsidies for low to moderate income families with AMI’s ranging from 0-80%. Tenant-based rental assistance, short term rental/utility assistance, rapid re-housing, housing rehabilitation, and direct financial assistance supported a wide range of households in varying circumstance with a shared need of housing assistance.</w:t>
      </w:r>
    </w:p>
    <w:p w14:paraId="39C8B2E2" w14:textId="77777777" w:rsidR="00B10F1E" w:rsidRPr="00407732" w:rsidRDefault="00B10F1E" w:rsidP="00B10F1E">
      <w:pPr>
        <w:spacing w:line="360" w:lineRule="auto"/>
        <w:rPr>
          <w:rFonts w:ascii="Calibri" w:hAnsi="Calibri" w:cs="Calibri"/>
          <w:color w:val="404040"/>
          <w:szCs w:val="20"/>
        </w:rPr>
      </w:pPr>
    </w:p>
    <w:p w14:paraId="63835DAB" w14:textId="255CFB4D" w:rsidR="00B10F1E" w:rsidRPr="00407732" w:rsidRDefault="00B10F1E" w:rsidP="00B10F1E">
      <w:pPr>
        <w:spacing w:line="360" w:lineRule="auto"/>
        <w:rPr>
          <w:rFonts w:ascii="Calibri" w:hAnsi="Calibri" w:cs="Calibri"/>
          <w:color w:val="404040"/>
          <w:szCs w:val="20"/>
        </w:rPr>
      </w:pPr>
      <w:r w:rsidRPr="00407732">
        <w:rPr>
          <w:rFonts w:ascii="Calibri" w:hAnsi="Calibri" w:cs="Calibri"/>
          <w:color w:val="404040"/>
          <w:szCs w:val="20"/>
        </w:rPr>
        <w:t>As the City works towards creating its next five-year Consolidated Plan, it will continue evaluating its efforts in affordable housing to ensure that funding is utilized effectively</w:t>
      </w:r>
      <w:r w:rsidR="00910AF7">
        <w:rPr>
          <w:rFonts w:ascii="Calibri" w:hAnsi="Calibri" w:cs="Calibri"/>
          <w:color w:val="404040"/>
          <w:szCs w:val="20"/>
        </w:rPr>
        <w:t>.</w:t>
      </w:r>
      <w:r w:rsidRPr="00407732">
        <w:rPr>
          <w:rFonts w:ascii="Calibri" w:hAnsi="Calibri" w:cs="Calibri"/>
          <w:color w:val="404040"/>
          <w:szCs w:val="20"/>
        </w:rPr>
        <w:t xml:space="preserve"> The need for affordable housing will continue to grow as the population of the City expands and the vacancy rate remains low. It is critical for the City to expand its efforts in providing decent, safe, and affordable housing to its residents, especially its low-income residents and vulnerable populations. Increased rates of homelessness and rising construction and maintenance costs signal the need for City assistance to ensure that affordable housing is created and preserved within the community. </w:t>
      </w:r>
    </w:p>
    <w:p w14:paraId="41AD5398" w14:textId="77777777" w:rsidR="00B10F1E" w:rsidRPr="00407732" w:rsidRDefault="00B10F1E" w:rsidP="00407732">
      <w:pPr>
        <w:spacing w:line="360" w:lineRule="auto"/>
        <w:rPr>
          <w:rFonts w:ascii="Calibri" w:hAnsi="Calibri" w:cs="Calibri"/>
          <w:color w:val="404040"/>
          <w:szCs w:val="20"/>
        </w:rPr>
      </w:pPr>
    </w:p>
    <w:p w14:paraId="316CCC54" w14:textId="77777777" w:rsidR="00B10F1E" w:rsidRPr="00407732" w:rsidRDefault="00B10F1E" w:rsidP="00407732">
      <w:pPr>
        <w:spacing w:line="360" w:lineRule="auto"/>
        <w:rPr>
          <w:rFonts w:ascii="Calibri" w:hAnsi="Calibri" w:cs="Calibri"/>
          <w:color w:val="404040"/>
          <w:szCs w:val="20"/>
        </w:rPr>
      </w:pPr>
      <w:r w:rsidRPr="00407732">
        <w:rPr>
          <w:rFonts w:ascii="Calibri" w:hAnsi="Calibri" w:cs="Calibri"/>
          <w:color w:val="404040"/>
          <w:szCs w:val="20"/>
        </w:rPr>
        <w:t xml:space="preserve">Include the number of extremely low-income, low-income, and moderate-income persons served by each activity where information on income by family size is required to determine the eligibility of the activity.  </w:t>
      </w:r>
    </w:p>
    <w:p w14:paraId="35E791C0" w14:textId="77777777" w:rsidR="00B10F1E" w:rsidRDefault="00B10F1E" w:rsidP="00B10F1E"/>
    <w:p w14:paraId="0FCF476C" w14:textId="77777777" w:rsidR="00B10F1E" w:rsidRPr="00BF2DE4" w:rsidRDefault="00B10F1E" w:rsidP="00B10F1E">
      <w:pPr>
        <w:spacing w:line="276" w:lineRule="auto"/>
        <w:ind w:right="360"/>
        <w:rPr>
          <w:rFonts w:ascii="Calibri" w:hAnsi="Calibri" w:cs="Calibri"/>
          <w:b/>
          <w:color w:val="F79646"/>
          <w:szCs w:val="20"/>
        </w:rPr>
      </w:pPr>
      <w:r w:rsidRPr="00BF2DE4">
        <w:rPr>
          <w:rFonts w:ascii="Calibri" w:hAnsi="Calibri" w:cs="Calibri"/>
          <w:b/>
          <w:color w:val="404040"/>
          <w:szCs w:val="20"/>
        </w:rPr>
        <w:t>Table 13 – Number of Persons Served</w:t>
      </w:r>
      <w:r w:rsidRPr="00BF2DE4">
        <w:rPr>
          <w:rFonts w:ascii="Calibri" w:hAnsi="Calibri" w:cs="Calibri"/>
          <w:b/>
          <w:color w:val="F79646"/>
          <w:szCs w:val="20"/>
        </w:rPr>
        <w:t xml:space="preserve"> </w:t>
      </w:r>
    </w:p>
    <w:tbl>
      <w:tblPr>
        <w:tblW w:w="6240" w:type="dxa"/>
        <w:tblInd w:w="-10" w:type="dxa"/>
        <w:tblLook w:val="04A0" w:firstRow="1" w:lastRow="0" w:firstColumn="1" w:lastColumn="0" w:noHBand="0" w:noVBand="1"/>
      </w:tblPr>
      <w:tblGrid>
        <w:gridCol w:w="2900"/>
        <w:gridCol w:w="2000"/>
        <w:gridCol w:w="1340"/>
      </w:tblGrid>
      <w:tr w:rsidR="00B10F1E" w:rsidRPr="00BF2DE4" w14:paraId="2D688A84" w14:textId="77777777" w:rsidTr="00816745">
        <w:trPr>
          <w:trHeight w:val="582"/>
        </w:trPr>
        <w:tc>
          <w:tcPr>
            <w:tcW w:w="2900" w:type="dxa"/>
            <w:tcBorders>
              <w:top w:val="single" w:sz="8" w:space="0" w:color="auto"/>
              <w:left w:val="single" w:sz="8" w:space="0" w:color="auto"/>
              <w:bottom w:val="single" w:sz="8" w:space="0" w:color="auto"/>
              <w:right w:val="single" w:sz="8" w:space="0" w:color="auto"/>
            </w:tcBorders>
            <w:shd w:val="clear" w:color="auto" w:fill="C6D9F1"/>
            <w:vAlign w:val="center"/>
            <w:hideMark/>
          </w:tcPr>
          <w:p w14:paraId="1DF3B774" w14:textId="77777777" w:rsidR="00B10F1E" w:rsidRPr="00BF2DE4" w:rsidRDefault="00B10F1E" w:rsidP="00816745">
            <w:pPr>
              <w:rPr>
                <w:rFonts w:ascii="Calibri" w:eastAsia="Times New Roman" w:hAnsi="Calibri"/>
                <w:b/>
                <w:bCs/>
                <w:color w:val="404040"/>
                <w:szCs w:val="20"/>
              </w:rPr>
            </w:pPr>
            <w:r w:rsidRPr="00BF2DE4">
              <w:rPr>
                <w:rFonts w:ascii="Calibri" w:eastAsia="Times New Roman" w:hAnsi="Calibri"/>
                <w:b/>
                <w:bCs/>
                <w:color w:val="404040"/>
                <w:szCs w:val="20"/>
              </w:rPr>
              <w:t>Number of Persons Served</w:t>
            </w:r>
          </w:p>
        </w:tc>
        <w:tc>
          <w:tcPr>
            <w:tcW w:w="2000" w:type="dxa"/>
            <w:tcBorders>
              <w:top w:val="single" w:sz="8" w:space="0" w:color="auto"/>
              <w:left w:val="nil"/>
              <w:bottom w:val="single" w:sz="8" w:space="0" w:color="auto"/>
              <w:right w:val="single" w:sz="8" w:space="0" w:color="auto"/>
            </w:tcBorders>
            <w:shd w:val="clear" w:color="auto" w:fill="C6D9F1"/>
            <w:vAlign w:val="center"/>
            <w:hideMark/>
          </w:tcPr>
          <w:p w14:paraId="29D19FFA" w14:textId="77777777" w:rsidR="00B10F1E" w:rsidRPr="00BF2DE4" w:rsidRDefault="00B10F1E" w:rsidP="00816745">
            <w:pPr>
              <w:jc w:val="center"/>
              <w:rPr>
                <w:rFonts w:ascii="Calibri" w:eastAsia="Times New Roman" w:hAnsi="Calibri"/>
                <w:b/>
                <w:bCs/>
                <w:color w:val="404040"/>
                <w:szCs w:val="20"/>
              </w:rPr>
            </w:pPr>
            <w:r w:rsidRPr="00BF2DE4">
              <w:rPr>
                <w:rFonts w:ascii="Calibri" w:eastAsia="Times New Roman" w:hAnsi="Calibri"/>
                <w:b/>
                <w:bCs/>
                <w:color w:val="404040"/>
                <w:szCs w:val="20"/>
              </w:rPr>
              <w:t>CDBG Actual</w:t>
            </w:r>
          </w:p>
        </w:tc>
        <w:tc>
          <w:tcPr>
            <w:tcW w:w="1340" w:type="dxa"/>
            <w:tcBorders>
              <w:top w:val="single" w:sz="8" w:space="0" w:color="auto"/>
              <w:left w:val="nil"/>
              <w:bottom w:val="single" w:sz="8" w:space="0" w:color="auto"/>
              <w:right w:val="single" w:sz="8" w:space="0" w:color="auto"/>
            </w:tcBorders>
            <w:shd w:val="clear" w:color="auto" w:fill="C6D9F1"/>
            <w:vAlign w:val="center"/>
            <w:hideMark/>
          </w:tcPr>
          <w:p w14:paraId="69F3148E" w14:textId="77777777" w:rsidR="00B10F1E" w:rsidRPr="00BF2DE4" w:rsidRDefault="00B10F1E" w:rsidP="00816745">
            <w:pPr>
              <w:jc w:val="center"/>
              <w:rPr>
                <w:rFonts w:ascii="Calibri" w:eastAsia="Times New Roman" w:hAnsi="Calibri"/>
                <w:b/>
                <w:color w:val="404040"/>
                <w:szCs w:val="20"/>
              </w:rPr>
            </w:pPr>
            <w:r w:rsidRPr="00BF2DE4">
              <w:rPr>
                <w:rFonts w:ascii="Calibri" w:eastAsia="Times New Roman" w:hAnsi="Calibri"/>
                <w:b/>
                <w:color w:val="404040"/>
                <w:szCs w:val="20"/>
              </w:rPr>
              <w:t>HOME Actual</w:t>
            </w:r>
          </w:p>
        </w:tc>
      </w:tr>
      <w:tr w:rsidR="00B10F1E" w:rsidRPr="00BF2DE4" w14:paraId="207E6757" w14:textId="77777777" w:rsidTr="00816745">
        <w:trPr>
          <w:trHeight w:val="294"/>
        </w:trPr>
        <w:tc>
          <w:tcPr>
            <w:tcW w:w="2900" w:type="dxa"/>
            <w:tcBorders>
              <w:top w:val="nil"/>
              <w:left w:val="single" w:sz="8" w:space="0" w:color="auto"/>
              <w:bottom w:val="single" w:sz="8" w:space="0" w:color="auto"/>
              <w:right w:val="single" w:sz="8" w:space="0" w:color="auto"/>
            </w:tcBorders>
            <w:shd w:val="clear" w:color="auto" w:fill="auto"/>
            <w:vAlign w:val="center"/>
            <w:hideMark/>
          </w:tcPr>
          <w:p w14:paraId="1E96B841" w14:textId="77777777" w:rsidR="00B10F1E" w:rsidRPr="00BF2DE4" w:rsidRDefault="00B10F1E" w:rsidP="00816745">
            <w:pPr>
              <w:rPr>
                <w:rFonts w:ascii="Calibri" w:eastAsia="Times New Roman" w:hAnsi="Calibri"/>
                <w:color w:val="404040"/>
                <w:szCs w:val="20"/>
              </w:rPr>
            </w:pPr>
            <w:r w:rsidRPr="00BF2DE4">
              <w:rPr>
                <w:rFonts w:ascii="Calibri" w:eastAsia="Times New Roman" w:hAnsi="Calibri"/>
                <w:color w:val="404040"/>
                <w:szCs w:val="20"/>
              </w:rPr>
              <w:t>Extremely Low-income</w:t>
            </w:r>
          </w:p>
        </w:tc>
        <w:tc>
          <w:tcPr>
            <w:tcW w:w="2000" w:type="dxa"/>
            <w:tcBorders>
              <w:top w:val="nil"/>
              <w:left w:val="nil"/>
              <w:bottom w:val="single" w:sz="8" w:space="0" w:color="auto"/>
              <w:right w:val="single" w:sz="8" w:space="0" w:color="auto"/>
            </w:tcBorders>
            <w:shd w:val="clear" w:color="auto" w:fill="auto"/>
            <w:vAlign w:val="center"/>
            <w:hideMark/>
          </w:tcPr>
          <w:p w14:paraId="17276856" w14:textId="77777777" w:rsidR="00B10F1E" w:rsidRPr="00BF2DE4" w:rsidRDefault="00B10F1E" w:rsidP="00816745">
            <w:pPr>
              <w:jc w:val="center"/>
              <w:rPr>
                <w:rFonts w:ascii="Calibri" w:eastAsia="Times New Roman" w:hAnsi="Calibri"/>
                <w:color w:val="404040"/>
                <w:szCs w:val="20"/>
              </w:rPr>
            </w:pPr>
            <w:r>
              <w:rPr>
                <w:rFonts w:ascii="Calibri" w:eastAsia="Times New Roman" w:hAnsi="Calibri"/>
                <w:color w:val="404040"/>
                <w:szCs w:val="20"/>
              </w:rPr>
              <w:t>2,046</w:t>
            </w:r>
          </w:p>
        </w:tc>
        <w:tc>
          <w:tcPr>
            <w:tcW w:w="1340" w:type="dxa"/>
            <w:tcBorders>
              <w:top w:val="nil"/>
              <w:left w:val="nil"/>
              <w:bottom w:val="single" w:sz="8" w:space="0" w:color="auto"/>
              <w:right w:val="single" w:sz="8" w:space="0" w:color="auto"/>
            </w:tcBorders>
            <w:shd w:val="clear" w:color="auto" w:fill="auto"/>
            <w:vAlign w:val="center"/>
            <w:hideMark/>
          </w:tcPr>
          <w:p w14:paraId="5DDA7319" w14:textId="77777777" w:rsidR="00B10F1E" w:rsidRPr="00BF2DE4" w:rsidRDefault="00B10F1E" w:rsidP="00816745">
            <w:pPr>
              <w:jc w:val="center"/>
              <w:rPr>
                <w:rFonts w:ascii="Calibri" w:eastAsia="Times New Roman" w:hAnsi="Calibri"/>
                <w:color w:val="404040"/>
                <w:szCs w:val="20"/>
              </w:rPr>
            </w:pPr>
            <w:r>
              <w:rPr>
                <w:rFonts w:ascii="Calibri" w:eastAsia="Times New Roman" w:hAnsi="Calibri"/>
                <w:color w:val="404040"/>
                <w:szCs w:val="20"/>
              </w:rPr>
              <w:t>330</w:t>
            </w:r>
          </w:p>
        </w:tc>
      </w:tr>
      <w:tr w:rsidR="00B10F1E" w:rsidRPr="00BF2DE4" w14:paraId="23CBDBFA" w14:textId="77777777" w:rsidTr="00816745">
        <w:trPr>
          <w:trHeight w:val="294"/>
        </w:trPr>
        <w:tc>
          <w:tcPr>
            <w:tcW w:w="2900" w:type="dxa"/>
            <w:tcBorders>
              <w:top w:val="nil"/>
              <w:left w:val="single" w:sz="8" w:space="0" w:color="auto"/>
              <w:bottom w:val="single" w:sz="8" w:space="0" w:color="auto"/>
              <w:right w:val="single" w:sz="8" w:space="0" w:color="auto"/>
            </w:tcBorders>
            <w:shd w:val="clear" w:color="auto" w:fill="auto"/>
            <w:vAlign w:val="center"/>
            <w:hideMark/>
          </w:tcPr>
          <w:p w14:paraId="2C4F459B" w14:textId="77777777" w:rsidR="00B10F1E" w:rsidRPr="00BF2DE4" w:rsidRDefault="00B10F1E" w:rsidP="00816745">
            <w:pPr>
              <w:rPr>
                <w:rFonts w:ascii="Calibri" w:eastAsia="Times New Roman" w:hAnsi="Calibri"/>
                <w:color w:val="404040"/>
                <w:szCs w:val="20"/>
              </w:rPr>
            </w:pPr>
            <w:r w:rsidRPr="00BF2DE4">
              <w:rPr>
                <w:rFonts w:ascii="Calibri" w:eastAsia="Times New Roman" w:hAnsi="Calibri"/>
                <w:color w:val="404040"/>
                <w:szCs w:val="20"/>
              </w:rPr>
              <w:t>Low-income</w:t>
            </w:r>
          </w:p>
        </w:tc>
        <w:tc>
          <w:tcPr>
            <w:tcW w:w="2000" w:type="dxa"/>
            <w:tcBorders>
              <w:top w:val="nil"/>
              <w:left w:val="nil"/>
              <w:bottom w:val="single" w:sz="8" w:space="0" w:color="auto"/>
              <w:right w:val="single" w:sz="8" w:space="0" w:color="auto"/>
            </w:tcBorders>
            <w:shd w:val="clear" w:color="auto" w:fill="auto"/>
            <w:vAlign w:val="center"/>
            <w:hideMark/>
          </w:tcPr>
          <w:p w14:paraId="782E0C58" w14:textId="77777777" w:rsidR="00B10F1E" w:rsidRPr="00BF2DE4" w:rsidRDefault="00B10F1E" w:rsidP="00816745">
            <w:pPr>
              <w:jc w:val="center"/>
              <w:rPr>
                <w:rFonts w:ascii="Calibri" w:eastAsia="Times New Roman" w:hAnsi="Calibri"/>
                <w:color w:val="404040"/>
                <w:szCs w:val="20"/>
              </w:rPr>
            </w:pPr>
            <w:r>
              <w:rPr>
                <w:rFonts w:ascii="Calibri" w:eastAsia="Times New Roman" w:hAnsi="Calibri"/>
                <w:color w:val="404040"/>
                <w:szCs w:val="20"/>
              </w:rPr>
              <w:t>464</w:t>
            </w:r>
          </w:p>
        </w:tc>
        <w:tc>
          <w:tcPr>
            <w:tcW w:w="1340" w:type="dxa"/>
            <w:tcBorders>
              <w:top w:val="nil"/>
              <w:left w:val="nil"/>
              <w:bottom w:val="single" w:sz="8" w:space="0" w:color="auto"/>
              <w:right w:val="single" w:sz="8" w:space="0" w:color="auto"/>
            </w:tcBorders>
            <w:shd w:val="clear" w:color="auto" w:fill="auto"/>
            <w:vAlign w:val="center"/>
            <w:hideMark/>
          </w:tcPr>
          <w:p w14:paraId="199C7F49" w14:textId="77777777" w:rsidR="00B10F1E" w:rsidRPr="00BF2DE4" w:rsidRDefault="00B10F1E" w:rsidP="00816745">
            <w:pPr>
              <w:jc w:val="center"/>
              <w:rPr>
                <w:rFonts w:ascii="Calibri" w:eastAsia="Times New Roman" w:hAnsi="Calibri"/>
                <w:color w:val="404040"/>
                <w:szCs w:val="20"/>
              </w:rPr>
            </w:pPr>
            <w:r>
              <w:rPr>
                <w:rFonts w:ascii="Calibri" w:eastAsia="Times New Roman" w:hAnsi="Calibri"/>
                <w:color w:val="404040"/>
                <w:szCs w:val="20"/>
              </w:rPr>
              <w:t>22</w:t>
            </w:r>
          </w:p>
        </w:tc>
      </w:tr>
      <w:tr w:rsidR="00B10F1E" w:rsidRPr="00BF2DE4" w14:paraId="5E0DED33" w14:textId="77777777" w:rsidTr="00816745">
        <w:trPr>
          <w:trHeight w:val="294"/>
        </w:trPr>
        <w:tc>
          <w:tcPr>
            <w:tcW w:w="2900" w:type="dxa"/>
            <w:tcBorders>
              <w:top w:val="nil"/>
              <w:left w:val="single" w:sz="8" w:space="0" w:color="auto"/>
              <w:bottom w:val="single" w:sz="8" w:space="0" w:color="auto"/>
              <w:right w:val="single" w:sz="8" w:space="0" w:color="auto"/>
            </w:tcBorders>
            <w:shd w:val="clear" w:color="auto" w:fill="auto"/>
            <w:vAlign w:val="center"/>
            <w:hideMark/>
          </w:tcPr>
          <w:p w14:paraId="5EC2D219" w14:textId="77777777" w:rsidR="00B10F1E" w:rsidRPr="00BF2DE4" w:rsidRDefault="00B10F1E" w:rsidP="00816745">
            <w:pPr>
              <w:rPr>
                <w:rFonts w:ascii="Calibri" w:eastAsia="Times New Roman" w:hAnsi="Calibri"/>
                <w:color w:val="404040"/>
                <w:szCs w:val="20"/>
              </w:rPr>
            </w:pPr>
            <w:r w:rsidRPr="00BF2DE4">
              <w:rPr>
                <w:rFonts w:ascii="Calibri" w:eastAsia="Times New Roman" w:hAnsi="Calibri"/>
                <w:color w:val="404040"/>
                <w:szCs w:val="20"/>
              </w:rPr>
              <w:t>Moderate-income</w:t>
            </w:r>
          </w:p>
        </w:tc>
        <w:tc>
          <w:tcPr>
            <w:tcW w:w="2000" w:type="dxa"/>
            <w:tcBorders>
              <w:top w:val="nil"/>
              <w:left w:val="nil"/>
              <w:bottom w:val="single" w:sz="8" w:space="0" w:color="auto"/>
              <w:right w:val="single" w:sz="8" w:space="0" w:color="auto"/>
            </w:tcBorders>
            <w:shd w:val="clear" w:color="auto" w:fill="auto"/>
            <w:vAlign w:val="center"/>
            <w:hideMark/>
          </w:tcPr>
          <w:p w14:paraId="7302DF79" w14:textId="77777777" w:rsidR="00B10F1E" w:rsidRPr="00BF2DE4" w:rsidRDefault="00B10F1E" w:rsidP="00816745">
            <w:pPr>
              <w:jc w:val="center"/>
              <w:rPr>
                <w:rFonts w:ascii="Calibri" w:eastAsia="Times New Roman" w:hAnsi="Calibri"/>
                <w:color w:val="404040"/>
                <w:szCs w:val="20"/>
              </w:rPr>
            </w:pPr>
            <w:r>
              <w:rPr>
                <w:rFonts w:ascii="Calibri" w:eastAsia="Times New Roman" w:hAnsi="Calibri"/>
                <w:color w:val="404040"/>
                <w:szCs w:val="20"/>
              </w:rPr>
              <w:t>79</w:t>
            </w:r>
          </w:p>
        </w:tc>
        <w:tc>
          <w:tcPr>
            <w:tcW w:w="1340" w:type="dxa"/>
            <w:tcBorders>
              <w:top w:val="nil"/>
              <w:left w:val="nil"/>
              <w:bottom w:val="single" w:sz="8" w:space="0" w:color="auto"/>
              <w:right w:val="single" w:sz="8" w:space="0" w:color="auto"/>
            </w:tcBorders>
            <w:shd w:val="clear" w:color="auto" w:fill="auto"/>
            <w:vAlign w:val="center"/>
            <w:hideMark/>
          </w:tcPr>
          <w:p w14:paraId="50440F5B" w14:textId="77777777" w:rsidR="00B10F1E" w:rsidRPr="00BF2DE4" w:rsidRDefault="00B10F1E" w:rsidP="00816745">
            <w:pPr>
              <w:jc w:val="center"/>
              <w:rPr>
                <w:rFonts w:ascii="Calibri" w:eastAsia="Times New Roman" w:hAnsi="Calibri"/>
                <w:color w:val="404040"/>
                <w:szCs w:val="20"/>
              </w:rPr>
            </w:pPr>
            <w:r>
              <w:rPr>
                <w:rFonts w:ascii="Calibri" w:eastAsia="Times New Roman" w:hAnsi="Calibri"/>
                <w:color w:val="404040"/>
                <w:szCs w:val="20"/>
              </w:rPr>
              <w:t>10</w:t>
            </w:r>
          </w:p>
        </w:tc>
      </w:tr>
      <w:tr w:rsidR="00B10F1E" w:rsidRPr="00BF2DE4" w14:paraId="165C6A31" w14:textId="77777777" w:rsidTr="00816745">
        <w:trPr>
          <w:trHeight w:val="294"/>
        </w:trPr>
        <w:tc>
          <w:tcPr>
            <w:tcW w:w="2900" w:type="dxa"/>
            <w:tcBorders>
              <w:top w:val="nil"/>
              <w:left w:val="single" w:sz="8" w:space="0" w:color="auto"/>
              <w:bottom w:val="single" w:sz="8" w:space="0" w:color="auto"/>
              <w:right w:val="single" w:sz="8" w:space="0" w:color="auto"/>
            </w:tcBorders>
            <w:shd w:val="clear" w:color="auto" w:fill="auto"/>
            <w:vAlign w:val="center"/>
            <w:hideMark/>
          </w:tcPr>
          <w:p w14:paraId="5751A0E2" w14:textId="77777777" w:rsidR="00B10F1E" w:rsidRPr="00BF2DE4" w:rsidRDefault="00B10F1E" w:rsidP="00816745">
            <w:pPr>
              <w:rPr>
                <w:rFonts w:ascii="Calibri" w:eastAsia="Times New Roman" w:hAnsi="Calibri"/>
                <w:b/>
                <w:bCs/>
                <w:color w:val="404040"/>
                <w:szCs w:val="20"/>
              </w:rPr>
            </w:pPr>
            <w:r w:rsidRPr="00BF2DE4">
              <w:rPr>
                <w:rFonts w:ascii="Calibri" w:eastAsia="Times New Roman" w:hAnsi="Calibri"/>
                <w:b/>
                <w:bCs/>
                <w:color w:val="404040"/>
                <w:szCs w:val="20"/>
              </w:rPr>
              <w:t>Total</w:t>
            </w:r>
          </w:p>
        </w:tc>
        <w:tc>
          <w:tcPr>
            <w:tcW w:w="2000" w:type="dxa"/>
            <w:tcBorders>
              <w:top w:val="nil"/>
              <w:left w:val="nil"/>
              <w:bottom w:val="single" w:sz="8" w:space="0" w:color="auto"/>
              <w:right w:val="single" w:sz="8" w:space="0" w:color="auto"/>
            </w:tcBorders>
            <w:shd w:val="clear" w:color="auto" w:fill="auto"/>
            <w:vAlign w:val="center"/>
            <w:hideMark/>
          </w:tcPr>
          <w:p w14:paraId="7195D265" w14:textId="77777777" w:rsidR="00B10F1E" w:rsidRPr="00BF2DE4" w:rsidRDefault="00B10F1E" w:rsidP="00816745">
            <w:pPr>
              <w:jc w:val="center"/>
              <w:rPr>
                <w:rFonts w:ascii="Calibri" w:eastAsia="Times New Roman" w:hAnsi="Calibri"/>
                <w:b/>
                <w:bCs/>
                <w:color w:val="404040"/>
                <w:szCs w:val="20"/>
              </w:rPr>
            </w:pPr>
            <w:r>
              <w:rPr>
                <w:rFonts w:ascii="Calibri" w:eastAsia="Times New Roman" w:hAnsi="Calibri"/>
                <w:b/>
                <w:bCs/>
                <w:color w:val="404040"/>
                <w:szCs w:val="20"/>
              </w:rPr>
              <w:t>2,589</w:t>
            </w:r>
          </w:p>
        </w:tc>
        <w:tc>
          <w:tcPr>
            <w:tcW w:w="1340" w:type="dxa"/>
            <w:tcBorders>
              <w:top w:val="nil"/>
              <w:left w:val="nil"/>
              <w:bottom w:val="single" w:sz="8" w:space="0" w:color="auto"/>
              <w:right w:val="single" w:sz="8" w:space="0" w:color="auto"/>
            </w:tcBorders>
            <w:shd w:val="clear" w:color="auto" w:fill="auto"/>
            <w:vAlign w:val="center"/>
            <w:hideMark/>
          </w:tcPr>
          <w:p w14:paraId="1BB553CC" w14:textId="4D839B5A" w:rsidR="00B10F1E" w:rsidRPr="00BF2DE4" w:rsidRDefault="00910AF7" w:rsidP="00816745">
            <w:pPr>
              <w:jc w:val="center"/>
              <w:rPr>
                <w:rFonts w:ascii="Calibri" w:eastAsia="Times New Roman" w:hAnsi="Calibri"/>
                <w:b/>
                <w:color w:val="404040"/>
                <w:szCs w:val="20"/>
              </w:rPr>
            </w:pPr>
            <w:r>
              <w:rPr>
                <w:rFonts w:ascii="Calibri" w:eastAsia="Times New Roman" w:hAnsi="Calibri"/>
                <w:b/>
                <w:color w:val="404040"/>
                <w:szCs w:val="20"/>
              </w:rPr>
              <w:t>362</w:t>
            </w:r>
          </w:p>
        </w:tc>
      </w:tr>
    </w:tbl>
    <w:p w14:paraId="72628C4D" w14:textId="77777777" w:rsidR="00B10F1E" w:rsidRDefault="00B10F1E" w:rsidP="00B10F1E"/>
    <w:p w14:paraId="49AD5025" w14:textId="77777777" w:rsidR="00B10F1E" w:rsidRPr="00407732" w:rsidRDefault="00B10F1E" w:rsidP="00B10F1E">
      <w:pPr>
        <w:spacing w:line="360" w:lineRule="auto"/>
        <w:rPr>
          <w:rFonts w:ascii="Calibri" w:hAnsi="Calibri" w:cs="Calibri"/>
          <w:color w:val="404040"/>
          <w:szCs w:val="20"/>
        </w:rPr>
      </w:pPr>
      <w:r w:rsidRPr="00407732">
        <w:rPr>
          <w:rFonts w:ascii="Calibri" w:hAnsi="Calibri" w:cs="Calibri"/>
          <w:color w:val="404040"/>
          <w:szCs w:val="20"/>
        </w:rPr>
        <w:t>The goals outlined in Salt Lake City’s 2015-2019 Consolidated Plan, Neighborhoods of Opportunity, provided direction for program year 2017-2018 projects and activities. The Consolidated Plan encourages capacity in neighborhoods with concentrated poverty and supported at risk populations by prioritizing goals that increased access to housing, education, health, transportation, and economic development.</w:t>
      </w:r>
    </w:p>
    <w:p w14:paraId="18E8841E" w14:textId="77777777" w:rsidR="00B10F1E" w:rsidRPr="00407732" w:rsidRDefault="00B10F1E" w:rsidP="00B10F1E">
      <w:pPr>
        <w:spacing w:line="360" w:lineRule="auto"/>
        <w:rPr>
          <w:rFonts w:ascii="Calibri" w:hAnsi="Calibri" w:cs="Calibri"/>
          <w:color w:val="404040"/>
          <w:szCs w:val="20"/>
        </w:rPr>
      </w:pPr>
    </w:p>
    <w:p w14:paraId="361CB0C2" w14:textId="57D3FEAD" w:rsidR="00B10F1E" w:rsidRPr="00407732" w:rsidRDefault="00B10F1E" w:rsidP="00B10F1E">
      <w:pPr>
        <w:spacing w:line="360" w:lineRule="auto"/>
        <w:rPr>
          <w:rFonts w:ascii="Calibri" w:hAnsi="Calibri" w:cs="Calibri"/>
          <w:color w:val="404040"/>
          <w:szCs w:val="20"/>
        </w:rPr>
      </w:pPr>
      <w:r w:rsidRPr="00407732">
        <w:rPr>
          <w:rFonts w:ascii="Calibri" w:hAnsi="Calibri" w:cs="Calibri"/>
          <w:color w:val="404040"/>
          <w:szCs w:val="20"/>
        </w:rPr>
        <w:t>The City worked towards reducing the gap in a number of socioeconomic indicators, such as improving housing affordability, school-readiness of young children, employment skills of at-risk adults, access to transportation for low-income households, and economic diversity within neighborhoods; this progress should lead to more opportunity for lower-income individuals within these neighborhoods and the surrounding areas.</w:t>
      </w:r>
    </w:p>
    <w:p w14:paraId="05B5CE28" w14:textId="77777777" w:rsidR="00B10F1E" w:rsidRPr="00407732" w:rsidRDefault="00B10F1E" w:rsidP="00B10F1E">
      <w:pPr>
        <w:spacing w:line="360" w:lineRule="auto"/>
        <w:rPr>
          <w:rFonts w:ascii="Calibri" w:hAnsi="Calibri" w:cs="Calibri"/>
          <w:color w:val="404040"/>
          <w:szCs w:val="20"/>
        </w:rPr>
      </w:pPr>
    </w:p>
    <w:p w14:paraId="2AB2998B" w14:textId="77777777" w:rsidR="00B10F1E" w:rsidRPr="00407732" w:rsidRDefault="00B10F1E" w:rsidP="00B10F1E">
      <w:pPr>
        <w:spacing w:line="360" w:lineRule="auto"/>
        <w:rPr>
          <w:rFonts w:ascii="Calibri" w:hAnsi="Calibri" w:cs="Calibri"/>
          <w:color w:val="404040"/>
          <w:szCs w:val="20"/>
        </w:rPr>
      </w:pPr>
      <w:r w:rsidRPr="00407732">
        <w:rPr>
          <w:rFonts w:ascii="Calibri" w:hAnsi="Calibri" w:cs="Calibri"/>
          <w:color w:val="404040"/>
          <w:szCs w:val="20"/>
        </w:rPr>
        <w:t xml:space="preserve">Vulnerable populations continue to need an extensive support system to ensure access to critical resources, services, and housing assistance. The most vulnerable populations include victims of domestic violence, persons living with HIV/AIDS, low-income elderly persons, persons with disabilities, families experiencing homelessness, and the chronically homeless. </w:t>
      </w:r>
    </w:p>
    <w:p w14:paraId="20B92823" w14:textId="05FDC9BA" w:rsidR="00B10F1E" w:rsidRDefault="00B10F1E" w:rsidP="00B10F1E">
      <w:pPr>
        <w:rPr>
          <w:rFonts w:asciiTheme="minorHAnsi" w:hAnsiTheme="minorHAnsi"/>
          <w:szCs w:val="20"/>
        </w:rPr>
      </w:pPr>
    </w:p>
    <w:p w14:paraId="5F9C266D" w14:textId="5A095F65" w:rsidR="00D73F6A" w:rsidRPr="00D73F6A" w:rsidRDefault="00D73F6A" w:rsidP="00D73F6A">
      <w:pPr>
        <w:spacing w:line="276" w:lineRule="auto"/>
        <w:ind w:right="360"/>
        <w:rPr>
          <w:rFonts w:asciiTheme="minorHAnsi" w:hAnsiTheme="minorHAnsi" w:cstheme="minorHAnsi"/>
          <w:i/>
          <w:color w:val="1F497D" w:themeColor="text2"/>
          <w:sz w:val="18"/>
          <w:szCs w:val="18"/>
        </w:rPr>
      </w:pPr>
      <w:r>
        <w:rPr>
          <w:rFonts w:asciiTheme="minorHAnsi" w:hAnsiTheme="minorHAnsi" w:cstheme="minorHAnsi"/>
          <w:b/>
          <w:color w:val="FF0000"/>
          <w:szCs w:val="20"/>
        </w:rPr>
        <w:br w:type="page"/>
      </w:r>
      <w:r w:rsidRPr="00D73F6A">
        <w:rPr>
          <w:rFonts w:asciiTheme="minorHAnsi" w:hAnsiTheme="minorHAnsi" w:cstheme="minorHAnsi"/>
          <w:b/>
          <w:noProof/>
          <w:color w:val="1F497D" w:themeColor="text2"/>
          <w:sz w:val="24"/>
        </w:rPr>
        <mc:AlternateContent>
          <mc:Choice Requires="wps">
            <w:drawing>
              <wp:anchor distT="0" distB="0" distL="114300" distR="114300" simplePos="0" relativeHeight="251773952" behindDoc="0" locked="0" layoutInCell="1" allowOverlap="1" wp14:anchorId="1B928493" wp14:editId="5EF4AA61">
                <wp:simplePos x="0" y="0"/>
                <wp:positionH relativeFrom="column">
                  <wp:posOffset>-190500</wp:posOffset>
                </wp:positionH>
                <wp:positionV relativeFrom="paragraph">
                  <wp:posOffset>-38100</wp:posOffset>
                </wp:positionV>
                <wp:extent cx="6779895" cy="635"/>
                <wp:effectExtent l="9525" t="9525" r="11430" b="889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989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73DCD" id="AutoShape 15" o:spid="_x0000_s1026" type="#_x0000_t32" style="position:absolute;margin-left:-15pt;margin-top:-3pt;width:533.85pt;height:.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" strokecolor="#548dd4"/>
            </w:pict>
          </mc:Fallback>
        </mc:AlternateContent>
      </w:r>
      <w:r w:rsidRPr="00D73F6A">
        <w:rPr>
          <w:rFonts w:asciiTheme="minorHAnsi" w:hAnsiTheme="minorHAnsi" w:cstheme="minorHAnsi"/>
          <w:b/>
          <w:color w:val="1F497D" w:themeColor="text2"/>
          <w:sz w:val="24"/>
        </w:rPr>
        <w:t xml:space="preserve">CR-25 HOMELESS AND OTHER SPECIAL NEEDS– </w:t>
      </w:r>
      <w:r w:rsidRPr="00D73F6A">
        <w:rPr>
          <w:rFonts w:asciiTheme="minorHAnsi" w:hAnsiTheme="minorHAnsi" w:cstheme="minorHAnsi"/>
          <w:i/>
          <w:color w:val="1F497D" w:themeColor="text2"/>
          <w:sz w:val="18"/>
          <w:szCs w:val="18"/>
        </w:rPr>
        <w:t>91.220 (d); 91.220(e); 91.320 (d); 91.320(e); 91.520 (c)</w:t>
      </w:r>
      <w:r>
        <w:rPr>
          <w:rFonts w:asciiTheme="minorHAnsi" w:hAnsiTheme="minorHAnsi" w:cstheme="minorHAnsi"/>
          <w:i/>
          <w:color w:val="1F497D" w:themeColor="text2"/>
          <w:sz w:val="18"/>
          <w:szCs w:val="18"/>
        </w:rPr>
        <w:t xml:space="preserve">  </w:t>
      </w:r>
    </w:p>
    <w:p w14:paraId="047B1EB5" w14:textId="77777777" w:rsidR="00D73F6A" w:rsidRPr="00BF2DE4" w:rsidRDefault="00D73F6A" w:rsidP="00D73F6A">
      <w:pPr>
        <w:rPr>
          <w:rFonts w:ascii="Calibri" w:hAnsi="Calibri" w:cs="Calibri"/>
          <w:b/>
          <w:color w:val="404040"/>
          <w:szCs w:val="20"/>
        </w:rPr>
      </w:pPr>
      <w:r w:rsidRPr="00BF2DE4">
        <w:rPr>
          <w:rFonts w:ascii="Calibri" w:hAnsi="Calibri" w:cs="Calibri"/>
          <w:b/>
          <w:color w:val="404040"/>
          <w:szCs w:val="20"/>
        </w:rPr>
        <w:t>EVALUATE THE CITY’S PROGRESS IN MEETING ITS SPECIFFIC OBJECTIVES FOR REDUCING AND ENDING HOMELESSNESS THROUGH THE FOLLOWING:</w:t>
      </w:r>
    </w:p>
    <w:p w14:paraId="0255C9F1" w14:textId="77777777" w:rsidR="00D73F6A" w:rsidRPr="00BF2DE4" w:rsidRDefault="00D73F6A" w:rsidP="00D73F6A">
      <w:pPr>
        <w:rPr>
          <w:rFonts w:ascii="Calibri" w:hAnsi="Calibri" w:cs="Calibri"/>
          <w:b/>
          <w:color w:val="404040"/>
          <w:szCs w:val="20"/>
        </w:rPr>
      </w:pPr>
    </w:p>
    <w:p w14:paraId="3030E144" w14:textId="77777777" w:rsidR="00D73F6A" w:rsidRPr="00BF2DE4" w:rsidRDefault="00D73F6A" w:rsidP="00D73F6A">
      <w:pPr>
        <w:spacing w:line="360" w:lineRule="auto"/>
        <w:rPr>
          <w:rFonts w:ascii="Calibri" w:hAnsi="Calibri" w:cs="Calibri"/>
          <w:b/>
          <w:color w:val="404040"/>
          <w:szCs w:val="20"/>
        </w:rPr>
      </w:pPr>
      <w:r w:rsidRPr="00BF2DE4">
        <w:rPr>
          <w:rFonts w:ascii="Calibri" w:hAnsi="Calibri" w:cs="Calibri"/>
          <w:b/>
          <w:color w:val="404040"/>
          <w:szCs w:val="20"/>
        </w:rPr>
        <w:t>How is the City reaching out to homeless persons (especially unsheltered persons) and assessing their individual needs?</w:t>
      </w:r>
    </w:p>
    <w:p w14:paraId="5E3EC8D1" w14:textId="77777777" w:rsidR="00D73F6A" w:rsidRDefault="00D73F6A" w:rsidP="00D73F6A">
      <w:pPr>
        <w:spacing w:line="360" w:lineRule="auto"/>
        <w:rPr>
          <w:rFonts w:ascii="Calibri" w:hAnsi="Calibri" w:cs="Calibri"/>
          <w:color w:val="404040"/>
          <w:szCs w:val="20"/>
        </w:rPr>
      </w:pPr>
      <w:r>
        <w:rPr>
          <w:rFonts w:ascii="Calibri" w:hAnsi="Calibri" w:cs="Calibri"/>
          <w:color w:val="404040"/>
          <w:szCs w:val="20"/>
        </w:rPr>
        <w:t>Over the last year, Salt Lake City has participated in a statewide effort to improve services provided to those experiencing homelessness. The City is committed to working alongside community partners to provide both sheltered and unsheltered individual with the basic resources needed to transition individuals from homelessness to stable housing and self-sufficiency. The State of Utah’s Annual Point in Time count provides data that is utilized to assess the current state of homelessness and evaluate the impact of current and proposed projects that serve this vulnerable population.</w:t>
      </w:r>
    </w:p>
    <w:p w14:paraId="29AAE5F9" w14:textId="77777777" w:rsidR="00D73F6A" w:rsidRDefault="00D73F6A" w:rsidP="00D73F6A">
      <w:pPr>
        <w:spacing w:line="360" w:lineRule="auto"/>
        <w:rPr>
          <w:rFonts w:ascii="Calibri" w:hAnsi="Calibri" w:cs="Calibri"/>
          <w:color w:val="404040"/>
          <w:szCs w:val="20"/>
        </w:rPr>
      </w:pPr>
    </w:p>
    <w:p w14:paraId="1C455874" w14:textId="77777777" w:rsidR="00D73F6A" w:rsidRDefault="00D73F6A" w:rsidP="00D73F6A">
      <w:pPr>
        <w:spacing w:line="360" w:lineRule="auto"/>
        <w:rPr>
          <w:rFonts w:ascii="Calibri" w:hAnsi="Calibri" w:cs="Calibri"/>
          <w:color w:val="404040"/>
          <w:szCs w:val="20"/>
        </w:rPr>
      </w:pPr>
      <w:r>
        <w:rPr>
          <w:rFonts w:ascii="Calibri" w:hAnsi="Calibri" w:cs="Calibri"/>
          <w:color w:val="404040"/>
          <w:szCs w:val="20"/>
        </w:rPr>
        <w:t>During the program year, Salt Lake City funded multiple programs serving homeless persons outside of emergency shelter to ensure that all citizens, including unsheltered persons, had access to critical resources. One of these programs was a dental service program for individuals experiencing homelessness. Individuals experiencing homelessness were able to access free dental services, including cleanings, restorations, and preventative care education. During assessment, intake workers coordinate with other agencies to determine eligibility and refer clients to other local service providers for necessary services. Another program provided medical outreach to assess the health needs of unsheltered persons and recommend additional services to enhance the well-being of this population.</w:t>
      </w:r>
    </w:p>
    <w:p w14:paraId="2B5F0932" w14:textId="77777777" w:rsidR="00D73F6A" w:rsidRPr="00F44D45" w:rsidRDefault="00D73F6A" w:rsidP="00D73F6A">
      <w:pPr>
        <w:spacing w:line="360" w:lineRule="auto"/>
        <w:rPr>
          <w:rFonts w:ascii="Calibri" w:hAnsi="Calibri" w:cs="Calibri"/>
          <w:color w:val="404040"/>
          <w:szCs w:val="20"/>
        </w:rPr>
      </w:pPr>
      <w:r>
        <w:rPr>
          <w:rFonts w:ascii="Calibri" w:hAnsi="Calibri" w:cs="Calibri"/>
          <w:color w:val="404040"/>
          <w:szCs w:val="20"/>
        </w:rPr>
        <w:t xml:space="preserve"> </w:t>
      </w:r>
    </w:p>
    <w:p w14:paraId="77F09FB3" w14:textId="77777777" w:rsidR="00D73F6A" w:rsidRPr="00BF2DE4" w:rsidRDefault="00D73F6A" w:rsidP="00D73F6A">
      <w:pPr>
        <w:spacing w:line="360" w:lineRule="auto"/>
        <w:rPr>
          <w:rFonts w:ascii="Calibri" w:hAnsi="Calibri" w:cs="Calibri"/>
          <w:b/>
          <w:color w:val="404040"/>
          <w:szCs w:val="20"/>
        </w:rPr>
      </w:pPr>
      <w:r w:rsidRPr="00BF2DE4">
        <w:rPr>
          <w:rFonts w:ascii="Calibri" w:hAnsi="Calibri" w:cs="Calibri"/>
          <w:b/>
          <w:color w:val="404040"/>
          <w:szCs w:val="20"/>
        </w:rPr>
        <w:t>How is the City addressing the emergency shelter and transitional housing needs of homeless persons?</w:t>
      </w:r>
    </w:p>
    <w:p w14:paraId="652B7C61" w14:textId="77777777" w:rsidR="00D73F6A" w:rsidRDefault="00D73F6A" w:rsidP="00D73F6A">
      <w:pPr>
        <w:spacing w:line="360" w:lineRule="auto"/>
        <w:rPr>
          <w:rFonts w:ascii="Calibri" w:hAnsi="Calibri" w:cs="Calibri"/>
          <w:color w:val="404040"/>
          <w:szCs w:val="20"/>
        </w:rPr>
      </w:pPr>
      <w:r>
        <w:rPr>
          <w:rFonts w:ascii="Calibri" w:hAnsi="Calibri" w:cs="Calibri"/>
          <w:color w:val="404040"/>
          <w:szCs w:val="20"/>
        </w:rPr>
        <w:t xml:space="preserve">Individuals and families experiencing homelessness have a variety of needs at different stages of their homeless experience. The City utilizes federal funding to support emergency shelter programs that give households immediate access to supportive services and provide temporary shelter from the elements. Transitional housing programs operated within the community provide housing for up to 24 months that is coupled with case management and other supportive services that are necessary to establish a more permanent housing situation. </w:t>
      </w:r>
    </w:p>
    <w:p w14:paraId="504F73DF" w14:textId="77777777" w:rsidR="00D73F6A" w:rsidRDefault="00D73F6A" w:rsidP="00D73F6A">
      <w:pPr>
        <w:spacing w:line="360" w:lineRule="auto"/>
        <w:rPr>
          <w:rFonts w:ascii="Calibri" w:hAnsi="Calibri" w:cs="Calibri"/>
          <w:color w:val="404040"/>
          <w:szCs w:val="20"/>
        </w:rPr>
      </w:pPr>
    </w:p>
    <w:p w14:paraId="131D1BAA" w14:textId="77777777" w:rsidR="00D73F6A" w:rsidRDefault="00D73F6A" w:rsidP="00D73F6A">
      <w:pPr>
        <w:spacing w:line="360" w:lineRule="auto"/>
        <w:rPr>
          <w:rFonts w:ascii="Calibri" w:hAnsi="Calibri" w:cs="Calibri"/>
          <w:color w:val="404040"/>
          <w:szCs w:val="20"/>
        </w:rPr>
      </w:pPr>
      <w:r>
        <w:rPr>
          <w:rFonts w:ascii="Calibri" w:hAnsi="Calibri" w:cs="Calibri"/>
          <w:color w:val="404040"/>
          <w:szCs w:val="20"/>
        </w:rPr>
        <w:t xml:space="preserve">ESG, HOME, and HOPWA federal grant funding is provided to local nonprofit agencies that specialize in providing housing assistance and supportive services that help households exit homelessness and enter housing stability. During the program year, the City provided federal funding support to multiple emergency shelter providers. ESG funding supported operations at the Youth Resource Center operated by Volunteers of America, Utah; this location provides emergency shelter, education and employment services, and case management to homeless street youths ages 15-24. This resource center is a critical piece of the homeless service continuum in Salt Lake City, as homeless youth under 18 are unable to access other emergency shelters due to state law. Additionally, the City supports programs that address the emergency shelter and housing needs of homeless persons through City general funds. </w:t>
      </w:r>
    </w:p>
    <w:p w14:paraId="5EBB0094" w14:textId="77777777" w:rsidR="00D73F6A" w:rsidRDefault="00D73F6A" w:rsidP="00D73F6A">
      <w:pPr>
        <w:spacing w:line="360" w:lineRule="auto"/>
        <w:rPr>
          <w:rFonts w:ascii="Calibri" w:hAnsi="Calibri" w:cs="Calibri"/>
          <w:color w:val="404040"/>
          <w:szCs w:val="20"/>
        </w:rPr>
      </w:pPr>
    </w:p>
    <w:p w14:paraId="471213F8" w14:textId="77777777" w:rsidR="00D73F6A" w:rsidRDefault="00D73F6A" w:rsidP="00D73F6A">
      <w:pPr>
        <w:spacing w:line="360" w:lineRule="auto"/>
        <w:rPr>
          <w:rFonts w:ascii="Calibri" w:hAnsi="Calibri" w:cs="Calibri"/>
          <w:color w:val="404040"/>
          <w:szCs w:val="20"/>
        </w:rPr>
      </w:pPr>
      <w:r>
        <w:rPr>
          <w:rFonts w:ascii="Calibri" w:hAnsi="Calibri" w:cs="Calibri"/>
          <w:color w:val="404040"/>
          <w:szCs w:val="20"/>
        </w:rPr>
        <w:t xml:space="preserve">Over the last year, the City has participated in a statewide evaluation of the current emergency shelter model in Salt Lake and received valuable input from the community, including service providers, citizens, and households experiencing in homeless. New homeless resource centers are under construction and requests for proposals for operating these centers have been completed by a nonprofit agency. As the emergency shelter model transitions over the next two years, the City will be evaluating outcomes and gathering additional community input on determining how to best support the new facilities. </w:t>
      </w:r>
    </w:p>
    <w:p w14:paraId="1B94E1A5" w14:textId="77777777" w:rsidR="00D73F6A" w:rsidRPr="008C02C9" w:rsidRDefault="00D73F6A" w:rsidP="00D73F6A">
      <w:pPr>
        <w:spacing w:line="360" w:lineRule="auto"/>
        <w:rPr>
          <w:rFonts w:ascii="Calibri" w:hAnsi="Calibri" w:cs="Calibri"/>
          <w:color w:val="404040"/>
          <w:szCs w:val="20"/>
        </w:rPr>
      </w:pPr>
    </w:p>
    <w:p w14:paraId="39A13488" w14:textId="77777777" w:rsidR="00D73F6A" w:rsidRPr="00BF2DE4" w:rsidRDefault="00D73F6A" w:rsidP="00D73F6A">
      <w:pPr>
        <w:spacing w:line="360" w:lineRule="auto"/>
        <w:rPr>
          <w:rFonts w:ascii="Calibri" w:hAnsi="Calibri" w:cs="Calibri"/>
          <w:b/>
          <w:color w:val="404040"/>
          <w:szCs w:val="20"/>
        </w:rPr>
      </w:pPr>
      <w:r w:rsidRPr="00BF2DE4">
        <w:rPr>
          <w:rFonts w:ascii="Calibri" w:hAnsi="Calibri" w:cs="Calibri"/>
          <w:b/>
          <w:color w:val="404040"/>
          <w:szCs w:val="20"/>
        </w:rPr>
        <w:t>How is the City helping low-income individuals and families avoid becoming homeless, especially extremely low-income individuals and families and those who are likely to become homeless after being discharged from publicly funded institutions and systems of care (such as health care facilities, mental health facilities, foster care and other youth facilities, and corrections programs and institutions); and, receiving assistance from public or private agencies that address housing, health, social services, employment, education or youth needs?</w:t>
      </w:r>
    </w:p>
    <w:p w14:paraId="78692B15" w14:textId="77777777" w:rsidR="00D73F6A" w:rsidRDefault="00D73F6A" w:rsidP="00D73F6A">
      <w:pPr>
        <w:spacing w:line="360" w:lineRule="auto"/>
        <w:rPr>
          <w:rFonts w:ascii="Calibri" w:hAnsi="Calibri" w:cs="Calibri"/>
          <w:color w:val="404040"/>
          <w:szCs w:val="20"/>
        </w:rPr>
      </w:pPr>
    </w:p>
    <w:p w14:paraId="75A6B11F" w14:textId="6D5F5363" w:rsidR="00D73F6A" w:rsidRDefault="00D73F6A" w:rsidP="00D73F6A">
      <w:pPr>
        <w:spacing w:line="360" w:lineRule="auto"/>
        <w:rPr>
          <w:rFonts w:ascii="Calibri" w:hAnsi="Calibri" w:cs="Calibri"/>
          <w:color w:val="404040"/>
          <w:szCs w:val="20"/>
        </w:rPr>
      </w:pPr>
      <w:r>
        <w:rPr>
          <w:rFonts w:ascii="Calibri" w:hAnsi="Calibri" w:cs="Calibri"/>
          <w:color w:val="404040"/>
          <w:szCs w:val="20"/>
        </w:rPr>
        <w:t xml:space="preserve">The City works with participating agencies in the Salt Lake County Continuum of Care to divert families and individuals from entering the homeless service system and prevent households at imminent risk of homelessness from losing housing stability. The City regularly participates in meetings with other service providers and partners to discuss individuals being discharged from publicly funded institutions to coordinate housing options available immediately upon release. Agencies such </w:t>
      </w:r>
      <w:r w:rsidR="002E4FAA">
        <w:rPr>
          <w:rFonts w:ascii="Calibri" w:hAnsi="Calibri" w:cs="Calibri"/>
          <w:color w:val="404040"/>
          <w:szCs w:val="20"/>
        </w:rPr>
        <w:t>as Utah Community Action</w:t>
      </w:r>
      <w:r>
        <w:rPr>
          <w:rFonts w:ascii="Calibri" w:hAnsi="Calibri" w:cs="Calibri"/>
          <w:color w:val="404040"/>
          <w:szCs w:val="20"/>
        </w:rPr>
        <w:t xml:space="preserve"> and The Road Home provide funding to stabilize families and veterans who are at imminent risk for homelessness. Prevention and diversion staff, funded by </w:t>
      </w:r>
      <w:r w:rsidR="00DD50F1">
        <w:rPr>
          <w:rFonts w:ascii="Calibri" w:hAnsi="Calibri" w:cs="Calibri"/>
          <w:color w:val="404040"/>
          <w:szCs w:val="20"/>
        </w:rPr>
        <w:t>Salt Lake County</w:t>
      </w:r>
      <w:r>
        <w:rPr>
          <w:rFonts w:ascii="Calibri" w:hAnsi="Calibri" w:cs="Calibri"/>
          <w:color w:val="404040"/>
          <w:szCs w:val="20"/>
        </w:rPr>
        <w:t xml:space="preserve"> and the State of Utah, are present at emergency shelters and in close contact with other public agencies to help households avoid experiencing homelessness. </w:t>
      </w:r>
    </w:p>
    <w:p w14:paraId="16E5F311" w14:textId="77777777" w:rsidR="00D73F6A" w:rsidRDefault="00D73F6A" w:rsidP="00D73F6A">
      <w:pPr>
        <w:spacing w:line="360" w:lineRule="auto"/>
        <w:rPr>
          <w:rFonts w:ascii="Calibri" w:hAnsi="Calibri" w:cs="Calibri"/>
          <w:b/>
          <w:color w:val="404040"/>
          <w:szCs w:val="20"/>
        </w:rPr>
      </w:pPr>
    </w:p>
    <w:p w14:paraId="0EAA8FF2" w14:textId="77777777" w:rsidR="00D73F6A" w:rsidRPr="00BF2DE4" w:rsidRDefault="00D73F6A" w:rsidP="00D73F6A">
      <w:pPr>
        <w:spacing w:line="360" w:lineRule="auto"/>
        <w:rPr>
          <w:rFonts w:ascii="Calibri" w:hAnsi="Calibri" w:cs="Calibri"/>
          <w:b/>
          <w:color w:val="404040"/>
          <w:szCs w:val="20"/>
        </w:rPr>
      </w:pPr>
      <w:r w:rsidRPr="00BF2DE4">
        <w:rPr>
          <w:rFonts w:ascii="Calibri" w:hAnsi="Calibri" w:cs="Calibri"/>
          <w:b/>
          <w:color w:val="404040"/>
          <w:szCs w:val="20"/>
        </w:rPr>
        <w:t>How is the City 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14:paraId="4060F64E" w14:textId="77777777" w:rsidR="00D73F6A" w:rsidRPr="00BF2DE4" w:rsidRDefault="00D73F6A" w:rsidP="00D73F6A">
      <w:pPr>
        <w:rPr>
          <w:rFonts w:asciiTheme="minorHAnsi" w:hAnsiTheme="minorHAnsi"/>
          <w:szCs w:val="20"/>
        </w:rPr>
      </w:pPr>
    </w:p>
    <w:p w14:paraId="62D5DB6F" w14:textId="77777777" w:rsidR="00D73F6A" w:rsidRDefault="00D73F6A" w:rsidP="00D73F6A">
      <w:pPr>
        <w:spacing w:line="360" w:lineRule="auto"/>
        <w:rPr>
          <w:rFonts w:ascii="Calibri" w:hAnsi="Calibri" w:cs="Calibri"/>
          <w:color w:val="404040"/>
          <w:szCs w:val="20"/>
        </w:rPr>
      </w:pPr>
      <w:r>
        <w:rPr>
          <w:rFonts w:ascii="Calibri" w:hAnsi="Calibri" w:cs="Calibri"/>
          <w:color w:val="404040"/>
          <w:szCs w:val="20"/>
        </w:rPr>
        <w:t xml:space="preserve">Salt Lake City, along with its service partners, work with individuals experiencing homelessness to assist them with transitioning from living on the streets or in emergency shelter to permanent housing and self-sufficiency. To that end, the City works with local developers to prioritize housing projects with units that are affordable. The mayor and city council have supported City efforts to make affordable housing more attractive to developers through fee waivers and deferred loan payments. </w:t>
      </w:r>
    </w:p>
    <w:p w14:paraId="41502E01" w14:textId="77777777" w:rsidR="00D73F6A" w:rsidRDefault="00D73F6A" w:rsidP="00D73F6A">
      <w:pPr>
        <w:spacing w:line="360" w:lineRule="auto"/>
        <w:rPr>
          <w:rFonts w:ascii="Calibri" w:hAnsi="Calibri" w:cs="Calibri"/>
          <w:color w:val="404040"/>
          <w:szCs w:val="20"/>
        </w:rPr>
      </w:pPr>
    </w:p>
    <w:p w14:paraId="3C01BFCB" w14:textId="75399281" w:rsidR="00D73F6A" w:rsidRPr="00955F80" w:rsidRDefault="00D73F6A" w:rsidP="00D73F6A">
      <w:pPr>
        <w:spacing w:line="360" w:lineRule="auto"/>
        <w:rPr>
          <w:rFonts w:ascii="Calibri" w:hAnsi="Calibri" w:cs="Calibri"/>
          <w:color w:val="404040"/>
          <w:szCs w:val="20"/>
        </w:rPr>
      </w:pPr>
      <w:r>
        <w:rPr>
          <w:rFonts w:ascii="Calibri" w:hAnsi="Calibri" w:cs="Calibri"/>
          <w:color w:val="404040"/>
          <w:szCs w:val="20"/>
        </w:rPr>
        <w:t xml:space="preserve">Last program year, HAND developed </w:t>
      </w:r>
      <w:r w:rsidR="002E4FAA">
        <w:rPr>
          <w:rFonts w:ascii="Calibri" w:hAnsi="Calibri" w:cs="Calibri"/>
          <w:color w:val="404040"/>
          <w:szCs w:val="20"/>
        </w:rPr>
        <w:t>a new affordable housing</w:t>
      </w:r>
      <w:r>
        <w:rPr>
          <w:rFonts w:ascii="Calibri" w:hAnsi="Calibri" w:cs="Calibri"/>
          <w:color w:val="404040"/>
          <w:szCs w:val="20"/>
        </w:rPr>
        <w:t xml:space="preserve"> plan,</w:t>
      </w:r>
      <w:r w:rsidR="002E4FAA">
        <w:rPr>
          <w:rFonts w:ascii="Calibri" w:hAnsi="Calibri" w:cs="Calibri"/>
          <w:color w:val="404040"/>
          <w:szCs w:val="20"/>
        </w:rPr>
        <w:t xml:space="preserve"> </w:t>
      </w:r>
      <w:r w:rsidR="002E4FAA">
        <w:rPr>
          <w:rFonts w:ascii="Calibri" w:hAnsi="Calibri" w:cs="Calibri"/>
          <w:i/>
          <w:color w:val="404040"/>
          <w:szCs w:val="20"/>
        </w:rPr>
        <w:t>Growing SLC</w:t>
      </w:r>
      <w:r w:rsidR="002E4FAA">
        <w:rPr>
          <w:rFonts w:ascii="Calibri" w:hAnsi="Calibri" w:cs="Calibri"/>
          <w:color w:val="404040"/>
          <w:szCs w:val="20"/>
        </w:rPr>
        <w:t>,</w:t>
      </w:r>
      <w:r>
        <w:rPr>
          <w:rFonts w:ascii="Calibri" w:hAnsi="Calibri" w:cs="Calibri"/>
          <w:color w:val="404040"/>
          <w:szCs w:val="20"/>
        </w:rPr>
        <w:t xml:space="preserve"> which was the first comprehensive, citywide housing plan in Salt Lake in nearly two decades. This plan has guided staff in conversations regarding the creation of new tools to build affordable units. The City released a Renovation Pilot Program at the end of the program year; this program was created to ensure that currently existing affordable units are preserved and not lost to market rate increases. The program emphasized the need for rehabilitation of existing housing stock to ensure that affordable units are safe, decent, and structurally sound. Funding for this program will be awarded during the 2018-2019 program year. </w:t>
      </w:r>
    </w:p>
    <w:p w14:paraId="2A27AA03" w14:textId="77777777" w:rsidR="00D73F6A" w:rsidRDefault="00D73F6A" w:rsidP="00D73F6A"/>
    <w:p w14:paraId="2CD28E56" w14:textId="75BEAF87" w:rsidR="00C91F30" w:rsidRPr="00BF2DE4" w:rsidRDefault="004D6FD3" w:rsidP="00C91F30">
      <w:pPr>
        <w:rPr>
          <w:rFonts w:ascii="Calibri" w:hAnsi="Calibri" w:cs="Calibri"/>
          <w:i/>
          <w:color w:val="FF0000"/>
          <w:sz w:val="18"/>
          <w:szCs w:val="18"/>
        </w:rPr>
      </w:pPr>
      <w:r>
        <w:rPr>
          <w:rFonts w:asciiTheme="minorHAnsi" w:hAnsiTheme="minorHAnsi" w:cstheme="minorHAnsi"/>
          <w:b/>
          <w:color w:val="FF0000"/>
          <w:szCs w:val="20"/>
        </w:rPr>
        <w:br w:type="page"/>
      </w:r>
      <w:r w:rsidRPr="00C91F30">
        <w:rPr>
          <w:rFonts w:asciiTheme="minorHAnsi" w:hAnsiTheme="minorHAnsi" w:cstheme="minorHAnsi"/>
          <w:noProof/>
          <w:color w:val="1F497D" w:themeColor="text2"/>
          <w:sz w:val="32"/>
        </w:rPr>
        <mc:AlternateContent>
          <mc:Choice Requires="wps">
            <w:drawing>
              <wp:anchor distT="0" distB="0" distL="114300" distR="114300" simplePos="0" relativeHeight="251741184" behindDoc="0" locked="0" layoutInCell="1" allowOverlap="1" wp14:anchorId="0833FF53" wp14:editId="4DD6C953">
                <wp:simplePos x="0" y="0"/>
                <wp:positionH relativeFrom="column">
                  <wp:posOffset>-190500</wp:posOffset>
                </wp:positionH>
                <wp:positionV relativeFrom="paragraph">
                  <wp:posOffset>-38100</wp:posOffset>
                </wp:positionV>
                <wp:extent cx="6779895" cy="635"/>
                <wp:effectExtent l="9525" t="9525" r="11430" b="8890"/>
                <wp:wrapNone/>
                <wp:docPr id="4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989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4A444F" id="AutoShape 15" o:spid="_x0000_s1026" type="#_x0000_t32" style="position:absolute;margin-left:-15pt;margin-top:-3pt;width:533.85pt;height:.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" strokecolor="#548dd4"/>
            </w:pict>
          </mc:Fallback>
        </mc:AlternateContent>
      </w:r>
      <w:r w:rsidR="00C91F30" w:rsidRPr="00C91F30">
        <w:rPr>
          <w:rFonts w:ascii="Calibri" w:hAnsi="Calibri" w:cs="Calibri"/>
          <w:b/>
          <w:color w:val="1F497D"/>
          <w:sz w:val="24"/>
        </w:rPr>
        <w:t xml:space="preserve"> CR-30 PUBLIC HOUSING </w:t>
      </w:r>
      <w:r w:rsidR="00C91F30" w:rsidRPr="00BF2DE4">
        <w:rPr>
          <w:rFonts w:ascii="Calibri" w:hAnsi="Calibri" w:cs="Calibri"/>
          <w:i/>
          <w:color w:val="1F497D"/>
          <w:sz w:val="18"/>
          <w:szCs w:val="18"/>
        </w:rPr>
        <w:t xml:space="preserve">– 91.220 (h); 91.320(j) </w:t>
      </w:r>
    </w:p>
    <w:p w14:paraId="24AB43F3" w14:textId="77777777" w:rsidR="00C91F30" w:rsidRPr="00BF2DE4" w:rsidRDefault="00C91F30" w:rsidP="00C91F30">
      <w:pPr>
        <w:spacing w:line="276" w:lineRule="auto"/>
        <w:ind w:right="360"/>
        <w:rPr>
          <w:rFonts w:ascii="Calibri" w:hAnsi="Calibri" w:cs="Calibri"/>
          <w:b/>
          <w:color w:val="FF0000"/>
          <w:szCs w:val="20"/>
        </w:rPr>
      </w:pPr>
    </w:p>
    <w:p w14:paraId="595A786C" w14:textId="77777777" w:rsidR="00C91F30" w:rsidRDefault="00C91F30" w:rsidP="00C91F30">
      <w:pPr>
        <w:spacing w:line="360" w:lineRule="auto"/>
        <w:ind w:right="360"/>
        <w:rPr>
          <w:rFonts w:ascii="Calibri" w:hAnsi="Calibri" w:cs="Calibri"/>
          <w:b/>
          <w:color w:val="404040"/>
          <w:szCs w:val="20"/>
        </w:rPr>
      </w:pPr>
      <w:r w:rsidRPr="00BF2DE4">
        <w:rPr>
          <w:rFonts w:ascii="Calibri" w:hAnsi="Calibri" w:cs="Calibri"/>
          <w:b/>
          <w:color w:val="404040"/>
          <w:szCs w:val="20"/>
        </w:rPr>
        <w:t xml:space="preserve">Actions taken to address the needs of public housing </w:t>
      </w:r>
    </w:p>
    <w:p w14:paraId="7ECABB72" w14:textId="77777777" w:rsidR="00C91F30" w:rsidRDefault="00C91F30" w:rsidP="00C91F30">
      <w:pPr>
        <w:spacing w:line="360" w:lineRule="auto"/>
        <w:ind w:right="360"/>
        <w:rPr>
          <w:rFonts w:ascii="Calibri" w:hAnsi="Calibri" w:cs="Calibri"/>
          <w:color w:val="404040"/>
          <w:szCs w:val="20"/>
        </w:rPr>
      </w:pPr>
      <w:r>
        <w:rPr>
          <w:rFonts w:ascii="Calibri" w:hAnsi="Calibri" w:cs="Calibri"/>
          <w:color w:val="404040"/>
          <w:szCs w:val="20"/>
        </w:rPr>
        <w:t xml:space="preserve">The Housing Authority of Salt Lake City (HASLC) is the responsible agency for administering housing choice voucher programs, managing public housing, and developing and preserving affordable housing units with Salt Lake City. The mission of the HASLC is to provide rent subsidies and promote affordable housing for low-income persons residing within Salt Lake City. The HASLC currently manages an inventory of 389 public housing units designated for low-income seniors and people with disabilities. </w:t>
      </w:r>
    </w:p>
    <w:p w14:paraId="4285FA0D" w14:textId="77777777" w:rsidR="00C91F30" w:rsidRDefault="00C91F30" w:rsidP="00C91F30">
      <w:pPr>
        <w:spacing w:line="360" w:lineRule="auto"/>
        <w:ind w:right="360"/>
        <w:rPr>
          <w:rFonts w:ascii="Calibri" w:hAnsi="Calibri" w:cs="Calibri"/>
          <w:color w:val="404040"/>
          <w:szCs w:val="20"/>
        </w:rPr>
      </w:pPr>
    </w:p>
    <w:p w14:paraId="28D6A575" w14:textId="3A4D4DA7" w:rsidR="00C91F30" w:rsidRDefault="00C91F30" w:rsidP="00C91F30">
      <w:pPr>
        <w:spacing w:line="360" w:lineRule="auto"/>
        <w:ind w:right="360"/>
        <w:rPr>
          <w:rFonts w:ascii="Calibri" w:hAnsi="Calibri" w:cs="Calibri"/>
          <w:color w:val="404040"/>
          <w:szCs w:val="20"/>
        </w:rPr>
      </w:pPr>
      <w:r>
        <w:rPr>
          <w:rFonts w:ascii="Calibri" w:hAnsi="Calibri" w:cs="Calibri"/>
          <w:color w:val="404040"/>
          <w:szCs w:val="20"/>
        </w:rPr>
        <w:t xml:space="preserve">The HASLC manages multiple voucher programs that provide housing subsidies to a variety of low-income populations, including veterans, victims of domestic violence, and chronically homeless individuals. The HASLC administers the </w:t>
      </w:r>
      <w:r w:rsidR="00BA34F6">
        <w:rPr>
          <w:rFonts w:ascii="Calibri" w:hAnsi="Calibri" w:cs="Calibri"/>
          <w:color w:val="404040"/>
          <w:szCs w:val="20"/>
        </w:rPr>
        <w:t>Housing Choice Voucher</w:t>
      </w:r>
      <w:r>
        <w:rPr>
          <w:rFonts w:ascii="Calibri" w:hAnsi="Calibri" w:cs="Calibri"/>
          <w:color w:val="404040"/>
          <w:szCs w:val="20"/>
        </w:rPr>
        <w:t xml:space="preserve"> program within City boundaries, which provides rental assistance to households at or below 50% of AMI. Approximately 2,800 low-income families, individuals with disabilities, elderly persons, and chronically homeless individuals benefit from this program. Other housing choice voucher programs administered by the HASLC include Veterans Affairs Suppor</w:t>
      </w:r>
      <w:r w:rsidR="002E4FAA">
        <w:rPr>
          <w:rFonts w:ascii="Calibri" w:hAnsi="Calibri" w:cs="Calibri"/>
          <w:color w:val="404040"/>
          <w:szCs w:val="20"/>
        </w:rPr>
        <w:t>tive Housing Vouchers, Shelter P</w:t>
      </w:r>
      <w:r>
        <w:rPr>
          <w:rFonts w:ascii="Calibri" w:hAnsi="Calibri" w:cs="Calibri"/>
          <w:color w:val="404040"/>
          <w:szCs w:val="20"/>
        </w:rPr>
        <w:t xml:space="preserve">lus Care Vouchers, Section 8 Moderate Rehabilitation, and Multifamily Project Based Vouchers. </w:t>
      </w:r>
      <w:r w:rsidR="00BA34F6">
        <w:rPr>
          <w:rFonts w:ascii="Calibri" w:hAnsi="Calibri" w:cs="Calibri"/>
          <w:color w:val="404040"/>
          <w:szCs w:val="20"/>
        </w:rPr>
        <w:t xml:space="preserve">HASCL has also partnered with GIV to begin development of a new 100 unit PSH project, Pamela’s Place. </w:t>
      </w:r>
    </w:p>
    <w:p w14:paraId="4D964016" w14:textId="77777777" w:rsidR="00C91F30" w:rsidRPr="00592656" w:rsidRDefault="00C91F30" w:rsidP="00C91F30">
      <w:pPr>
        <w:spacing w:line="360" w:lineRule="auto"/>
        <w:ind w:right="360"/>
        <w:rPr>
          <w:rFonts w:ascii="Calibri" w:hAnsi="Calibri" w:cs="Calibri"/>
          <w:color w:val="404040"/>
          <w:szCs w:val="20"/>
        </w:rPr>
      </w:pPr>
    </w:p>
    <w:p w14:paraId="182569E1" w14:textId="1F542035" w:rsidR="00C91F30" w:rsidRDefault="00C91F30" w:rsidP="00C91F30">
      <w:pPr>
        <w:spacing w:line="360" w:lineRule="auto"/>
        <w:ind w:right="360"/>
        <w:rPr>
          <w:rFonts w:ascii="Calibri" w:hAnsi="Calibri" w:cs="Calibri"/>
          <w:color w:val="404040"/>
          <w:szCs w:val="20"/>
        </w:rPr>
      </w:pPr>
      <w:r>
        <w:rPr>
          <w:rFonts w:ascii="Calibri" w:hAnsi="Calibri" w:cs="Calibri"/>
          <w:color w:val="404040"/>
          <w:szCs w:val="20"/>
        </w:rPr>
        <w:t xml:space="preserve">Additionally, the HASLC has heavily pursued funding opportunities for new affordable housing developments over the past year. Projects currently in development include a permanent supportive housing complex with an onsite clinic and 100 units for chronically homeless individuals, a unique housing complex of 54 units created in partnership with the Urban Indian Center, a local nonprofit, designed to </w:t>
      </w:r>
      <w:r w:rsidR="00BA34F6">
        <w:rPr>
          <w:rFonts w:ascii="Calibri" w:hAnsi="Calibri" w:cs="Calibri"/>
          <w:color w:val="404040"/>
          <w:szCs w:val="20"/>
        </w:rPr>
        <w:t>target the unique needs of</w:t>
      </w:r>
      <w:r>
        <w:rPr>
          <w:rFonts w:ascii="Calibri" w:hAnsi="Calibri" w:cs="Calibri"/>
          <w:color w:val="404040"/>
          <w:szCs w:val="20"/>
        </w:rPr>
        <w:t xml:space="preserve"> the low-income Native American homeless population, and an 83 unit building, designed with the Asian Association of Utah, projected to serve homeless refugee and immigrant households. </w:t>
      </w:r>
    </w:p>
    <w:p w14:paraId="6E5BA711" w14:textId="77777777" w:rsidR="00C91F30" w:rsidRDefault="00C91F30" w:rsidP="00C91F30">
      <w:pPr>
        <w:spacing w:line="360" w:lineRule="auto"/>
        <w:ind w:right="360"/>
        <w:rPr>
          <w:rFonts w:ascii="Calibri" w:hAnsi="Calibri" w:cs="Calibri"/>
          <w:color w:val="404040"/>
          <w:szCs w:val="20"/>
        </w:rPr>
      </w:pPr>
    </w:p>
    <w:p w14:paraId="4D251835" w14:textId="77F7F3C1" w:rsidR="00C91F30" w:rsidRPr="00DD16E4" w:rsidRDefault="00C91F30" w:rsidP="00C91F30">
      <w:pPr>
        <w:spacing w:line="360" w:lineRule="auto"/>
        <w:ind w:right="360"/>
        <w:rPr>
          <w:rFonts w:ascii="Calibri" w:hAnsi="Calibri" w:cs="Calibri"/>
          <w:color w:val="404040"/>
          <w:szCs w:val="20"/>
        </w:rPr>
      </w:pPr>
      <w:r>
        <w:rPr>
          <w:rFonts w:ascii="Calibri" w:hAnsi="Calibri" w:cs="Calibri"/>
          <w:color w:val="404040"/>
          <w:szCs w:val="20"/>
        </w:rPr>
        <w:t>During the program year, the Housing Authority of the County of Salt Lake opened a 60 unit transit-oriented affordable housing complex for persons with disabilities and chronically homeless individuals. The Hou</w:t>
      </w:r>
      <w:r w:rsidR="00BA34F6">
        <w:rPr>
          <w:rFonts w:ascii="Calibri" w:hAnsi="Calibri" w:cs="Calibri"/>
          <w:color w:val="404040"/>
          <w:szCs w:val="20"/>
        </w:rPr>
        <w:t>s</w:t>
      </w:r>
      <w:r>
        <w:rPr>
          <w:rFonts w:ascii="Calibri" w:hAnsi="Calibri" w:cs="Calibri"/>
          <w:color w:val="404040"/>
          <w:szCs w:val="20"/>
        </w:rPr>
        <w:t xml:space="preserve">ing Authority of the County of Salt Lake is in the process of securing funding for a 50 unit complex that will serve homeless refugee and immigrant families with larger household sizes. This project is a partnership between the County Housing Authority and the International Rescue Committee in Salt Lake City and is expected to be completed within the next three years. </w:t>
      </w:r>
    </w:p>
    <w:p w14:paraId="231E8BC9" w14:textId="77777777" w:rsidR="00C91F30" w:rsidRPr="00BF2DE4" w:rsidRDefault="00C91F30" w:rsidP="00C91F30">
      <w:pPr>
        <w:spacing w:line="360" w:lineRule="auto"/>
        <w:ind w:right="360"/>
        <w:rPr>
          <w:rFonts w:ascii="Calibri" w:hAnsi="Calibri" w:cs="Calibri"/>
          <w:b/>
          <w:color w:val="404040"/>
          <w:szCs w:val="20"/>
        </w:rPr>
      </w:pPr>
    </w:p>
    <w:p w14:paraId="65E57263" w14:textId="77777777" w:rsidR="00C91F30" w:rsidRDefault="00C91F30" w:rsidP="00C91F30">
      <w:pPr>
        <w:spacing w:line="360" w:lineRule="auto"/>
        <w:rPr>
          <w:rFonts w:ascii="Calibri" w:hAnsi="Calibri" w:cs="Arial"/>
          <w:b/>
          <w:color w:val="404040"/>
        </w:rPr>
      </w:pPr>
      <w:r w:rsidRPr="00BF2DE4">
        <w:rPr>
          <w:rFonts w:ascii="Calibri" w:hAnsi="Calibri" w:cs="Arial"/>
          <w:b/>
          <w:color w:val="404040"/>
        </w:rPr>
        <w:t>Payment in Lieu of Taxes:</w:t>
      </w:r>
    </w:p>
    <w:p w14:paraId="2E622E09" w14:textId="43C78124" w:rsidR="00C91F30" w:rsidRDefault="00C91F30" w:rsidP="00C91F30">
      <w:pPr>
        <w:spacing w:line="360" w:lineRule="auto"/>
        <w:rPr>
          <w:rFonts w:ascii="Calibri" w:hAnsi="Calibri" w:cs="Arial"/>
          <w:color w:val="404040"/>
        </w:rPr>
      </w:pPr>
      <w:r>
        <w:rPr>
          <w:rFonts w:ascii="Calibri" w:hAnsi="Calibri" w:cs="Arial"/>
          <w:color w:val="404040"/>
        </w:rPr>
        <w:t>The City provides support to the Housing Authority through the Housing Authority Payment in Lieu of Taxes (PILOT) funds it pays. This contribution supports the Homeless Programs administered by the HASLC. These programs include Sunrise Metro Apartments, a permanent supportive housing complex for chronically homele</w:t>
      </w:r>
      <w:r w:rsidR="00C618DC">
        <w:rPr>
          <w:rFonts w:ascii="Calibri" w:hAnsi="Calibri" w:cs="Arial"/>
          <w:color w:val="404040"/>
        </w:rPr>
        <w:t>ss individuals, Valor House</w:t>
      </w:r>
      <w:r>
        <w:rPr>
          <w:rFonts w:ascii="Calibri" w:hAnsi="Calibri" w:cs="Arial"/>
          <w:color w:val="404040"/>
        </w:rPr>
        <w:t xml:space="preserve">, a transitional housing complex for homeless veterans with extensive supportive services provided by the local Department of Veterans Affairs, and Freedom Landing and Cedar Crest, two properties for homeless or formerly homeless veterans. </w:t>
      </w:r>
    </w:p>
    <w:p w14:paraId="078CE298" w14:textId="77777777" w:rsidR="00C91F30" w:rsidRPr="00BF2DE4" w:rsidRDefault="00C91F30" w:rsidP="00C91F30">
      <w:pPr>
        <w:spacing w:line="360" w:lineRule="auto"/>
        <w:rPr>
          <w:rFonts w:ascii="Calibri" w:hAnsi="Calibri" w:cs="Arial"/>
          <w:color w:val="404040"/>
        </w:rPr>
      </w:pPr>
    </w:p>
    <w:p w14:paraId="42DD9418" w14:textId="77777777" w:rsidR="00C91F30" w:rsidRDefault="00C91F30" w:rsidP="00C91F30">
      <w:pPr>
        <w:spacing w:line="360" w:lineRule="auto"/>
        <w:ind w:right="360"/>
        <w:rPr>
          <w:rFonts w:ascii="Calibri" w:hAnsi="Calibri" w:cs="Arial"/>
          <w:b/>
          <w:color w:val="404040"/>
        </w:rPr>
      </w:pPr>
      <w:r w:rsidRPr="00BF2DE4">
        <w:rPr>
          <w:rFonts w:ascii="Calibri" w:hAnsi="Calibri" w:cs="Arial"/>
          <w:b/>
          <w:color w:val="404040"/>
        </w:rPr>
        <w:t xml:space="preserve">Actions taken to encourage public housing residents to become more involved in management and participate in homeownership </w:t>
      </w:r>
    </w:p>
    <w:p w14:paraId="4987435F" w14:textId="77777777" w:rsidR="00C91F30" w:rsidRDefault="00C91F30" w:rsidP="00C91F30">
      <w:pPr>
        <w:spacing w:line="360" w:lineRule="auto"/>
        <w:ind w:right="360"/>
        <w:rPr>
          <w:rFonts w:ascii="Calibri" w:hAnsi="Calibri" w:cs="Arial"/>
          <w:color w:val="404040"/>
        </w:rPr>
      </w:pPr>
      <w:r>
        <w:rPr>
          <w:rFonts w:ascii="Calibri" w:hAnsi="Calibri" w:cs="Arial"/>
          <w:color w:val="404040"/>
        </w:rPr>
        <w:t>The City and County Housing Authorities provide opportunities to tenant residents to provide feedback and suggestions to enhance how management impacts residents. Each organization has resident advisory boards for select housing projects and for the overall organization. Meetings are held on a regular basis to allow residents to describe their experiences in housing and have a healthy dialogue with management regarding unmet needs and service improvements.</w:t>
      </w:r>
    </w:p>
    <w:p w14:paraId="65306781" w14:textId="77777777" w:rsidR="00C91F30" w:rsidRDefault="00C91F30" w:rsidP="00C91F30">
      <w:pPr>
        <w:spacing w:line="360" w:lineRule="auto"/>
        <w:ind w:right="360"/>
        <w:rPr>
          <w:rFonts w:ascii="Calibri" w:hAnsi="Calibri" w:cs="Arial"/>
          <w:color w:val="404040"/>
        </w:rPr>
      </w:pPr>
    </w:p>
    <w:p w14:paraId="0CFFB175" w14:textId="77777777" w:rsidR="00C91F30" w:rsidRDefault="00C91F30" w:rsidP="00C91F30">
      <w:pPr>
        <w:spacing w:line="360" w:lineRule="auto"/>
        <w:ind w:right="360"/>
        <w:rPr>
          <w:rFonts w:ascii="Calibri" w:hAnsi="Calibri" w:cs="Arial"/>
          <w:color w:val="404040"/>
        </w:rPr>
      </w:pPr>
      <w:r>
        <w:rPr>
          <w:rFonts w:ascii="Calibri" w:hAnsi="Calibri" w:cs="Arial"/>
          <w:color w:val="404040"/>
        </w:rPr>
        <w:t>Housing case managers assess each client on an individual basis to determine the best course of action regarding the client’s housing stability. Clients who are interested in home ownership and ready to move forward with a new housing opportunity are referred to community partners who provide pre-purchase home counseling. There are multiple organizations within the City that provide such counseling and other services relevant to homeownership for low-income families, such as down payment assistance, including Community Development Corporation of Utah and Neighborworks America, Salt Lake.</w:t>
      </w:r>
    </w:p>
    <w:p w14:paraId="48479711" w14:textId="77777777" w:rsidR="00C91F30" w:rsidRPr="00BF2DE4" w:rsidRDefault="00C91F30" w:rsidP="00C91F30">
      <w:pPr>
        <w:spacing w:line="360" w:lineRule="auto"/>
        <w:ind w:right="360"/>
        <w:rPr>
          <w:rFonts w:ascii="Calibri" w:hAnsi="Calibri" w:cs="Arial"/>
          <w:color w:val="404040"/>
        </w:rPr>
      </w:pPr>
    </w:p>
    <w:p w14:paraId="7D7B3E8A" w14:textId="77777777" w:rsidR="00C91F30" w:rsidRPr="00BF2DE4" w:rsidRDefault="00C91F30" w:rsidP="00C91F30">
      <w:pPr>
        <w:spacing w:line="360" w:lineRule="auto"/>
        <w:ind w:right="360"/>
        <w:rPr>
          <w:rFonts w:ascii="Calibri" w:hAnsi="Calibri" w:cs="Calibri"/>
          <w:b/>
          <w:color w:val="404040"/>
          <w:szCs w:val="20"/>
        </w:rPr>
      </w:pPr>
      <w:r w:rsidRPr="00BF2DE4">
        <w:rPr>
          <w:rFonts w:ascii="Calibri" w:hAnsi="Calibri" w:cs="Calibri"/>
          <w:b/>
          <w:color w:val="404040"/>
          <w:szCs w:val="20"/>
        </w:rPr>
        <w:t xml:space="preserve">Actions taken to provide assistance to troubled PHA’s  </w:t>
      </w:r>
    </w:p>
    <w:p w14:paraId="7C1B2C64" w14:textId="77777777" w:rsidR="00C91F30" w:rsidRPr="00BA34F6" w:rsidRDefault="00C91F30" w:rsidP="00BA34F6">
      <w:pPr>
        <w:spacing w:line="360" w:lineRule="auto"/>
        <w:ind w:right="360"/>
        <w:rPr>
          <w:rFonts w:ascii="Calibri" w:hAnsi="Calibri" w:cs="Arial"/>
          <w:color w:val="404040"/>
        </w:rPr>
      </w:pPr>
      <w:r w:rsidRPr="00BA34F6">
        <w:rPr>
          <w:rFonts w:ascii="Calibri" w:hAnsi="Calibri" w:cs="Arial"/>
          <w:color w:val="404040"/>
        </w:rPr>
        <w:t>The City works hand in hand with the local housing authorities to provide support and align priorities to ensure funding is leveraged efficiently and services offered are not duplicative. Both the Housing Authority of Salt Lake City and the Housing Authority of Salt Lake County are designated as high performers. The Housing Authority of Salt Lake City is aggressively pursuing affordable housing development projects through City, County, and low-income housing tax credit funding. HAND will continue to partner with these organizations and collaborate on affordable housing opportunities within the community.</w:t>
      </w:r>
    </w:p>
    <w:p w14:paraId="7F5D1185" w14:textId="3969D9BA" w:rsidR="004D6FD3" w:rsidRDefault="004D6FD3" w:rsidP="00C91F30">
      <w:pPr>
        <w:rPr>
          <w:rFonts w:asciiTheme="minorHAnsi" w:hAnsiTheme="minorHAnsi" w:cstheme="minorHAnsi"/>
          <w:b/>
          <w:color w:val="FF0000"/>
          <w:szCs w:val="20"/>
        </w:rPr>
      </w:pPr>
    </w:p>
    <w:p w14:paraId="30760916" w14:textId="77777777" w:rsidR="00F7751B" w:rsidRPr="00F7751B" w:rsidRDefault="004D6FD3" w:rsidP="00DA09CA">
      <w:pPr>
        <w:spacing w:line="276" w:lineRule="auto"/>
        <w:ind w:right="360"/>
        <w:rPr>
          <w:rFonts w:asciiTheme="minorHAnsi" w:hAnsiTheme="minorHAnsi" w:cstheme="minorHAnsi"/>
          <w:i/>
          <w:color w:val="1F497D" w:themeColor="text2"/>
          <w:sz w:val="18"/>
          <w:szCs w:val="18"/>
        </w:rPr>
      </w:pPr>
      <w:r>
        <w:rPr>
          <w:rFonts w:asciiTheme="minorHAnsi" w:hAnsiTheme="minorHAnsi" w:cstheme="minorHAnsi"/>
          <w:b/>
          <w:color w:val="FF0000"/>
          <w:szCs w:val="20"/>
        </w:rPr>
        <w:br w:type="page"/>
      </w:r>
      <w:r w:rsidRPr="009629AD">
        <w:rPr>
          <w:rFonts w:asciiTheme="minorHAnsi" w:hAnsiTheme="minorHAnsi" w:cstheme="minorHAnsi"/>
          <w:noProof/>
          <w:color w:val="1F497D" w:themeColor="text2"/>
          <w:sz w:val="24"/>
        </w:rPr>
        <mc:AlternateContent>
          <mc:Choice Requires="wps">
            <w:drawing>
              <wp:anchor distT="0" distB="0" distL="114300" distR="114300" simplePos="0" relativeHeight="251743232" behindDoc="0" locked="0" layoutInCell="1" allowOverlap="1" wp14:anchorId="43F65B81" wp14:editId="5D214259">
                <wp:simplePos x="0" y="0"/>
                <wp:positionH relativeFrom="column">
                  <wp:posOffset>-190500</wp:posOffset>
                </wp:positionH>
                <wp:positionV relativeFrom="paragraph">
                  <wp:posOffset>-38100</wp:posOffset>
                </wp:positionV>
                <wp:extent cx="6779895" cy="635"/>
                <wp:effectExtent l="9525" t="9525" r="11430" b="8890"/>
                <wp:wrapNone/>
                <wp:docPr id="4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989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C0BCC" id="AutoShape 15" o:spid="_x0000_s1026" type="#_x0000_t32" style="position:absolute;margin-left:-15pt;margin-top:-3pt;width:533.85pt;height:.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" strokecolor="#548dd4"/>
            </w:pict>
          </mc:Fallback>
        </mc:AlternateContent>
      </w:r>
      <w:r w:rsidRPr="009629AD">
        <w:rPr>
          <w:rFonts w:asciiTheme="minorHAnsi" w:hAnsiTheme="minorHAnsi" w:cstheme="minorHAnsi"/>
          <w:b/>
          <w:color w:val="1F497D" w:themeColor="text2"/>
          <w:sz w:val="24"/>
        </w:rPr>
        <w:t>CR-</w:t>
      </w:r>
      <w:r>
        <w:rPr>
          <w:rFonts w:asciiTheme="minorHAnsi" w:hAnsiTheme="minorHAnsi" w:cstheme="minorHAnsi"/>
          <w:b/>
          <w:color w:val="1F497D" w:themeColor="text2"/>
          <w:sz w:val="24"/>
        </w:rPr>
        <w:t>3</w:t>
      </w:r>
      <w:r w:rsidR="00F7751B">
        <w:rPr>
          <w:rFonts w:asciiTheme="minorHAnsi" w:hAnsiTheme="minorHAnsi" w:cstheme="minorHAnsi"/>
          <w:b/>
          <w:color w:val="1F497D" w:themeColor="text2"/>
          <w:sz w:val="24"/>
        </w:rPr>
        <w:t>5</w:t>
      </w:r>
      <w:r>
        <w:rPr>
          <w:rFonts w:asciiTheme="minorHAnsi" w:hAnsiTheme="minorHAnsi" w:cstheme="minorHAnsi"/>
          <w:b/>
          <w:color w:val="1F497D" w:themeColor="text2"/>
          <w:sz w:val="24"/>
        </w:rPr>
        <w:t xml:space="preserve"> </w:t>
      </w:r>
      <w:r w:rsidR="00F7751B">
        <w:rPr>
          <w:rFonts w:asciiTheme="minorHAnsi" w:hAnsiTheme="minorHAnsi" w:cstheme="minorHAnsi"/>
          <w:b/>
          <w:color w:val="1F497D" w:themeColor="text2"/>
          <w:sz w:val="24"/>
        </w:rPr>
        <w:t xml:space="preserve">OTHER ACTIONS </w:t>
      </w:r>
      <w:r>
        <w:rPr>
          <w:rFonts w:asciiTheme="minorHAnsi" w:hAnsiTheme="minorHAnsi" w:cstheme="minorHAnsi"/>
          <w:i/>
          <w:color w:val="1F497D" w:themeColor="text2"/>
          <w:sz w:val="18"/>
          <w:szCs w:val="18"/>
        </w:rPr>
        <w:t>– 91.220 (</w:t>
      </w:r>
      <w:r w:rsidR="00F7751B">
        <w:rPr>
          <w:rFonts w:asciiTheme="minorHAnsi" w:hAnsiTheme="minorHAnsi" w:cstheme="minorHAnsi"/>
          <w:i/>
          <w:color w:val="1F497D" w:themeColor="text2"/>
          <w:sz w:val="18"/>
          <w:szCs w:val="18"/>
        </w:rPr>
        <w:t>j-k)</w:t>
      </w:r>
      <w:r>
        <w:rPr>
          <w:rFonts w:asciiTheme="minorHAnsi" w:hAnsiTheme="minorHAnsi" w:cstheme="minorHAnsi"/>
          <w:i/>
          <w:color w:val="1F497D" w:themeColor="text2"/>
          <w:sz w:val="18"/>
          <w:szCs w:val="18"/>
        </w:rPr>
        <w:t>; 91.320(</w:t>
      </w:r>
      <w:r w:rsidR="00F7751B">
        <w:rPr>
          <w:rFonts w:asciiTheme="minorHAnsi" w:hAnsiTheme="minorHAnsi" w:cstheme="minorHAnsi"/>
          <w:i/>
          <w:color w:val="1F497D" w:themeColor="text2"/>
          <w:sz w:val="18"/>
          <w:szCs w:val="18"/>
        </w:rPr>
        <w:t>i-</w:t>
      </w:r>
      <w:r>
        <w:rPr>
          <w:rFonts w:asciiTheme="minorHAnsi" w:hAnsiTheme="minorHAnsi" w:cstheme="minorHAnsi"/>
          <w:i/>
          <w:color w:val="1F497D" w:themeColor="text2"/>
          <w:sz w:val="18"/>
          <w:szCs w:val="18"/>
        </w:rPr>
        <w:t>j)</w:t>
      </w:r>
    </w:p>
    <w:p w14:paraId="546F4B03" w14:textId="77777777" w:rsidR="00C91F30" w:rsidRPr="00C91F30" w:rsidRDefault="00C91F30" w:rsidP="00C91F30">
      <w:pPr>
        <w:spacing w:line="360" w:lineRule="auto"/>
        <w:ind w:right="360"/>
        <w:rPr>
          <w:rFonts w:ascii="Calibri" w:hAnsi="Calibri" w:cs="Calibri"/>
          <w:b/>
          <w:color w:val="404040"/>
          <w:szCs w:val="20"/>
        </w:rPr>
      </w:pPr>
      <w:r w:rsidRPr="00C91F30">
        <w:rPr>
          <w:rFonts w:ascii="Calibri" w:hAnsi="Calibri" w:cs="Calibri"/>
          <w:b/>
          <w:color w:val="404040"/>
          <w:szCs w:val="20"/>
        </w:rPr>
        <w:t xml:space="preserve">Actions taken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 </w:t>
      </w:r>
    </w:p>
    <w:p w14:paraId="4C9DA494" w14:textId="77777777" w:rsidR="00C91F30" w:rsidRPr="00C91F30" w:rsidRDefault="00C91F30" w:rsidP="00C91F30">
      <w:pPr>
        <w:spacing w:line="360" w:lineRule="auto"/>
        <w:rPr>
          <w:rFonts w:ascii="Calibri" w:hAnsi="Calibri"/>
          <w:color w:val="404040"/>
          <w:szCs w:val="20"/>
        </w:rPr>
      </w:pPr>
      <w:r w:rsidRPr="00C91F30">
        <w:rPr>
          <w:rFonts w:ascii="Calibri" w:hAnsi="Calibri"/>
          <w:color w:val="404040"/>
          <w:szCs w:val="20"/>
        </w:rPr>
        <w:t xml:space="preserve">The most critical public policy barriers (direct and indirect) to the production and preservation of affordable housing include the following: </w:t>
      </w:r>
    </w:p>
    <w:p w14:paraId="56BFB095" w14:textId="77777777" w:rsidR="00C91F30" w:rsidRPr="00C91F30" w:rsidRDefault="00C91F30" w:rsidP="00C91F30">
      <w:pPr>
        <w:spacing w:line="360" w:lineRule="auto"/>
        <w:rPr>
          <w:rFonts w:ascii="Calibri" w:hAnsi="Calibri"/>
          <w:color w:val="404040"/>
          <w:szCs w:val="20"/>
        </w:rPr>
      </w:pPr>
    </w:p>
    <w:p w14:paraId="12E636C6" w14:textId="77777777" w:rsidR="00C91F30" w:rsidRPr="00C91F30" w:rsidRDefault="00C91F30" w:rsidP="00C91F30">
      <w:pPr>
        <w:numPr>
          <w:ilvl w:val="0"/>
          <w:numId w:val="11"/>
        </w:numPr>
        <w:spacing w:line="360" w:lineRule="auto"/>
        <w:ind w:left="1440"/>
        <w:contextualSpacing/>
        <w:rPr>
          <w:rFonts w:ascii="Calibri" w:hAnsi="Calibri" w:cs="Calibri"/>
          <w:color w:val="404040"/>
          <w:szCs w:val="20"/>
        </w:rPr>
        <w:sectPr w:rsidR="00C91F30" w:rsidRPr="00C91F30" w:rsidSect="00C91F30">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080" w:bottom="1440" w:left="1080" w:header="720" w:footer="390" w:gutter="0"/>
          <w:cols w:space="720"/>
          <w:docGrid w:linePitch="360"/>
        </w:sectPr>
      </w:pPr>
    </w:p>
    <w:p w14:paraId="24CFF9F6" w14:textId="77777777" w:rsidR="00C91F30" w:rsidRPr="00C91F30" w:rsidRDefault="00C91F30" w:rsidP="00C91F30">
      <w:pPr>
        <w:numPr>
          <w:ilvl w:val="0"/>
          <w:numId w:val="11"/>
        </w:numPr>
        <w:spacing w:line="360" w:lineRule="auto"/>
        <w:ind w:left="1440"/>
        <w:contextualSpacing/>
        <w:rPr>
          <w:rFonts w:ascii="Calibri" w:hAnsi="Calibri" w:cs="Calibri"/>
          <w:color w:val="404040"/>
          <w:szCs w:val="20"/>
        </w:rPr>
      </w:pPr>
      <w:r w:rsidRPr="00C91F30">
        <w:rPr>
          <w:rFonts w:ascii="Calibri" w:hAnsi="Calibri" w:cs="Calibri"/>
          <w:color w:val="404040"/>
          <w:szCs w:val="20"/>
        </w:rPr>
        <w:t>Land costs</w:t>
      </w:r>
    </w:p>
    <w:p w14:paraId="59B51667" w14:textId="77777777" w:rsidR="00C91F30" w:rsidRPr="00C91F30" w:rsidRDefault="00C91F30" w:rsidP="00C91F30">
      <w:pPr>
        <w:numPr>
          <w:ilvl w:val="0"/>
          <w:numId w:val="11"/>
        </w:numPr>
        <w:spacing w:line="360" w:lineRule="auto"/>
        <w:ind w:left="1440"/>
        <w:contextualSpacing/>
        <w:rPr>
          <w:rFonts w:ascii="Calibri" w:hAnsi="Calibri"/>
          <w:color w:val="404040"/>
          <w:szCs w:val="20"/>
        </w:rPr>
      </w:pPr>
      <w:r w:rsidRPr="00C91F30">
        <w:rPr>
          <w:rFonts w:ascii="Calibri" w:hAnsi="Calibri"/>
          <w:color w:val="404040"/>
          <w:szCs w:val="20"/>
        </w:rPr>
        <w:t>Construction costs</w:t>
      </w:r>
    </w:p>
    <w:p w14:paraId="13294490" w14:textId="77777777" w:rsidR="00C91F30" w:rsidRPr="00C91F30" w:rsidRDefault="00C91F30" w:rsidP="00C91F30">
      <w:pPr>
        <w:numPr>
          <w:ilvl w:val="0"/>
          <w:numId w:val="11"/>
        </w:numPr>
        <w:spacing w:line="360" w:lineRule="auto"/>
        <w:ind w:left="1440"/>
        <w:contextualSpacing/>
        <w:rPr>
          <w:rFonts w:ascii="Calibri" w:hAnsi="Calibri"/>
          <w:color w:val="404040"/>
          <w:szCs w:val="20"/>
        </w:rPr>
      </w:pPr>
      <w:r w:rsidRPr="00C91F30">
        <w:rPr>
          <w:rFonts w:ascii="Calibri" w:hAnsi="Calibri"/>
          <w:color w:val="404040"/>
          <w:szCs w:val="20"/>
        </w:rPr>
        <w:t>Development and rehabilitation financing</w:t>
      </w:r>
    </w:p>
    <w:p w14:paraId="3138054E" w14:textId="77777777" w:rsidR="00C91F30" w:rsidRPr="00C91F30" w:rsidRDefault="00C91F30" w:rsidP="00C91F30">
      <w:pPr>
        <w:numPr>
          <w:ilvl w:val="0"/>
          <w:numId w:val="11"/>
        </w:numPr>
        <w:spacing w:line="360" w:lineRule="auto"/>
        <w:ind w:left="1440"/>
        <w:contextualSpacing/>
        <w:rPr>
          <w:rFonts w:ascii="Calibri" w:hAnsi="Calibri"/>
          <w:color w:val="404040"/>
          <w:szCs w:val="20"/>
        </w:rPr>
      </w:pPr>
      <w:r w:rsidRPr="00C91F30">
        <w:rPr>
          <w:rFonts w:ascii="Calibri" w:hAnsi="Calibri"/>
          <w:color w:val="404040"/>
          <w:szCs w:val="20"/>
        </w:rPr>
        <w:t>Housing rehabilitation complexities</w:t>
      </w:r>
    </w:p>
    <w:p w14:paraId="4D3055A1" w14:textId="77777777" w:rsidR="00C91F30" w:rsidRPr="00C91F30" w:rsidRDefault="00C91F30" w:rsidP="00C91F30">
      <w:pPr>
        <w:numPr>
          <w:ilvl w:val="0"/>
          <w:numId w:val="11"/>
        </w:numPr>
        <w:spacing w:line="360" w:lineRule="auto"/>
        <w:ind w:left="1440"/>
        <w:contextualSpacing/>
        <w:rPr>
          <w:rFonts w:ascii="Calibri" w:hAnsi="Calibri"/>
          <w:color w:val="404040"/>
          <w:szCs w:val="20"/>
        </w:rPr>
      </w:pPr>
      <w:r w:rsidRPr="00C91F30">
        <w:rPr>
          <w:rFonts w:ascii="Calibri" w:hAnsi="Calibri"/>
          <w:color w:val="404040"/>
          <w:szCs w:val="20"/>
        </w:rPr>
        <w:t>Foreclosures and loan modifications</w:t>
      </w:r>
    </w:p>
    <w:p w14:paraId="5251E897" w14:textId="77777777" w:rsidR="00C91F30" w:rsidRPr="00C91F30" w:rsidRDefault="00C91F30" w:rsidP="00C91F30">
      <w:pPr>
        <w:numPr>
          <w:ilvl w:val="0"/>
          <w:numId w:val="11"/>
        </w:numPr>
        <w:spacing w:line="360" w:lineRule="auto"/>
        <w:ind w:left="1440"/>
        <w:contextualSpacing/>
        <w:rPr>
          <w:rFonts w:ascii="Calibri" w:hAnsi="Calibri"/>
          <w:color w:val="404040"/>
          <w:szCs w:val="20"/>
        </w:rPr>
      </w:pPr>
      <w:r w:rsidRPr="00C91F30">
        <w:rPr>
          <w:rFonts w:ascii="Calibri" w:hAnsi="Calibri"/>
          <w:color w:val="404040"/>
          <w:szCs w:val="20"/>
        </w:rPr>
        <w:t>Neighborhood market conditions</w:t>
      </w:r>
    </w:p>
    <w:p w14:paraId="2B54C04C" w14:textId="77777777" w:rsidR="00C91F30" w:rsidRPr="00C91F30" w:rsidRDefault="00C91F30" w:rsidP="00C91F30">
      <w:pPr>
        <w:numPr>
          <w:ilvl w:val="0"/>
          <w:numId w:val="11"/>
        </w:numPr>
        <w:spacing w:line="360" w:lineRule="auto"/>
        <w:ind w:left="1440"/>
        <w:contextualSpacing/>
        <w:rPr>
          <w:rFonts w:ascii="Calibri" w:hAnsi="Calibri"/>
          <w:color w:val="404040"/>
          <w:szCs w:val="20"/>
        </w:rPr>
      </w:pPr>
      <w:r w:rsidRPr="00C91F30">
        <w:rPr>
          <w:rFonts w:ascii="Calibri" w:hAnsi="Calibri"/>
          <w:color w:val="404040"/>
          <w:szCs w:val="20"/>
        </w:rPr>
        <w:t>Economic conditions</w:t>
      </w:r>
    </w:p>
    <w:p w14:paraId="6D61FC79" w14:textId="77777777" w:rsidR="00C91F30" w:rsidRPr="00C91F30" w:rsidRDefault="00C91F30" w:rsidP="00C91F30">
      <w:pPr>
        <w:numPr>
          <w:ilvl w:val="0"/>
          <w:numId w:val="11"/>
        </w:numPr>
        <w:spacing w:line="360" w:lineRule="auto"/>
        <w:ind w:left="1440"/>
        <w:contextualSpacing/>
        <w:rPr>
          <w:rFonts w:ascii="Calibri" w:hAnsi="Calibri" w:cs="Calibri"/>
          <w:color w:val="404040"/>
          <w:szCs w:val="20"/>
        </w:rPr>
      </w:pPr>
      <w:r w:rsidRPr="00C91F30">
        <w:rPr>
          <w:rFonts w:ascii="Calibri" w:hAnsi="Calibri" w:cs="Calibri"/>
          <w:color w:val="404040"/>
          <w:szCs w:val="20"/>
        </w:rPr>
        <w:t>Land use regulations</w:t>
      </w:r>
    </w:p>
    <w:p w14:paraId="631F9821" w14:textId="77777777" w:rsidR="00C91F30" w:rsidRPr="00C91F30" w:rsidRDefault="00C91F30" w:rsidP="00C91F30">
      <w:pPr>
        <w:numPr>
          <w:ilvl w:val="0"/>
          <w:numId w:val="11"/>
        </w:numPr>
        <w:spacing w:line="360" w:lineRule="auto"/>
        <w:ind w:left="1440"/>
        <w:contextualSpacing/>
        <w:rPr>
          <w:rFonts w:ascii="Calibri" w:hAnsi="Calibri"/>
          <w:color w:val="404040"/>
          <w:szCs w:val="20"/>
        </w:rPr>
      </w:pPr>
      <w:r w:rsidRPr="00C91F30">
        <w:rPr>
          <w:rFonts w:ascii="Calibri" w:hAnsi="Calibri"/>
          <w:color w:val="404040"/>
          <w:szCs w:val="20"/>
        </w:rPr>
        <w:t>Development fees and assessments</w:t>
      </w:r>
    </w:p>
    <w:p w14:paraId="4E1C12AA" w14:textId="77777777" w:rsidR="00C91F30" w:rsidRPr="00C91F30" w:rsidRDefault="00C91F30" w:rsidP="00C91F30">
      <w:pPr>
        <w:numPr>
          <w:ilvl w:val="0"/>
          <w:numId w:val="11"/>
        </w:numPr>
        <w:spacing w:line="360" w:lineRule="auto"/>
        <w:ind w:left="1440"/>
        <w:contextualSpacing/>
        <w:rPr>
          <w:rFonts w:ascii="Calibri" w:hAnsi="Calibri"/>
          <w:color w:val="404040"/>
          <w:szCs w:val="20"/>
        </w:rPr>
      </w:pPr>
      <w:r w:rsidRPr="00C91F30">
        <w:rPr>
          <w:rFonts w:ascii="Calibri" w:hAnsi="Calibri"/>
          <w:color w:val="404040"/>
          <w:szCs w:val="20"/>
        </w:rPr>
        <w:t>Permit processing procedures</w:t>
      </w:r>
    </w:p>
    <w:p w14:paraId="2604D415" w14:textId="77777777" w:rsidR="00C91F30" w:rsidRPr="00C91F30" w:rsidRDefault="00C91F30" w:rsidP="00C91F30">
      <w:pPr>
        <w:numPr>
          <w:ilvl w:val="0"/>
          <w:numId w:val="11"/>
        </w:numPr>
        <w:spacing w:line="360" w:lineRule="auto"/>
        <w:ind w:left="1440"/>
        <w:contextualSpacing/>
        <w:rPr>
          <w:rFonts w:ascii="Calibri" w:hAnsi="Calibri" w:cs="Calibri"/>
          <w:color w:val="404040"/>
          <w:szCs w:val="20"/>
        </w:rPr>
      </w:pPr>
      <w:r w:rsidRPr="00C91F30">
        <w:rPr>
          <w:rFonts w:ascii="Calibri" w:hAnsi="Calibri" w:cs="Calibri"/>
          <w:color w:val="404040"/>
          <w:szCs w:val="20"/>
        </w:rPr>
        <w:t>Lack of zoning and development incentives</w:t>
      </w:r>
    </w:p>
    <w:p w14:paraId="2248F8AE" w14:textId="77777777" w:rsidR="00C91F30" w:rsidRPr="00C91F30" w:rsidRDefault="00C91F30" w:rsidP="00C91F30">
      <w:pPr>
        <w:spacing w:line="360" w:lineRule="auto"/>
        <w:ind w:left="1080"/>
        <w:rPr>
          <w:rFonts w:ascii="Calibri" w:hAnsi="Calibri" w:cs="Calibri"/>
          <w:color w:val="404040"/>
          <w:szCs w:val="20"/>
        </w:rPr>
        <w:sectPr w:rsidR="00C91F30" w:rsidRPr="00C91F30" w:rsidSect="00816745">
          <w:type w:val="continuous"/>
          <w:pgSz w:w="12240" w:h="15840"/>
          <w:pgMar w:top="1440" w:right="1080" w:bottom="1440" w:left="1080" w:header="720" w:footer="390" w:gutter="0"/>
          <w:cols w:num="2" w:space="720"/>
          <w:docGrid w:linePitch="360"/>
        </w:sectPr>
      </w:pPr>
    </w:p>
    <w:p w14:paraId="6478F6E3" w14:textId="77777777" w:rsidR="00C91F30" w:rsidRPr="00C91F30" w:rsidRDefault="00C91F30" w:rsidP="00C91F30">
      <w:pPr>
        <w:spacing w:line="360" w:lineRule="auto"/>
        <w:rPr>
          <w:rFonts w:ascii="Calibri" w:hAnsi="Calibri" w:cs="Calibri"/>
          <w:color w:val="404040"/>
          <w:szCs w:val="20"/>
        </w:rPr>
      </w:pPr>
    </w:p>
    <w:p w14:paraId="0FA44DD7" w14:textId="77777777" w:rsidR="00C91F30" w:rsidRPr="00C91F30" w:rsidRDefault="00C91F30" w:rsidP="00C91F30">
      <w:pPr>
        <w:spacing w:line="360" w:lineRule="auto"/>
        <w:rPr>
          <w:rFonts w:ascii="Calibri" w:hAnsi="Calibri"/>
          <w:color w:val="404040"/>
          <w:szCs w:val="20"/>
        </w:rPr>
      </w:pPr>
      <w:r w:rsidRPr="00C91F30">
        <w:rPr>
          <w:rFonts w:ascii="Calibri" w:hAnsi="Calibri"/>
          <w:color w:val="404040"/>
          <w:szCs w:val="20"/>
        </w:rPr>
        <w:t xml:space="preserve">While these continue to be, and will continue to be barriers, the City is committed to finding ways to address these issues to the extent possible. </w:t>
      </w:r>
    </w:p>
    <w:p w14:paraId="2D4AEFBF" w14:textId="77777777" w:rsidR="00C91F30" w:rsidRPr="00C91F30" w:rsidRDefault="00C91F30" w:rsidP="00C91F30">
      <w:pPr>
        <w:spacing w:line="360" w:lineRule="auto"/>
        <w:rPr>
          <w:rFonts w:ascii="Calibri" w:hAnsi="Calibri"/>
          <w:color w:val="404040"/>
          <w:szCs w:val="20"/>
        </w:rPr>
      </w:pPr>
    </w:p>
    <w:p w14:paraId="2EDC4688" w14:textId="69753A8E" w:rsidR="00C91F30" w:rsidRPr="00C91F30" w:rsidRDefault="00C91F30" w:rsidP="00C91F30">
      <w:pPr>
        <w:spacing w:line="360" w:lineRule="auto"/>
        <w:rPr>
          <w:rFonts w:ascii="Calibri" w:hAnsi="Calibri"/>
          <w:color w:val="404040"/>
          <w:szCs w:val="20"/>
        </w:rPr>
      </w:pPr>
      <w:r w:rsidRPr="00C91F30">
        <w:rPr>
          <w:rFonts w:ascii="Calibri" w:eastAsia="Calibri" w:hAnsi="Calibri" w:cs="Verdana"/>
          <w:bCs/>
          <w:color w:val="404040"/>
          <w:szCs w:val="20"/>
        </w:rPr>
        <w:t>Effort</w:t>
      </w:r>
      <w:r w:rsidR="00C618DC">
        <w:rPr>
          <w:rFonts w:ascii="Calibri" w:eastAsia="Calibri" w:hAnsi="Calibri" w:cs="Verdana"/>
          <w:bCs/>
          <w:color w:val="404040"/>
          <w:szCs w:val="20"/>
        </w:rPr>
        <w:t>s for the program year included</w:t>
      </w:r>
      <w:r w:rsidRPr="00C91F30">
        <w:rPr>
          <w:rFonts w:ascii="Calibri" w:eastAsia="Calibri" w:hAnsi="Calibri" w:cs="Verdana"/>
          <w:bCs/>
          <w:color w:val="404040"/>
          <w:szCs w:val="20"/>
        </w:rPr>
        <w:t xml:space="preserve"> working to reduce barriers to affordable housing through the following planning </w:t>
      </w:r>
      <w:r w:rsidRPr="00C91F30">
        <w:rPr>
          <w:rFonts w:ascii="Calibri" w:hAnsi="Calibri" w:cs="Calibri Light"/>
          <w:color w:val="404040"/>
          <w:szCs w:val="20"/>
        </w:rPr>
        <w:t>efforts and initiatives:</w:t>
      </w:r>
    </w:p>
    <w:p w14:paraId="538AA892" w14:textId="77777777" w:rsidR="00C91F30" w:rsidRPr="00C91F30" w:rsidRDefault="00C91F30" w:rsidP="00C91F30">
      <w:pPr>
        <w:numPr>
          <w:ilvl w:val="0"/>
          <w:numId w:val="12"/>
        </w:numPr>
        <w:spacing w:line="360" w:lineRule="auto"/>
        <w:contextualSpacing/>
        <w:rPr>
          <w:rFonts w:ascii="Calibri" w:hAnsi="Calibri" w:cs="Calibri Light"/>
          <w:color w:val="404040"/>
          <w:szCs w:val="20"/>
        </w:rPr>
      </w:pPr>
      <w:r w:rsidRPr="00C91F30">
        <w:rPr>
          <w:rFonts w:ascii="Calibri" w:hAnsi="Calibri" w:cs="Calibri Light"/>
          <w:color w:val="404040"/>
          <w:szCs w:val="20"/>
        </w:rPr>
        <w:t>Citywide Housing Plan: The trends outlined are not new to city officials. This represents the latest data on a growing crisis of housing affordability and choice in Salt Lake. HAND has been focused on this trend for the past several years and has been aligning its federal resources with other City funds to combat the compounding factors affecting residents at all income levels:</w:t>
      </w:r>
    </w:p>
    <w:p w14:paraId="0971C8BA" w14:textId="77777777" w:rsidR="00C91F30" w:rsidRPr="00C91F30" w:rsidRDefault="00C91F30" w:rsidP="00C91F30">
      <w:pPr>
        <w:numPr>
          <w:ilvl w:val="1"/>
          <w:numId w:val="12"/>
        </w:numPr>
        <w:spacing w:line="360" w:lineRule="auto"/>
        <w:contextualSpacing/>
        <w:rPr>
          <w:rFonts w:ascii="Calibri" w:hAnsi="Calibri" w:cs="Calibri Light"/>
          <w:color w:val="404040"/>
          <w:szCs w:val="20"/>
        </w:rPr>
      </w:pPr>
      <w:r w:rsidRPr="00C91F30">
        <w:rPr>
          <w:rFonts w:ascii="Calibri" w:hAnsi="Calibri" w:cs="Calibri Light"/>
          <w:color w:val="404040"/>
          <w:szCs w:val="20"/>
        </w:rPr>
        <w:t>Rapid home price increases,</w:t>
      </w:r>
    </w:p>
    <w:p w14:paraId="6D2E3952" w14:textId="77777777" w:rsidR="00C91F30" w:rsidRPr="00C91F30" w:rsidRDefault="00C91F30" w:rsidP="00C91F30">
      <w:pPr>
        <w:numPr>
          <w:ilvl w:val="1"/>
          <w:numId w:val="12"/>
        </w:numPr>
        <w:spacing w:line="360" w:lineRule="auto"/>
        <w:contextualSpacing/>
        <w:rPr>
          <w:rFonts w:ascii="Calibri" w:hAnsi="Calibri" w:cs="Calibri Light"/>
          <w:color w:val="404040"/>
          <w:szCs w:val="20"/>
        </w:rPr>
      </w:pPr>
      <w:r w:rsidRPr="00C91F30">
        <w:rPr>
          <w:rFonts w:ascii="Calibri" w:hAnsi="Calibri" w:cs="Calibri Light"/>
          <w:color w:val="404040"/>
          <w:szCs w:val="20"/>
        </w:rPr>
        <w:t>Stagnant wages, and</w:t>
      </w:r>
    </w:p>
    <w:p w14:paraId="2159F002" w14:textId="77777777" w:rsidR="00C91F30" w:rsidRPr="00C91F30" w:rsidRDefault="00C91F30" w:rsidP="00C91F30">
      <w:pPr>
        <w:numPr>
          <w:ilvl w:val="1"/>
          <w:numId w:val="12"/>
        </w:numPr>
        <w:spacing w:line="360" w:lineRule="auto"/>
        <w:contextualSpacing/>
        <w:rPr>
          <w:rFonts w:ascii="Calibri" w:hAnsi="Calibri" w:cs="Calibri Light"/>
          <w:color w:val="404040"/>
          <w:szCs w:val="20"/>
        </w:rPr>
      </w:pPr>
      <w:r w:rsidRPr="00C91F30">
        <w:rPr>
          <w:rFonts w:ascii="Calibri" w:hAnsi="Calibri" w:cs="Calibri Light"/>
          <w:color w:val="404040"/>
          <w:szCs w:val="20"/>
        </w:rPr>
        <w:t>Historically high land value which is driving an increase in rental rates.</w:t>
      </w:r>
    </w:p>
    <w:p w14:paraId="125941E3" w14:textId="77777777" w:rsidR="00C91F30" w:rsidRPr="00C91F30" w:rsidRDefault="00C91F30" w:rsidP="00C91F30">
      <w:pPr>
        <w:spacing w:line="360" w:lineRule="auto"/>
        <w:ind w:left="720"/>
        <w:contextualSpacing/>
        <w:rPr>
          <w:rFonts w:ascii="Calibri" w:hAnsi="Calibri" w:cs="Calibri Light"/>
          <w:color w:val="404040"/>
          <w:szCs w:val="20"/>
        </w:rPr>
      </w:pPr>
    </w:p>
    <w:p w14:paraId="05416E0C" w14:textId="77777777" w:rsidR="00C91F30" w:rsidRPr="00C91F30" w:rsidRDefault="00C91F30" w:rsidP="00C91F30">
      <w:pPr>
        <w:spacing w:line="360" w:lineRule="auto"/>
        <w:rPr>
          <w:rFonts w:ascii="Calibri" w:hAnsi="Calibri" w:cs="Calibri Light"/>
          <w:color w:val="404040"/>
          <w:szCs w:val="20"/>
        </w:rPr>
      </w:pPr>
      <w:r w:rsidRPr="00C91F30">
        <w:rPr>
          <w:rFonts w:ascii="Calibri" w:hAnsi="Calibri" w:cs="Calibri Light"/>
          <w:color w:val="404040"/>
          <w:szCs w:val="20"/>
        </w:rPr>
        <w:t xml:space="preserve">HAND continues to implement the citywide housing master plan, </w:t>
      </w:r>
      <w:r w:rsidRPr="00C91F30">
        <w:rPr>
          <w:rFonts w:ascii="Calibri" w:hAnsi="Calibri" w:cs="Calibri Light"/>
          <w:i/>
          <w:iCs/>
          <w:color w:val="404040"/>
          <w:szCs w:val="20"/>
        </w:rPr>
        <w:t>Growing SLC</w:t>
      </w:r>
      <w:r w:rsidRPr="00C91F30">
        <w:rPr>
          <w:rFonts w:ascii="Calibri" w:hAnsi="Calibri" w:cs="Calibri Light"/>
          <w:color w:val="404040"/>
          <w:szCs w:val="20"/>
        </w:rPr>
        <w:t xml:space="preserve">: A Five Year Housing Plan, 2018-2022. The plan outlines a thoughtful strategy for ensuring long-term affordability and preservation that continues to enhance neighborhoods, while balancing their unique needs. </w:t>
      </w:r>
      <w:r w:rsidRPr="00C91F30">
        <w:rPr>
          <w:rFonts w:ascii="Calibri" w:hAnsi="Calibri" w:cs="Calibri Light"/>
          <w:i/>
          <w:iCs/>
          <w:color w:val="404040"/>
          <w:szCs w:val="20"/>
        </w:rPr>
        <w:t xml:space="preserve">Growing SLC </w:t>
      </w:r>
      <w:r w:rsidRPr="00C91F30">
        <w:rPr>
          <w:rFonts w:ascii="Calibri" w:hAnsi="Calibri" w:cs="Calibri Light"/>
          <w:color w:val="404040"/>
          <w:szCs w:val="20"/>
        </w:rPr>
        <w:t>lays out a number of comprehensive solutions and policies to address the lack (an estimated 7,500 units) of affordable housing for households earning 40% or below the Area Median Income. To date, HAND has completed the following housing plan goals:</w:t>
      </w:r>
    </w:p>
    <w:p w14:paraId="3A2767E6" w14:textId="193F058F" w:rsidR="00C91F30" w:rsidRPr="00C91F30" w:rsidRDefault="00C91F30" w:rsidP="00C91F30">
      <w:pPr>
        <w:numPr>
          <w:ilvl w:val="0"/>
          <w:numId w:val="36"/>
        </w:numPr>
        <w:spacing w:line="360" w:lineRule="auto"/>
        <w:contextualSpacing/>
        <w:rPr>
          <w:rFonts w:ascii="Calibri" w:hAnsi="Calibri" w:cs="Calibri Light"/>
          <w:color w:val="404040"/>
          <w:szCs w:val="20"/>
        </w:rPr>
      </w:pPr>
      <w:r w:rsidRPr="00C91F30">
        <w:rPr>
          <w:rFonts w:ascii="Calibri" w:hAnsi="Calibri" w:cs="Calibri Light"/>
          <w:color w:val="404040"/>
          <w:szCs w:val="20"/>
        </w:rPr>
        <w:t xml:space="preserve">Modifications to Transit Station Area zoning to increase points for affordable housing developers, which will result </w:t>
      </w:r>
      <w:r w:rsidR="00395D92">
        <w:rPr>
          <w:rFonts w:ascii="Calibri" w:hAnsi="Calibri" w:cs="Calibri Light"/>
          <w:color w:val="404040"/>
          <w:szCs w:val="20"/>
        </w:rPr>
        <w:t xml:space="preserve">in more affordable housing developments occurring near transit station areas. </w:t>
      </w:r>
    </w:p>
    <w:p w14:paraId="14C9BC79" w14:textId="77777777" w:rsidR="00C91F30" w:rsidRPr="00C91F30" w:rsidRDefault="00C91F30" w:rsidP="00C91F30">
      <w:pPr>
        <w:numPr>
          <w:ilvl w:val="0"/>
          <w:numId w:val="36"/>
        </w:numPr>
        <w:spacing w:line="360" w:lineRule="auto"/>
        <w:contextualSpacing/>
        <w:rPr>
          <w:rFonts w:ascii="Calibri" w:hAnsi="Calibri" w:cs="Calibri Light"/>
          <w:color w:val="404040"/>
          <w:szCs w:val="20"/>
        </w:rPr>
      </w:pPr>
      <w:r w:rsidRPr="00C91F30">
        <w:rPr>
          <w:rFonts w:ascii="Calibri" w:hAnsi="Calibri" w:cs="Calibri Light"/>
          <w:color w:val="404040"/>
          <w:szCs w:val="20"/>
        </w:rPr>
        <w:t>A Blue Ribbon Commission was convened to identify funding strategies and partnerships.</w:t>
      </w:r>
    </w:p>
    <w:p w14:paraId="1A50203D" w14:textId="77777777" w:rsidR="00C91F30" w:rsidRPr="00C91F30" w:rsidRDefault="00C91F30" w:rsidP="00C91F30">
      <w:pPr>
        <w:numPr>
          <w:ilvl w:val="0"/>
          <w:numId w:val="36"/>
        </w:numPr>
        <w:spacing w:line="360" w:lineRule="auto"/>
        <w:contextualSpacing/>
        <w:rPr>
          <w:rFonts w:ascii="Calibri" w:hAnsi="Calibri" w:cs="Calibri Light"/>
          <w:color w:val="404040"/>
          <w:szCs w:val="20"/>
        </w:rPr>
      </w:pPr>
      <w:r w:rsidRPr="00C91F30">
        <w:rPr>
          <w:rFonts w:ascii="Calibri" w:hAnsi="Calibri" w:cs="Calibri Light"/>
          <w:color w:val="404040"/>
          <w:szCs w:val="20"/>
        </w:rPr>
        <w:t>A long-term, sustainable affordable housing funding source was secured in the form of the Sales Tax Increase.</w:t>
      </w:r>
    </w:p>
    <w:p w14:paraId="0EF17312" w14:textId="77777777" w:rsidR="00C91F30" w:rsidRPr="00C91F30" w:rsidRDefault="00C91F30" w:rsidP="00C91F30">
      <w:pPr>
        <w:numPr>
          <w:ilvl w:val="0"/>
          <w:numId w:val="36"/>
        </w:numPr>
        <w:spacing w:line="360" w:lineRule="auto"/>
        <w:contextualSpacing/>
        <w:rPr>
          <w:rFonts w:ascii="Calibri" w:hAnsi="Calibri" w:cs="Calibri Light"/>
          <w:color w:val="404040"/>
          <w:szCs w:val="20"/>
        </w:rPr>
      </w:pPr>
      <w:r w:rsidRPr="00C91F30">
        <w:rPr>
          <w:rFonts w:ascii="Calibri" w:hAnsi="Calibri" w:cs="Calibri Light"/>
          <w:color w:val="404040"/>
          <w:szCs w:val="20"/>
        </w:rPr>
        <w:t>The creation of an Affordable Housing Community Land Trust that has already secured six owner-occupied homes.</w:t>
      </w:r>
    </w:p>
    <w:p w14:paraId="5FD821C6" w14:textId="77777777" w:rsidR="00C91F30" w:rsidRPr="00C91F30" w:rsidRDefault="00C91F30" w:rsidP="00C91F30">
      <w:pPr>
        <w:numPr>
          <w:ilvl w:val="0"/>
          <w:numId w:val="36"/>
        </w:numPr>
        <w:spacing w:line="360" w:lineRule="auto"/>
        <w:contextualSpacing/>
        <w:rPr>
          <w:rFonts w:ascii="Calibri" w:hAnsi="Calibri" w:cs="Calibri Light"/>
          <w:color w:val="404040"/>
          <w:szCs w:val="20"/>
        </w:rPr>
      </w:pPr>
      <w:r w:rsidRPr="00C91F30">
        <w:rPr>
          <w:rFonts w:ascii="Calibri" w:hAnsi="Calibri" w:cs="Calibri Light"/>
          <w:color w:val="404040"/>
          <w:szCs w:val="20"/>
        </w:rPr>
        <w:t>Launched an Affordable Housing Renovation Pilot Program for landlords to improve the quality of affordable rental units.</w:t>
      </w:r>
    </w:p>
    <w:p w14:paraId="01949787" w14:textId="77777777" w:rsidR="00C91F30" w:rsidRPr="00C91F30" w:rsidRDefault="00C91F30" w:rsidP="00C91F30">
      <w:pPr>
        <w:numPr>
          <w:ilvl w:val="0"/>
          <w:numId w:val="36"/>
        </w:numPr>
        <w:spacing w:line="360" w:lineRule="auto"/>
        <w:contextualSpacing/>
        <w:rPr>
          <w:rFonts w:ascii="Calibri" w:hAnsi="Calibri" w:cs="Calibri Light"/>
          <w:color w:val="404040"/>
          <w:szCs w:val="20"/>
        </w:rPr>
      </w:pPr>
      <w:r w:rsidRPr="00C91F30">
        <w:rPr>
          <w:rFonts w:ascii="Calibri" w:hAnsi="Calibri" w:cs="Calibri Light"/>
          <w:color w:val="404040"/>
          <w:szCs w:val="20"/>
        </w:rPr>
        <w:t xml:space="preserve">The publication of an online Housing Dashboard to provide residents, community advocates, business leaders, and elected officials with high quality data to drive decision-making, and to track the progress of </w:t>
      </w:r>
      <w:r w:rsidRPr="00C91F30">
        <w:rPr>
          <w:rFonts w:ascii="Calibri" w:hAnsi="Calibri" w:cs="Calibri Light"/>
          <w:i/>
          <w:iCs/>
          <w:color w:val="404040"/>
          <w:szCs w:val="20"/>
        </w:rPr>
        <w:t>Growing SLC</w:t>
      </w:r>
      <w:r w:rsidRPr="00C91F30">
        <w:rPr>
          <w:rFonts w:ascii="Calibri" w:hAnsi="Calibri" w:cs="Calibri Light"/>
          <w:color w:val="404040"/>
          <w:szCs w:val="20"/>
        </w:rPr>
        <w:t>.</w:t>
      </w:r>
    </w:p>
    <w:p w14:paraId="3C85CD6A" w14:textId="77777777" w:rsidR="00C91F30" w:rsidRPr="00C91F30" w:rsidRDefault="00C91F30" w:rsidP="00C91F30">
      <w:pPr>
        <w:spacing w:line="360" w:lineRule="auto"/>
        <w:ind w:left="720"/>
        <w:contextualSpacing/>
        <w:rPr>
          <w:rFonts w:ascii="Calibri" w:hAnsi="Calibri" w:cs="Calibri Light"/>
          <w:color w:val="404040"/>
          <w:szCs w:val="20"/>
        </w:rPr>
      </w:pPr>
    </w:p>
    <w:p w14:paraId="74263E43" w14:textId="1291412E" w:rsidR="00C91F30" w:rsidRPr="00C91F30" w:rsidRDefault="00C91F30" w:rsidP="00C91F30">
      <w:pPr>
        <w:spacing w:line="360" w:lineRule="auto"/>
        <w:rPr>
          <w:rFonts w:ascii="Calibri" w:hAnsi="Calibri" w:cs="Calibri Light"/>
          <w:color w:val="404040"/>
          <w:szCs w:val="20"/>
        </w:rPr>
      </w:pPr>
      <w:r w:rsidRPr="00C91F30">
        <w:rPr>
          <w:rFonts w:ascii="Calibri" w:hAnsi="Calibri" w:cs="Calibri Light"/>
          <w:color w:val="404040"/>
          <w:szCs w:val="20"/>
        </w:rPr>
        <w:t xml:space="preserve">To further spur more construction of affordable housing, two new initiatives have recently been launched. One, an expanded fee waiver program for developers seeking to build mixed-income residential projects if they set aside at least 20% of their units for moderate-income tenants. The second, a strengthened policy aimed at preserving existing residential units by requiring </w:t>
      </w:r>
      <w:r w:rsidR="00395D92">
        <w:rPr>
          <w:rFonts w:ascii="Calibri" w:hAnsi="Calibri" w:cs="Calibri Light"/>
          <w:color w:val="404040"/>
          <w:szCs w:val="20"/>
        </w:rPr>
        <w:t xml:space="preserve">any residential demolition result in either replaced units, saved units or a fee that will assist the City in replacing the units. </w:t>
      </w:r>
    </w:p>
    <w:p w14:paraId="7A2F8513" w14:textId="77777777" w:rsidR="00C91F30" w:rsidRPr="00C91F30" w:rsidRDefault="00C91F30" w:rsidP="00C91F30">
      <w:pPr>
        <w:spacing w:line="360" w:lineRule="auto"/>
        <w:ind w:left="720"/>
        <w:contextualSpacing/>
        <w:rPr>
          <w:rFonts w:ascii="Calibri" w:hAnsi="Calibri" w:cs="Calibri Light"/>
          <w:color w:val="404040"/>
          <w:szCs w:val="20"/>
        </w:rPr>
      </w:pPr>
    </w:p>
    <w:p w14:paraId="0C112A1C" w14:textId="77777777" w:rsidR="00C91F30" w:rsidRPr="00C91F30" w:rsidRDefault="00C91F30" w:rsidP="00C91F30">
      <w:pPr>
        <w:spacing w:line="360" w:lineRule="auto"/>
        <w:rPr>
          <w:rFonts w:ascii="Calibri" w:hAnsi="Calibri" w:cs="Calibri Light"/>
          <w:color w:val="404040"/>
          <w:szCs w:val="20"/>
        </w:rPr>
      </w:pPr>
      <w:r w:rsidRPr="00C91F30">
        <w:rPr>
          <w:rFonts w:ascii="Calibri" w:hAnsi="Calibri" w:cs="Calibri Light"/>
          <w:color w:val="404040"/>
          <w:szCs w:val="20"/>
        </w:rPr>
        <w:t>HAND is committed to addressing the City’s affordable housing crisis by exploring a myriad of ways to encourage developers to build as many new and innovative affordable housing units as possible.</w:t>
      </w:r>
    </w:p>
    <w:p w14:paraId="09891F8F" w14:textId="77777777" w:rsidR="00C91F30" w:rsidRPr="00C91F30" w:rsidRDefault="00C91F30" w:rsidP="00C91F30">
      <w:pPr>
        <w:spacing w:line="360" w:lineRule="auto"/>
        <w:ind w:left="720"/>
        <w:contextualSpacing/>
        <w:rPr>
          <w:rFonts w:ascii="Calibri" w:hAnsi="Calibri" w:cs="Calibri Light"/>
          <w:color w:val="404040"/>
          <w:szCs w:val="20"/>
        </w:rPr>
      </w:pPr>
    </w:p>
    <w:p w14:paraId="6C8C6AF1" w14:textId="291FCD6C" w:rsidR="00C91F30" w:rsidRPr="00C91F30" w:rsidRDefault="00C91F30" w:rsidP="00C91F30">
      <w:pPr>
        <w:numPr>
          <w:ilvl w:val="0"/>
          <w:numId w:val="12"/>
        </w:numPr>
        <w:spacing w:line="360" w:lineRule="auto"/>
        <w:contextualSpacing/>
        <w:rPr>
          <w:rFonts w:ascii="Calibri" w:hAnsi="Calibri" w:cs="Calibri Light"/>
          <w:color w:val="404040"/>
          <w:szCs w:val="20"/>
        </w:rPr>
      </w:pPr>
      <w:r w:rsidRPr="00C91F30">
        <w:rPr>
          <w:rFonts w:ascii="Calibri" w:hAnsi="Calibri" w:cs="Calibri Light"/>
          <w:color w:val="404040"/>
          <w:szCs w:val="20"/>
        </w:rPr>
        <w:t>Mayor’s Blue Ribbon Commission: Provided guidance in implementing long-term solutions to creating and preserving affordable housing in Salt Lake. Utilizing this guidance, HAND has helped facilitate the creation of approximately 1,500 units of affordable housing, including 242 units of permanent supportive housing, and is on track to create approximately 2</w:t>
      </w:r>
      <w:r w:rsidR="00C618DC">
        <w:rPr>
          <w:rFonts w:ascii="Calibri" w:hAnsi="Calibri" w:cs="Calibri Light"/>
          <w:color w:val="404040"/>
          <w:szCs w:val="20"/>
        </w:rPr>
        <w:t>,</w:t>
      </w:r>
      <w:r w:rsidRPr="00C91F30">
        <w:rPr>
          <w:rFonts w:ascii="Calibri" w:hAnsi="Calibri" w:cs="Calibri Light"/>
          <w:color w:val="404040"/>
          <w:szCs w:val="20"/>
        </w:rPr>
        <w:t xml:space="preserve">000 units by June 2019. </w:t>
      </w:r>
    </w:p>
    <w:p w14:paraId="61EF9004" w14:textId="77777777" w:rsidR="00C91F30" w:rsidRPr="00C91F30" w:rsidRDefault="00C91F30" w:rsidP="00C91F30">
      <w:pPr>
        <w:spacing w:line="360" w:lineRule="auto"/>
        <w:ind w:left="720"/>
        <w:contextualSpacing/>
        <w:rPr>
          <w:rFonts w:ascii="Calibri" w:hAnsi="Calibri" w:cs="Calibri Light"/>
          <w:color w:val="404040"/>
          <w:szCs w:val="20"/>
        </w:rPr>
      </w:pPr>
    </w:p>
    <w:p w14:paraId="3E74DC05" w14:textId="51544675" w:rsidR="00C91F30" w:rsidRPr="00C91F30" w:rsidRDefault="00C91F30" w:rsidP="00C91F30">
      <w:pPr>
        <w:numPr>
          <w:ilvl w:val="0"/>
          <w:numId w:val="12"/>
        </w:numPr>
        <w:spacing w:line="360" w:lineRule="auto"/>
        <w:contextualSpacing/>
        <w:rPr>
          <w:rFonts w:ascii="Calibri" w:hAnsi="Calibri" w:cs="Calibri Light"/>
          <w:color w:val="404040"/>
          <w:szCs w:val="20"/>
        </w:rPr>
      </w:pPr>
      <w:r w:rsidRPr="00C91F30">
        <w:rPr>
          <w:rFonts w:ascii="Calibri" w:hAnsi="Calibri" w:cs="Calibri Light"/>
          <w:color w:val="404040"/>
          <w:szCs w:val="20"/>
        </w:rPr>
        <w:t>Community Land Trust for Affordable Housing: The Community Land Trust</w:t>
      </w:r>
      <w:r w:rsidR="00C618DC">
        <w:rPr>
          <w:rFonts w:ascii="Calibri" w:hAnsi="Calibri" w:cs="Calibri Light"/>
          <w:color w:val="404040"/>
          <w:szCs w:val="20"/>
        </w:rPr>
        <w:t xml:space="preserve"> (CLT)</w:t>
      </w:r>
      <w:r w:rsidRPr="00C91F30">
        <w:rPr>
          <w:rFonts w:ascii="Calibri" w:hAnsi="Calibri" w:cs="Calibri Light"/>
          <w:color w:val="404040"/>
          <w:szCs w:val="20"/>
        </w:rPr>
        <w:t xml:space="preserve"> model will allow income-qualifying households to purchase and own homes as personal property while the land under the home remains property of the trust. The purchaser will own the structure and the city will own the land. Partnership rooted in a shared investment in real property throughout the city and the desire the preserve and secure safe, quality housing stock for generations to come.</w:t>
      </w:r>
    </w:p>
    <w:p w14:paraId="24297B3E" w14:textId="77777777" w:rsidR="00C91F30" w:rsidRPr="00C91F30" w:rsidRDefault="00C91F30" w:rsidP="00C91F30">
      <w:pPr>
        <w:spacing w:line="360" w:lineRule="auto"/>
        <w:ind w:left="720"/>
        <w:contextualSpacing/>
        <w:rPr>
          <w:rFonts w:ascii="Calibri" w:hAnsi="Calibri" w:cs="Calibri Light"/>
          <w:color w:val="404040"/>
          <w:szCs w:val="20"/>
        </w:rPr>
      </w:pPr>
    </w:p>
    <w:p w14:paraId="023806FB" w14:textId="5678D569" w:rsidR="00C91F30" w:rsidRPr="00C91F30" w:rsidRDefault="00C91F30" w:rsidP="00C618DC">
      <w:pPr>
        <w:spacing w:line="360" w:lineRule="auto"/>
        <w:ind w:left="720"/>
        <w:contextualSpacing/>
        <w:rPr>
          <w:rFonts w:ascii="Calibri" w:hAnsi="Calibri" w:cs="Calibri Light"/>
          <w:color w:val="404040"/>
          <w:szCs w:val="20"/>
        </w:rPr>
      </w:pPr>
      <w:r w:rsidRPr="00C91F30">
        <w:rPr>
          <w:rFonts w:ascii="Calibri" w:hAnsi="Calibri" w:cs="Calibri Light"/>
          <w:color w:val="404040"/>
          <w:szCs w:val="20"/>
        </w:rPr>
        <w:t>The CLT model will allow income-qualifying households to purchase a home while the land that home sits on remains in the Trust, so the City will own the land and purchaser will own the structure. If and when that household sells the home, they will be able to do so at a modest gain, thereby building equity while allowing another income-qualifying household the opportunity to purchase an affordabl</w:t>
      </w:r>
      <w:r w:rsidR="00C618DC">
        <w:rPr>
          <w:rFonts w:ascii="Calibri" w:hAnsi="Calibri" w:cs="Calibri Light"/>
          <w:color w:val="404040"/>
          <w:szCs w:val="20"/>
        </w:rPr>
        <w:t xml:space="preserve">e home. </w:t>
      </w:r>
      <w:r w:rsidRPr="00C91F30">
        <w:rPr>
          <w:rFonts w:ascii="Calibri" w:hAnsi="Calibri" w:cs="Calibri Light"/>
          <w:color w:val="404040"/>
          <w:szCs w:val="20"/>
        </w:rPr>
        <w:t>The CLT will start by holding city-owned single family home properties. Over time, the City will look to acquire and maintain multifamily structures, and eventually turning over the management of the Trust to an external non-profit.</w:t>
      </w:r>
    </w:p>
    <w:p w14:paraId="3A708BB3" w14:textId="77777777" w:rsidR="00C91F30" w:rsidRPr="00C91F30" w:rsidRDefault="00C91F30" w:rsidP="00C91F30">
      <w:pPr>
        <w:spacing w:line="360" w:lineRule="auto"/>
        <w:ind w:left="720"/>
        <w:contextualSpacing/>
        <w:rPr>
          <w:rFonts w:ascii="Calibri" w:hAnsi="Calibri" w:cs="Calibri Light"/>
          <w:color w:val="404040"/>
          <w:szCs w:val="20"/>
        </w:rPr>
      </w:pPr>
    </w:p>
    <w:p w14:paraId="0AAC1492" w14:textId="77777777" w:rsidR="00C91F30" w:rsidRPr="00C91F30" w:rsidRDefault="00C91F30" w:rsidP="00C91F30">
      <w:pPr>
        <w:numPr>
          <w:ilvl w:val="0"/>
          <w:numId w:val="12"/>
        </w:numPr>
        <w:spacing w:line="360" w:lineRule="auto"/>
        <w:contextualSpacing/>
        <w:rPr>
          <w:rFonts w:ascii="Calibri" w:hAnsi="Calibri" w:cs="Calibri Light"/>
          <w:color w:val="404040"/>
          <w:szCs w:val="20"/>
        </w:rPr>
      </w:pPr>
      <w:r w:rsidRPr="00C91F30">
        <w:rPr>
          <w:rFonts w:ascii="Calibri" w:hAnsi="Calibri" w:cs="Calibri Light"/>
          <w:color w:val="404040"/>
          <w:szCs w:val="20"/>
        </w:rPr>
        <w:t xml:space="preserve">House 20: The House 20 concept was developed in 2015 as a response to housing the top 20 users of emergency services in and around the Depot District. HAND relied on the Police and Fire Departments and The Road Home to help identify those single men and women who were the most frequent users of services. These are individuals who suffer from disabling conditions that create high barriers to stable housing, individuals who are in need of regular, ongoing supportive services. House 20 has helped transition some of the most vulnerable members of our community into permanent housing and has provided them with intensive case management. Those enrolled in the program have reduced their interactions with emergency services by approximately 75%. The original funding for the program has been exhausted, but HAND will continue to fund the program in the upcoming year with a portion of the revenue received from the sales tax increase. </w:t>
      </w:r>
    </w:p>
    <w:p w14:paraId="069DD48C" w14:textId="77777777" w:rsidR="00C91F30" w:rsidRPr="00C91F30" w:rsidRDefault="00C91F30" w:rsidP="00C91F30">
      <w:pPr>
        <w:spacing w:line="360" w:lineRule="auto"/>
        <w:ind w:left="720"/>
        <w:contextualSpacing/>
        <w:rPr>
          <w:rFonts w:ascii="Calibri" w:hAnsi="Calibri" w:cs="Calibri Light"/>
          <w:color w:val="404040"/>
          <w:szCs w:val="20"/>
        </w:rPr>
      </w:pPr>
    </w:p>
    <w:p w14:paraId="6FEFB87A" w14:textId="77777777" w:rsidR="00C91F30" w:rsidRPr="00C91F30" w:rsidRDefault="00C91F30" w:rsidP="00C91F30">
      <w:pPr>
        <w:numPr>
          <w:ilvl w:val="0"/>
          <w:numId w:val="12"/>
        </w:numPr>
        <w:spacing w:line="360" w:lineRule="auto"/>
        <w:contextualSpacing/>
        <w:rPr>
          <w:rFonts w:ascii="Calibri" w:hAnsi="Calibri" w:cs="Calibri Light"/>
          <w:color w:val="404040"/>
          <w:szCs w:val="20"/>
        </w:rPr>
      </w:pPr>
      <w:r w:rsidRPr="00C91F30">
        <w:rPr>
          <w:rFonts w:ascii="Calibri" w:hAnsi="Calibri" w:cs="Calibri Light"/>
          <w:color w:val="404040"/>
          <w:szCs w:val="20"/>
        </w:rPr>
        <w:t>Home Ownership Options: The City is continuing to provide down-payment assistance to low to moderate-income residents of the City. Previously the program only served first-time homebuyers, but was expanded during the 17-18 program year to offer any eligible resident the opportunity to purchase a home regardless of whether it was their first home purchase. It helps stabilize communities, provides incentive for neighborhood investments, and allows families to build wealth.</w:t>
      </w:r>
    </w:p>
    <w:p w14:paraId="5A85144F" w14:textId="77777777" w:rsidR="00C91F30" w:rsidRPr="00C91F30" w:rsidRDefault="00C91F30" w:rsidP="00C91F30">
      <w:pPr>
        <w:spacing w:line="360" w:lineRule="auto"/>
        <w:ind w:left="720"/>
        <w:contextualSpacing/>
        <w:rPr>
          <w:rFonts w:ascii="Calibri" w:hAnsi="Calibri" w:cs="Calibri Light"/>
          <w:color w:val="404040"/>
          <w:szCs w:val="20"/>
        </w:rPr>
      </w:pPr>
    </w:p>
    <w:p w14:paraId="3E68FB6F" w14:textId="77777777" w:rsidR="00C91F30" w:rsidRPr="00C91F30" w:rsidRDefault="00C91F30" w:rsidP="00C91F30">
      <w:pPr>
        <w:numPr>
          <w:ilvl w:val="0"/>
          <w:numId w:val="12"/>
        </w:numPr>
        <w:spacing w:line="360" w:lineRule="auto"/>
        <w:contextualSpacing/>
        <w:rPr>
          <w:rFonts w:ascii="Calibri" w:hAnsi="Calibri" w:cs="Calibri Light"/>
          <w:color w:val="404040"/>
          <w:szCs w:val="20"/>
        </w:rPr>
      </w:pPr>
      <w:r w:rsidRPr="00C91F30">
        <w:rPr>
          <w:rFonts w:ascii="Calibri" w:hAnsi="Calibri" w:cs="Calibri Light"/>
          <w:color w:val="404040"/>
          <w:szCs w:val="20"/>
        </w:rPr>
        <w:t xml:space="preserve">Affordable Housing Initiative: The City is committed to providing a comprehensive housing initiative to address Salt Lake City’s lack of housing options affordable to low-wage workers and moderate income families, persons with disabilities and those on fixed incomes. By utilizing the Salt Lake City Housing Trust Fund and other community resources, the City will support the preservation, development, and rental assistance of housing units over the time period of the Consolidated Plan. The initiative will target these forms of assistance to extremely low-income renter households as well as expanding homeownership and housing opportunities for low to middle-income families and individuals. </w:t>
      </w:r>
    </w:p>
    <w:p w14:paraId="5C8297E8" w14:textId="77777777" w:rsidR="00C91F30" w:rsidRPr="00C91F30" w:rsidRDefault="00C91F30" w:rsidP="00C91F30">
      <w:pPr>
        <w:spacing w:line="360" w:lineRule="auto"/>
        <w:ind w:left="720"/>
        <w:contextualSpacing/>
        <w:rPr>
          <w:rFonts w:ascii="Calibri" w:hAnsi="Calibri" w:cs="Calibri Light"/>
          <w:color w:val="404040"/>
          <w:szCs w:val="20"/>
        </w:rPr>
      </w:pPr>
    </w:p>
    <w:p w14:paraId="190A7D2B" w14:textId="77777777" w:rsidR="00C91F30" w:rsidRPr="00C91F30" w:rsidRDefault="00C91F30" w:rsidP="00C91F30">
      <w:pPr>
        <w:widowControl w:val="0"/>
        <w:autoSpaceDE w:val="0"/>
        <w:autoSpaceDN w:val="0"/>
        <w:adjustRightInd w:val="0"/>
        <w:spacing w:line="360" w:lineRule="auto"/>
        <w:rPr>
          <w:rFonts w:ascii="Calibri" w:eastAsia="Calibri" w:hAnsi="Calibri" w:cs="Verdana"/>
          <w:b/>
          <w:bCs/>
          <w:color w:val="404040"/>
          <w:szCs w:val="20"/>
        </w:rPr>
      </w:pPr>
      <w:r w:rsidRPr="00C91F30">
        <w:rPr>
          <w:rFonts w:ascii="Calibri" w:eastAsia="Calibri" w:hAnsi="Calibri" w:cs="Verdana"/>
          <w:b/>
          <w:bCs/>
          <w:color w:val="404040"/>
          <w:szCs w:val="20"/>
        </w:rPr>
        <w:t>Actions taken to address obstacles to meeting underserved needs:</w:t>
      </w:r>
    </w:p>
    <w:p w14:paraId="4270A4F3" w14:textId="77777777" w:rsidR="00C91F30" w:rsidRPr="00C91F30" w:rsidRDefault="00C91F30" w:rsidP="00C91F30">
      <w:pPr>
        <w:spacing w:line="360" w:lineRule="auto"/>
        <w:rPr>
          <w:rFonts w:ascii="Calibri" w:hAnsi="Calibri"/>
          <w:color w:val="404040"/>
          <w:szCs w:val="20"/>
        </w:rPr>
      </w:pPr>
      <w:r w:rsidRPr="00C91F30">
        <w:rPr>
          <w:rFonts w:ascii="Calibri" w:eastAsia="Calibri" w:hAnsi="Calibri" w:cs="Verdana"/>
          <w:bCs/>
          <w:color w:val="404040"/>
          <w:szCs w:val="20"/>
        </w:rPr>
        <w:t>The most substantial impediment in meeting underserved needs is a lack of funding and resources. Strategic shifts identified through Salt Lake City’s 2015-2019 Consolidated Plan provide</w:t>
      </w:r>
      <w:r w:rsidRPr="00C91F30">
        <w:rPr>
          <w:rFonts w:ascii="Calibri" w:hAnsi="Calibri"/>
          <w:color w:val="404040"/>
          <w:szCs w:val="20"/>
        </w:rPr>
        <w:t xml:space="preserve"> a framework for maximizing and leveraging federal funding to better focus funding to address underserved needs. Underserved needs and strategic actions are as follows:</w:t>
      </w:r>
    </w:p>
    <w:p w14:paraId="7674DF4E" w14:textId="77777777" w:rsidR="00C91F30" w:rsidRPr="00C91F30" w:rsidRDefault="00C91F30" w:rsidP="00C91F30">
      <w:pPr>
        <w:spacing w:line="360" w:lineRule="auto"/>
        <w:rPr>
          <w:rFonts w:ascii="Calibri" w:hAnsi="Calibri"/>
          <w:color w:val="404040"/>
          <w:szCs w:val="20"/>
        </w:rPr>
      </w:pPr>
    </w:p>
    <w:p w14:paraId="7CA7BC27" w14:textId="77777777" w:rsidR="00C91F30" w:rsidRPr="00C91F30" w:rsidRDefault="00C91F30" w:rsidP="00C91F30">
      <w:pPr>
        <w:spacing w:line="360" w:lineRule="auto"/>
        <w:rPr>
          <w:rFonts w:ascii="Calibri" w:hAnsi="Calibri"/>
          <w:i/>
          <w:color w:val="404040"/>
          <w:szCs w:val="20"/>
        </w:rPr>
      </w:pPr>
      <w:r w:rsidRPr="00C91F30">
        <w:rPr>
          <w:rFonts w:ascii="Calibri" w:hAnsi="Calibri"/>
          <w:i/>
          <w:color w:val="404040"/>
          <w:szCs w:val="20"/>
        </w:rPr>
        <w:t>Underserved Need: Affordable housing</w:t>
      </w:r>
    </w:p>
    <w:p w14:paraId="49EA1815" w14:textId="556A1950" w:rsidR="00C91F30" w:rsidRPr="00C91F30" w:rsidRDefault="00C91F30" w:rsidP="00C91F30">
      <w:pPr>
        <w:numPr>
          <w:ilvl w:val="0"/>
          <w:numId w:val="13"/>
        </w:numPr>
        <w:spacing w:line="360" w:lineRule="auto"/>
        <w:contextualSpacing/>
        <w:rPr>
          <w:rFonts w:ascii="Calibri" w:hAnsi="Calibri"/>
          <w:color w:val="404040"/>
          <w:szCs w:val="20"/>
        </w:rPr>
      </w:pPr>
      <w:r w:rsidRPr="00C91F30">
        <w:rPr>
          <w:rFonts w:ascii="Calibri" w:hAnsi="Calibri"/>
          <w:color w:val="404040"/>
          <w:szCs w:val="20"/>
        </w:rPr>
        <w:t>Actions: Salt Lake City utilized federal and local resources to expand both rental and homeownership opportunities. In addition, the City is utilizing public land to leverage private capital for the development of affordable housing. These efforts will work to address the affordable housing gap in Salt Lake City.</w:t>
      </w:r>
    </w:p>
    <w:p w14:paraId="34AAB778" w14:textId="77777777" w:rsidR="00C91F30" w:rsidRPr="00C91F30" w:rsidRDefault="00C91F30" w:rsidP="00C91F30">
      <w:pPr>
        <w:spacing w:line="360" w:lineRule="auto"/>
        <w:rPr>
          <w:rFonts w:ascii="Calibri" w:hAnsi="Calibri"/>
          <w:i/>
          <w:color w:val="404040"/>
          <w:szCs w:val="20"/>
        </w:rPr>
      </w:pPr>
    </w:p>
    <w:p w14:paraId="144D4845" w14:textId="77777777" w:rsidR="00C91F30" w:rsidRPr="00C91F30" w:rsidRDefault="00C91F30" w:rsidP="00C91F30">
      <w:pPr>
        <w:spacing w:line="360" w:lineRule="auto"/>
        <w:rPr>
          <w:rFonts w:ascii="Calibri" w:hAnsi="Calibri"/>
          <w:i/>
          <w:color w:val="404040"/>
          <w:szCs w:val="20"/>
        </w:rPr>
      </w:pPr>
      <w:r w:rsidRPr="00C91F30">
        <w:rPr>
          <w:rFonts w:ascii="Calibri" w:hAnsi="Calibri"/>
          <w:i/>
          <w:color w:val="404040"/>
          <w:szCs w:val="20"/>
        </w:rPr>
        <w:t>Underserved Need: Homelessness</w:t>
      </w:r>
    </w:p>
    <w:p w14:paraId="73DA3217" w14:textId="77777777" w:rsidR="00C91F30" w:rsidRPr="00C91F30" w:rsidRDefault="00C91F30" w:rsidP="00C91F30">
      <w:pPr>
        <w:numPr>
          <w:ilvl w:val="0"/>
          <w:numId w:val="13"/>
        </w:numPr>
        <w:spacing w:line="360" w:lineRule="auto"/>
        <w:contextualSpacing/>
        <w:rPr>
          <w:rFonts w:ascii="Calibri" w:hAnsi="Calibri"/>
          <w:color w:val="404040"/>
          <w:szCs w:val="20"/>
        </w:rPr>
      </w:pPr>
      <w:r w:rsidRPr="00C91F30">
        <w:rPr>
          <w:rFonts w:ascii="Calibri" w:hAnsi="Calibri"/>
          <w:color w:val="404040"/>
          <w:szCs w:val="20"/>
        </w:rPr>
        <w:t xml:space="preserve">Actions: Salt Lake City is working with housing and homeless service providers and Salt Lake County to coordinate and streamline processes for service delivery. By utilizing the VI-SPDAT pre-screen survey, providers are able to access and prioritize services based on chronicity and medical vulnerability. Improvements are also being made to the CoC’s coordinated assessment system. During the 17-18 program year, Salt Lake City continued the process of helping to create new homeless resource centers in the community. The site selection and design processes have now been completed and construction of the facilities is underway. The new resource centers should improve overall service delivery to those experiencing homelessness and should provide increased safety and security for those seeking services. </w:t>
      </w:r>
    </w:p>
    <w:p w14:paraId="14C090F2" w14:textId="77777777" w:rsidR="00C91F30" w:rsidRPr="00C91F30" w:rsidRDefault="00C91F30" w:rsidP="00C91F30">
      <w:pPr>
        <w:spacing w:line="360" w:lineRule="auto"/>
        <w:rPr>
          <w:rFonts w:ascii="Calibri" w:hAnsi="Calibri"/>
          <w:i/>
          <w:color w:val="404040"/>
          <w:szCs w:val="20"/>
        </w:rPr>
      </w:pPr>
    </w:p>
    <w:p w14:paraId="3A855FAB" w14:textId="77777777" w:rsidR="00C91F30" w:rsidRPr="00C91F30" w:rsidRDefault="00C91F30" w:rsidP="00C91F30">
      <w:pPr>
        <w:spacing w:line="360" w:lineRule="auto"/>
        <w:rPr>
          <w:rFonts w:ascii="Calibri" w:hAnsi="Calibri"/>
          <w:i/>
          <w:color w:val="404040"/>
          <w:szCs w:val="20"/>
        </w:rPr>
      </w:pPr>
      <w:r w:rsidRPr="00C91F30">
        <w:rPr>
          <w:rFonts w:ascii="Calibri" w:hAnsi="Calibri"/>
          <w:i/>
          <w:color w:val="404040"/>
          <w:szCs w:val="20"/>
        </w:rPr>
        <w:t>Underserved Need: Special needs individuals</w:t>
      </w:r>
    </w:p>
    <w:p w14:paraId="29B3EF1A" w14:textId="77777777" w:rsidR="00C91F30" w:rsidRPr="00C91F30" w:rsidRDefault="00C91F30" w:rsidP="00C91F30">
      <w:pPr>
        <w:numPr>
          <w:ilvl w:val="0"/>
          <w:numId w:val="13"/>
        </w:numPr>
        <w:spacing w:line="360" w:lineRule="auto"/>
        <w:contextualSpacing/>
        <w:rPr>
          <w:rFonts w:ascii="Calibri" w:hAnsi="Calibri"/>
          <w:color w:val="404040"/>
          <w:szCs w:val="20"/>
        </w:rPr>
      </w:pPr>
      <w:r w:rsidRPr="00C91F30">
        <w:rPr>
          <w:rFonts w:ascii="Calibri" w:hAnsi="Calibri"/>
          <w:color w:val="404040"/>
          <w:szCs w:val="20"/>
        </w:rPr>
        <w:t>Actions: Salt Lake City has continued to address underserved needs for refugees, immigrants, the elderly, victims of domestic violence, persons living with HIV/AIDS, and persons with a disability by providing resources for basic needs, as well as resources to expand self-sufficiency. Federal funding was targeted to early childhood education for non-English speaking families and other at-risk children, has helped improve immediate and long-term outcomes for persons living with HIV/AIDS, has funded job training to vulnerable populations, and helped provide medical and hospice services for at risk populations.</w:t>
      </w:r>
    </w:p>
    <w:p w14:paraId="76E872F6" w14:textId="77777777" w:rsidR="00C91F30" w:rsidRPr="00C91F30" w:rsidRDefault="00C91F30" w:rsidP="00C91F30">
      <w:pPr>
        <w:spacing w:line="276" w:lineRule="auto"/>
        <w:ind w:right="360"/>
        <w:rPr>
          <w:rFonts w:ascii="Calibri" w:hAnsi="Calibri" w:cs="Calibri"/>
          <w:b/>
          <w:color w:val="FF0000"/>
          <w:szCs w:val="20"/>
        </w:rPr>
      </w:pPr>
    </w:p>
    <w:p w14:paraId="4E8F4240" w14:textId="77777777" w:rsidR="00C91F30" w:rsidRPr="00C91F30" w:rsidRDefault="00C91F30" w:rsidP="00C91F30">
      <w:pPr>
        <w:spacing w:line="360" w:lineRule="auto"/>
        <w:ind w:right="360"/>
        <w:rPr>
          <w:rFonts w:ascii="Calibri" w:hAnsi="Calibri" w:cs="Calibri"/>
          <w:b/>
          <w:color w:val="404040"/>
          <w:szCs w:val="20"/>
        </w:rPr>
      </w:pPr>
      <w:r w:rsidRPr="00C91F30">
        <w:rPr>
          <w:rFonts w:ascii="Calibri" w:hAnsi="Calibri" w:cs="Calibri"/>
          <w:b/>
          <w:color w:val="404040"/>
          <w:szCs w:val="20"/>
        </w:rPr>
        <w:t>Actions taken to reduce lead-based paint hazards.</w:t>
      </w:r>
    </w:p>
    <w:p w14:paraId="68ED66E4" w14:textId="77777777" w:rsidR="00C91F30" w:rsidRPr="00C91F30" w:rsidRDefault="00C91F30" w:rsidP="00C91F30">
      <w:pPr>
        <w:spacing w:line="360" w:lineRule="auto"/>
        <w:rPr>
          <w:rFonts w:ascii="Calibri" w:hAnsi="Calibri" w:cs="Arial"/>
          <w:color w:val="404040"/>
        </w:rPr>
      </w:pPr>
      <w:r w:rsidRPr="00C91F30">
        <w:rPr>
          <w:rFonts w:ascii="Calibri" w:hAnsi="Calibri" w:cs="Arial"/>
          <w:color w:val="404040"/>
        </w:rPr>
        <w:t xml:space="preserve">The City continues to maintain “lead procedures” to ensure compliance with both HUD and EPA lead rules.  Many of our contractors have obtained EPA certification due to continued coordinated effort with Salt Lake County. Those that aren’t certified are required to use a certified sub-contractor to handle any lead related work that is included in his or her projects.  </w:t>
      </w:r>
    </w:p>
    <w:p w14:paraId="76912A44" w14:textId="77777777" w:rsidR="00C91F30" w:rsidRPr="00C91F30" w:rsidRDefault="00C91F30" w:rsidP="00C91F30">
      <w:pPr>
        <w:spacing w:line="360" w:lineRule="auto"/>
        <w:rPr>
          <w:rFonts w:ascii="Calibri" w:hAnsi="Calibri" w:cs="Arial"/>
          <w:color w:val="404040"/>
        </w:rPr>
      </w:pPr>
    </w:p>
    <w:p w14:paraId="3A0F730E" w14:textId="77777777" w:rsidR="00C91F30" w:rsidRPr="00C91F30" w:rsidRDefault="00C91F30" w:rsidP="00C91F30">
      <w:pPr>
        <w:spacing w:line="360" w:lineRule="auto"/>
        <w:rPr>
          <w:rFonts w:ascii="Calibri" w:hAnsi="Calibri" w:cs="Arial"/>
          <w:color w:val="404040"/>
        </w:rPr>
      </w:pPr>
      <w:r w:rsidRPr="00C91F30">
        <w:rPr>
          <w:rFonts w:ascii="Calibri" w:hAnsi="Calibri" w:cs="Arial"/>
          <w:color w:val="404040"/>
        </w:rPr>
        <w:t xml:space="preserve">Our staff members have been trained in Lead issues, and when fully staffed the City looks to maintain a balance of Lead Risk Assessors and Certified Lead Inspectors to ensure the City stays compliant with lead requirements.  </w:t>
      </w:r>
    </w:p>
    <w:p w14:paraId="7DBDBFC4" w14:textId="77777777" w:rsidR="00C91F30" w:rsidRPr="00C91F30" w:rsidRDefault="00C91F30" w:rsidP="00C91F30">
      <w:pPr>
        <w:spacing w:line="360" w:lineRule="auto"/>
        <w:rPr>
          <w:rFonts w:ascii="Calibri" w:hAnsi="Calibri" w:cs="Arial"/>
          <w:color w:val="404040"/>
        </w:rPr>
      </w:pPr>
    </w:p>
    <w:p w14:paraId="7372C0AE" w14:textId="77777777" w:rsidR="00C91F30" w:rsidRPr="00C91F30" w:rsidRDefault="00C91F30" w:rsidP="00C91F30">
      <w:pPr>
        <w:spacing w:line="360" w:lineRule="auto"/>
        <w:rPr>
          <w:rFonts w:ascii="Calibri" w:hAnsi="Calibri" w:cs="Arial"/>
          <w:color w:val="404040"/>
        </w:rPr>
      </w:pPr>
      <w:r w:rsidRPr="00C91F30">
        <w:rPr>
          <w:rFonts w:ascii="Calibri" w:hAnsi="Calibri" w:cs="Arial"/>
          <w:color w:val="404040"/>
        </w:rPr>
        <w:t>The City completes a risk assessment for each project that results in preparation of an official work description.  If an applicant decides not to pursue the project, they are given a copy of the risk assessment for their file in the event they want to do work in the future.  We do more risk assessments than we do projects.</w:t>
      </w:r>
    </w:p>
    <w:p w14:paraId="1456C46E" w14:textId="77777777" w:rsidR="00C91F30" w:rsidRPr="00C91F30" w:rsidRDefault="00C91F30" w:rsidP="00C91F30">
      <w:pPr>
        <w:spacing w:line="360" w:lineRule="auto"/>
        <w:rPr>
          <w:rFonts w:ascii="Calibri" w:hAnsi="Calibri" w:cs="Arial"/>
          <w:color w:val="404040"/>
        </w:rPr>
      </w:pPr>
    </w:p>
    <w:p w14:paraId="5FBA751E" w14:textId="44EAEABF" w:rsidR="00C91F30" w:rsidRPr="00C91F30" w:rsidRDefault="00C91F30" w:rsidP="00C91F30">
      <w:pPr>
        <w:spacing w:line="360" w:lineRule="auto"/>
        <w:rPr>
          <w:rFonts w:ascii="Calibri" w:hAnsi="Calibri" w:cs="Arial"/>
          <w:color w:val="404040"/>
        </w:rPr>
      </w:pPr>
      <w:r w:rsidRPr="00C91F30">
        <w:rPr>
          <w:rFonts w:ascii="Calibri" w:hAnsi="Calibri" w:cs="Arial"/>
          <w:color w:val="404040"/>
        </w:rPr>
        <w:t xml:space="preserve">The City continues to work closely with Salt Lake County in the Lead Safe Housing Program, attending monthly meetings and distributing literature on the program every time we participate in an event or have opportunities </w:t>
      </w:r>
      <w:r w:rsidR="00F56302">
        <w:rPr>
          <w:rFonts w:ascii="Calibri" w:hAnsi="Calibri" w:cs="Arial"/>
          <w:color w:val="404040"/>
        </w:rPr>
        <w:t xml:space="preserve">to communicate with community. </w:t>
      </w:r>
      <w:r w:rsidRPr="00C91F30">
        <w:rPr>
          <w:rFonts w:ascii="Calibri" w:hAnsi="Calibri" w:cs="Arial"/>
          <w:color w:val="404040"/>
        </w:rPr>
        <w:t>Any of our rehabilitation projects that qualify for county lead funding are referred to the county to ap</w:t>
      </w:r>
      <w:r w:rsidR="00F56302">
        <w:rPr>
          <w:rFonts w:ascii="Calibri" w:hAnsi="Calibri" w:cs="Arial"/>
          <w:color w:val="404040"/>
        </w:rPr>
        <w:t xml:space="preserve">ply for the county lead grant. </w:t>
      </w:r>
      <w:r w:rsidRPr="00C91F30">
        <w:rPr>
          <w:rFonts w:ascii="Calibri" w:hAnsi="Calibri" w:cs="Arial"/>
          <w:color w:val="404040"/>
        </w:rPr>
        <w:t>If the project doesn’t qualify for county funding, the city will grant up to $5,000 to cover the additional costs thus completing any lead related work that needs to be accomplished.  We continue to find that many homeowners are still resistant to the concept of paying additional money to remediate lead dangers.</w:t>
      </w:r>
    </w:p>
    <w:p w14:paraId="0F2BF2D7" w14:textId="77777777" w:rsidR="00C91F30" w:rsidRPr="00C91F30" w:rsidRDefault="00C91F30" w:rsidP="00C91F30">
      <w:pPr>
        <w:spacing w:line="360" w:lineRule="auto"/>
        <w:rPr>
          <w:rFonts w:ascii="Calibri" w:hAnsi="Calibri" w:cs="Arial"/>
          <w:color w:val="404040"/>
        </w:rPr>
      </w:pPr>
    </w:p>
    <w:p w14:paraId="240FEE03" w14:textId="77E852DD" w:rsidR="00C91F30" w:rsidRPr="00C91F30" w:rsidRDefault="00C91F30" w:rsidP="00C91F30">
      <w:pPr>
        <w:spacing w:line="360" w:lineRule="auto"/>
        <w:rPr>
          <w:rFonts w:ascii="Calibri" w:hAnsi="Calibri" w:cs="Arial"/>
          <w:color w:val="404040"/>
        </w:rPr>
      </w:pPr>
      <w:r w:rsidRPr="00C91F30">
        <w:rPr>
          <w:rFonts w:ascii="Calibri" w:hAnsi="Calibri" w:cs="Arial"/>
          <w:color w:val="404040"/>
        </w:rPr>
        <w:t xml:space="preserve">We do outreach in an ongoing manner, using mailings to households in our target areas, as well as participate at community open houses, </w:t>
      </w:r>
      <w:r w:rsidR="00F56302">
        <w:rPr>
          <w:rFonts w:ascii="Calibri" w:hAnsi="Calibri" w:cs="Arial"/>
          <w:color w:val="404040"/>
        </w:rPr>
        <w:t xml:space="preserve">community festivals and fairs. </w:t>
      </w:r>
      <w:r w:rsidRPr="00C91F30">
        <w:rPr>
          <w:rFonts w:ascii="Calibri" w:hAnsi="Calibri" w:cs="Arial"/>
          <w:color w:val="404040"/>
        </w:rPr>
        <w:t>Staff always makes lead a major point for discussion in our ini</w:t>
      </w:r>
      <w:r w:rsidR="00F56302">
        <w:rPr>
          <w:rFonts w:ascii="Calibri" w:hAnsi="Calibri" w:cs="Arial"/>
          <w:color w:val="404040"/>
        </w:rPr>
        <w:t xml:space="preserve">tial meetings with homeowners. </w:t>
      </w:r>
      <w:r w:rsidRPr="00C91F30">
        <w:rPr>
          <w:rFonts w:ascii="Calibri" w:hAnsi="Calibri" w:cs="Arial"/>
          <w:color w:val="404040"/>
        </w:rPr>
        <w:t xml:space="preserve">We are working with Salt Lake County to develop projects to address lead issues in cases where elevated blood lead levels have been found.  </w:t>
      </w:r>
    </w:p>
    <w:p w14:paraId="122A9CA5" w14:textId="77777777" w:rsidR="00C91F30" w:rsidRPr="00C91F30" w:rsidRDefault="00C91F30" w:rsidP="00C91F30">
      <w:pPr>
        <w:spacing w:line="276" w:lineRule="auto"/>
        <w:ind w:right="360"/>
        <w:rPr>
          <w:rFonts w:ascii="Calibri" w:hAnsi="Calibri" w:cs="Calibri"/>
          <w:b/>
          <w:color w:val="FF0000"/>
          <w:szCs w:val="20"/>
        </w:rPr>
      </w:pPr>
    </w:p>
    <w:p w14:paraId="07C81839" w14:textId="77777777" w:rsidR="00C91F30" w:rsidRPr="00C91F30" w:rsidRDefault="00C91F30" w:rsidP="00C91F30">
      <w:pPr>
        <w:widowControl w:val="0"/>
        <w:autoSpaceDE w:val="0"/>
        <w:autoSpaceDN w:val="0"/>
        <w:adjustRightInd w:val="0"/>
        <w:spacing w:line="360" w:lineRule="auto"/>
        <w:rPr>
          <w:rFonts w:ascii="Calibri" w:eastAsia="Calibri" w:hAnsi="Calibri" w:cs="Verdana"/>
          <w:b/>
          <w:bCs/>
          <w:color w:val="404040"/>
          <w:szCs w:val="20"/>
        </w:rPr>
      </w:pPr>
      <w:r w:rsidRPr="00C91F30">
        <w:rPr>
          <w:rFonts w:ascii="Calibri" w:eastAsia="Calibri" w:hAnsi="Calibri" w:cs="Verdana"/>
          <w:b/>
          <w:bCs/>
          <w:color w:val="404040"/>
          <w:szCs w:val="20"/>
        </w:rPr>
        <w:t>Actions taken to reduce the number of poverty-level families:</w:t>
      </w:r>
    </w:p>
    <w:p w14:paraId="2255F19D" w14:textId="77777777" w:rsidR="00C91F30" w:rsidRPr="00C91F30" w:rsidRDefault="00C91F30" w:rsidP="00C91F30">
      <w:pPr>
        <w:spacing w:line="360" w:lineRule="auto"/>
        <w:rPr>
          <w:rFonts w:ascii="Calibri" w:hAnsi="Calibri"/>
          <w:color w:val="404040"/>
          <w:szCs w:val="20"/>
        </w:rPr>
      </w:pPr>
      <w:r w:rsidRPr="00C91F30">
        <w:rPr>
          <w:rFonts w:ascii="Calibri" w:hAnsi="Calibri"/>
          <w:color w:val="404040"/>
          <w:szCs w:val="20"/>
        </w:rPr>
        <w:t>In a strategic effort to reduce the number of households living in poverty and prevent households at risk of moving in to poverty from doing so, Salt Lake City is focusing on a two-pronged approach:</w:t>
      </w:r>
    </w:p>
    <w:p w14:paraId="5622E2A2" w14:textId="77777777" w:rsidR="00C91F30" w:rsidRPr="00C91F30" w:rsidRDefault="00C91F30" w:rsidP="00C91F30">
      <w:pPr>
        <w:spacing w:line="360" w:lineRule="auto"/>
        <w:rPr>
          <w:rFonts w:ascii="Calibri" w:hAnsi="Calibri"/>
          <w:color w:val="404040"/>
          <w:szCs w:val="20"/>
        </w:rPr>
      </w:pPr>
    </w:p>
    <w:p w14:paraId="135D4F73" w14:textId="77777777" w:rsidR="00C91F30" w:rsidRPr="00C91F30" w:rsidRDefault="00C91F30" w:rsidP="00C91F30">
      <w:pPr>
        <w:numPr>
          <w:ilvl w:val="0"/>
          <w:numId w:val="18"/>
        </w:numPr>
        <w:spacing w:line="360" w:lineRule="auto"/>
        <w:contextualSpacing/>
        <w:rPr>
          <w:rFonts w:ascii="Calibri" w:hAnsi="Calibri"/>
          <w:color w:val="404040"/>
          <w:szCs w:val="20"/>
        </w:rPr>
      </w:pPr>
      <w:r w:rsidRPr="00C91F30">
        <w:rPr>
          <w:rFonts w:ascii="Calibri" w:hAnsi="Calibri"/>
          <w:color w:val="404040"/>
          <w:szCs w:val="20"/>
        </w:rPr>
        <w:t>Creating neighborhoods of opportunity to build capacity and expand resources within concentrated areas of poverty.</w:t>
      </w:r>
    </w:p>
    <w:p w14:paraId="7DBDA625" w14:textId="77777777" w:rsidR="00C91F30" w:rsidRPr="00C91F30" w:rsidRDefault="00C91F30" w:rsidP="00C91F30">
      <w:pPr>
        <w:numPr>
          <w:ilvl w:val="0"/>
          <w:numId w:val="18"/>
        </w:numPr>
        <w:spacing w:line="360" w:lineRule="auto"/>
        <w:contextualSpacing/>
        <w:rPr>
          <w:rFonts w:ascii="Calibri" w:hAnsi="Calibri"/>
          <w:color w:val="404040"/>
          <w:szCs w:val="20"/>
        </w:rPr>
      </w:pPr>
      <w:r w:rsidRPr="00C91F30">
        <w:rPr>
          <w:rFonts w:ascii="Calibri" w:hAnsi="Calibri"/>
          <w:color w:val="404040"/>
          <w:szCs w:val="20"/>
        </w:rPr>
        <w:t>Support the city’s most vulnerable populations, including the chronically homeless, homeless families, food-insecure individuals, the disabled, persons living with HIV/AIDS, victims of domestic violence, at-risk children, individuals with substance use disorders, and the low-income elderly.</w:t>
      </w:r>
    </w:p>
    <w:p w14:paraId="6F9BE28F" w14:textId="77777777" w:rsidR="00C91F30" w:rsidRPr="00C91F30" w:rsidRDefault="00C91F30" w:rsidP="00C91F30">
      <w:pPr>
        <w:spacing w:line="360" w:lineRule="auto"/>
        <w:rPr>
          <w:rFonts w:ascii="Calibri" w:hAnsi="Calibri"/>
          <w:color w:val="404040"/>
          <w:szCs w:val="20"/>
        </w:rPr>
      </w:pPr>
    </w:p>
    <w:p w14:paraId="4A4F715F" w14:textId="77777777" w:rsidR="00C91F30" w:rsidRPr="00C91F30" w:rsidRDefault="00C91F30" w:rsidP="00C91F30">
      <w:pPr>
        <w:spacing w:line="360" w:lineRule="auto"/>
        <w:rPr>
          <w:rFonts w:ascii="Calibri" w:hAnsi="Calibri"/>
          <w:color w:val="404040"/>
          <w:szCs w:val="20"/>
        </w:rPr>
      </w:pPr>
      <w:r w:rsidRPr="00C91F30">
        <w:rPr>
          <w:rFonts w:ascii="Calibri" w:hAnsi="Calibri"/>
          <w:color w:val="404040"/>
          <w:szCs w:val="20"/>
        </w:rPr>
        <w:t>The City’s anti-poverty strategy aims to close the gap in a number of socioeconomic indicators, such improving housing affordability, school-readiness of young children, employment skills of at-risk adults, and access to transportation for low-income households. Efforts were focused on the following objectives:</w:t>
      </w:r>
    </w:p>
    <w:p w14:paraId="64BD393A" w14:textId="77777777" w:rsidR="00C91F30" w:rsidRPr="00C91F30" w:rsidRDefault="00C91F30" w:rsidP="00C91F30">
      <w:pPr>
        <w:numPr>
          <w:ilvl w:val="0"/>
          <w:numId w:val="14"/>
        </w:numPr>
        <w:spacing w:line="360" w:lineRule="auto"/>
        <w:contextualSpacing/>
        <w:rPr>
          <w:rFonts w:ascii="Calibri" w:hAnsi="Calibri"/>
          <w:color w:val="404040"/>
          <w:szCs w:val="20"/>
        </w:rPr>
      </w:pPr>
      <w:r w:rsidRPr="00C91F30">
        <w:rPr>
          <w:rFonts w:ascii="Calibri" w:hAnsi="Calibri"/>
          <w:color w:val="404040"/>
          <w:szCs w:val="20"/>
        </w:rPr>
        <w:t>Assist low-income individuals to maximize their incomes</w:t>
      </w:r>
    </w:p>
    <w:p w14:paraId="4A495F9B" w14:textId="77777777" w:rsidR="00C91F30" w:rsidRPr="00C91F30" w:rsidRDefault="00C91F30" w:rsidP="00C91F30">
      <w:pPr>
        <w:numPr>
          <w:ilvl w:val="0"/>
          <w:numId w:val="14"/>
        </w:numPr>
        <w:spacing w:line="360" w:lineRule="auto"/>
        <w:contextualSpacing/>
        <w:rPr>
          <w:rFonts w:ascii="Calibri" w:hAnsi="Calibri"/>
          <w:color w:val="404040"/>
          <w:szCs w:val="20"/>
        </w:rPr>
      </w:pPr>
      <w:r w:rsidRPr="00C91F30">
        <w:rPr>
          <w:rFonts w:ascii="Calibri" w:hAnsi="Calibri"/>
          <w:color w:val="404040"/>
          <w:szCs w:val="20"/>
        </w:rPr>
        <w:t>Reduce the linkages between poor health and poverty</w:t>
      </w:r>
    </w:p>
    <w:p w14:paraId="7BE5889C" w14:textId="77777777" w:rsidR="00C91F30" w:rsidRPr="00C91F30" w:rsidRDefault="00C91F30" w:rsidP="00C91F30">
      <w:pPr>
        <w:numPr>
          <w:ilvl w:val="0"/>
          <w:numId w:val="14"/>
        </w:numPr>
        <w:spacing w:line="360" w:lineRule="auto"/>
        <w:contextualSpacing/>
        <w:rPr>
          <w:rFonts w:ascii="Calibri" w:hAnsi="Calibri"/>
          <w:color w:val="404040"/>
          <w:szCs w:val="20"/>
        </w:rPr>
      </w:pPr>
      <w:r w:rsidRPr="00C91F30">
        <w:rPr>
          <w:rFonts w:ascii="Calibri" w:hAnsi="Calibri"/>
          <w:color w:val="404040"/>
          <w:szCs w:val="20"/>
        </w:rPr>
        <w:t>Expand housing opportunities</w:t>
      </w:r>
    </w:p>
    <w:p w14:paraId="2FB6B791" w14:textId="77777777" w:rsidR="00C91F30" w:rsidRPr="00C91F30" w:rsidRDefault="00C91F30" w:rsidP="00C91F30">
      <w:pPr>
        <w:numPr>
          <w:ilvl w:val="0"/>
          <w:numId w:val="14"/>
        </w:numPr>
        <w:spacing w:line="360" w:lineRule="auto"/>
        <w:contextualSpacing/>
        <w:rPr>
          <w:rFonts w:ascii="Calibri" w:hAnsi="Calibri"/>
          <w:color w:val="404040"/>
          <w:szCs w:val="20"/>
        </w:rPr>
      </w:pPr>
      <w:r w:rsidRPr="00C91F30">
        <w:rPr>
          <w:rFonts w:ascii="Calibri" w:hAnsi="Calibri"/>
          <w:color w:val="404040"/>
          <w:szCs w:val="20"/>
        </w:rPr>
        <w:t>Reduce the impacts of poverty on children</w:t>
      </w:r>
    </w:p>
    <w:p w14:paraId="0FAD08ED" w14:textId="77777777" w:rsidR="00C91F30" w:rsidRPr="00C91F30" w:rsidRDefault="00C91F30" w:rsidP="00C91F30">
      <w:pPr>
        <w:numPr>
          <w:ilvl w:val="0"/>
          <w:numId w:val="14"/>
        </w:numPr>
        <w:spacing w:line="360" w:lineRule="auto"/>
        <w:contextualSpacing/>
        <w:rPr>
          <w:rFonts w:ascii="Calibri" w:hAnsi="Calibri"/>
          <w:color w:val="404040"/>
          <w:szCs w:val="20"/>
        </w:rPr>
      </w:pPr>
      <w:r w:rsidRPr="00C91F30">
        <w:rPr>
          <w:rFonts w:ascii="Calibri" w:hAnsi="Calibri"/>
          <w:color w:val="404040"/>
          <w:szCs w:val="20"/>
        </w:rPr>
        <w:t>Ensure that vulnerable populations have access to supportive services</w:t>
      </w:r>
    </w:p>
    <w:p w14:paraId="7C3C1801" w14:textId="77777777" w:rsidR="00C91F30" w:rsidRPr="00C91F30" w:rsidRDefault="00C91F30" w:rsidP="00C91F30">
      <w:pPr>
        <w:spacing w:line="360" w:lineRule="auto"/>
        <w:rPr>
          <w:rFonts w:ascii="Calibri" w:hAnsi="Calibri"/>
          <w:color w:val="404040"/>
          <w:szCs w:val="20"/>
        </w:rPr>
      </w:pPr>
    </w:p>
    <w:p w14:paraId="2871C923" w14:textId="77777777" w:rsidR="00C91F30" w:rsidRPr="00C91F30" w:rsidRDefault="00C91F30" w:rsidP="00C91F30">
      <w:pPr>
        <w:spacing w:line="360" w:lineRule="auto"/>
        <w:rPr>
          <w:rFonts w:ascii="Calibri" w:hAnsi="Calibri"/>
          <w:color w:val="404040"/>
          <w:szCs w:val="20"/>
        </w:rPr>
      </w:pPr>
      <w:r w:rsidRPr="00C91F30">
        <w:rPr>
          <w:rFonts w:ascii="Calibri" w:hAnsi="Calibri"/>
          <w:color w:val="404040"/>
          <w:szCs w:val="20"/>
        </w:rPr>
        <w:t>Federal entitlement funds allocated through this program year supported the City’s anti-poverty strategy through the following efforts:</w:t>
      </w:r>
    </w:p>
    <w:p w14:paraId="303E1769" w14:textId="77777777" w:rsidR="00C91F30" w:rsidRPr="00C91F30" w:rsidRDefault="00C91F30" w:rsidP="00C91F30">
      <w:pPr>
        <w:numPr>
          <w:ilvl w:val="0"/>
          <w:numId w:val="15"/>
        </w:numPr>
        <w:spacing w:line="360" w:lineRule="auto"/>
        <w:contextualSpacing/>
        <w:rPr>
          <w:rFonts w:ascii="Calibri" w:hAnsi="Calibri"/>
          <w:color w:val="404040"/>
          <w:szCs w:val="20"/>
        </w:rPr>
      </w:pPr>
      <w:r w:rsidRPr="00C91F30">
        <w:rPr>
          <w:rFonts w:ascii="Calibri" w:hAnsi="Calibri"/>
          <w:color w:val="404040"/>
          <w:szCs w:val="20"/>
        </w:rPr>
        <w:t>Provided job training for vulnerable populations</w:t>
      </w:r>
    </w:p>
    <w:p w14:paraId="5914ECDC" w14:textId="77777777" w:rsidR="00C91F30" w:rsidRPr="00C91F30" w:rsidRDefault="00C91F30" w:rsidP="00C91F30">
      <w:pPr>
        <w:numPr>
          <w:ilvl w:val="0"/>
          <w:numId w:val="15"/>
        </w:numPr>
        <w:spacing w:line="360" w:lineRule="auto"/>
        <w:contextualSpacing/>
        <w:rPr>
          <w:rFonts w:ascii="Calibri" w:hAnsi="Calibri"/>
          <w:color w:val="404040"/>
          <w:szCs w:val="20"/>
        </w:rPr>
      </w:pPr>
      <w:r w:rsidRPr="00C91F30">
        <w:rPr>
          <w:rFonts w:ascii="Calibri" w:hAnsi="Calibri"/>
          <w:color w:val="404040"/>
          <w:szCs w:val="20"/>
        </w:rPr>
        <w:t>Provided early childhood education to limit the effects of intergenerational poverty</w:t>
      </w:r>
    </w:p>
    <w:p w14:paraId="12CFAC56" w14:textId="77777777" w:rsidR="00C91F30" w:rsidRPr="00C91F30" w:rsidRDefault="00C91F30" w:rsidP="00C91F30">
      <w:pPr>
        <w:numPr>
          <w:ilvl w:val="0"/>
          <w:numId w:val="15"/>
        </w:numPr>
        <w:spacing w:line="360" w:lineRule="auto"/>
        <w:contextualSpacing/>
        <w:rPr>
          <w:rFonts w:ascii="Calibri" w:hAnsi="Calibri"/>
          <w:color w:val="404040"/>
          <w:szCs w:val="20"/>
        </w:rPr>
      </w:pPr>
      <w:r w:rsidRPr="00C91F30">
        <w:rPr>
          <w:rFonts w:ascii="Calibri" w:hAnsi="Calibri"/>
          <w:color w:val="404040"/>
          <w:szCs w:val="20"/>
        </w:rPr>
        <w:t>Provided essential supportive services for vulnerable populations</w:t>
      </w:r>
    </w:p>
    <w:p w14:paraId="44130EBF" w14:textId="77777777" w:rsidR="00C91F30" w:rsidRPr="00C91F30" w:rsidRDefault="00C91F30" w:rsidP="00C91F30">
      <w:pPr>
        <w:numPr>
          <w:ilvl w:val="0"/>
          <w:numId w:val="15"/>
        </w:numPr>
        <w:spacing w:line="360" w:lineRule="auto"/>
        <w:contextualSpacing/>
        <w:rPr>
          <w:rFonts w:ascii="Calibri" w:hAnsi="Calibri"/>
          <w:color w:val="404040"/>
          <w:szCs w:val="20"/>
        </w:rPr>
      </w:pPr>
      <w:r w:rsidRPr="00C91F30">
        <w:rPr>
          <w:rFonts w:ascii="Calibri" w:hAnsi="Calibri"/>
          <w:color w:val="404040"/>
          <w:szCs w:val="20"/>
        </w:rPr>
        <w:t>Provided housing rehabilitation for low-income homeowners</w:t>
      </w:r>
    </w:p>
    <w:p w14:paraId="2A29955F" w14:textId="77777777" w:rsidR="00C91F30" w:rsidRPr="00C91F30" w:rsidRDefault="00C91F30" w:rsidP="00C91F30">
      <w:pPr>
        <w:numPr>
          <w:ilvl w:val="0"/>
          <w:numId w:val="15"/>
        </w:numPr>
        <w:spacing w:line="360" w:lineRule="auto"/>
        <w:contextualSpacing/>
        <w:rPr>
          <w:rFonts w:ascii="Calibri" w:hAnsi="Calibri"/>
          <w:color w:val="404040"/>
          <w:szCs w:val="20"/>
        </w:rPr>
      </w:pPr>
      <w:r w:rsidRPr="00C91F30">
        <w:rPr>
          <w:rFonts w:ascii="Calibri" w:hAnsi="Calibri"/>
          <w:color w:val="404040"/>
          <w:szCs w:val="20"/>
        </w:rPr>
        <w:t>Expanded affordable housing opportunities</w:t>
      </w:r>
    </w:p>
    <w:p w14:paraId="18542B24" w14:textId="77777777" w:rsidR="00C91F30" w:rsidRPr="00C91F30" w:rsidRDefault="00C91F30" w:rsidP="00C91F30">
      <w:pPr>
        <w:numPr>
          <w:ilvl w:val="0"/>
          <w:numId w:val="15"/>
        </w:numPr>
        <w:spacing w:line="360" w:lineRule="auto"/>
        <w:contextualSpacing/>
        <w:rPr>
          <w:rFonts w:ascii="Calibri" w:hAnsi="Calibri"/>
          <w:color w:val="404040"/>
          <w:szCs w:val="20"/>
        </w:rPr>
      </w:pPr>
      <w:r w:rsidRPr="00C91F30">
        <w:rPr>
          <w:rFonts w:ascii="Calibri" w:hAnsi="Calibri"/>
          <w:color w:val="404040"/>
          <w:szCs w:val="20"/>
        </w:rPr>
        <w:t>Improved neighborhood/commercial infrastructure in concentrated areas of poverty</w:t>
      </w:r>
    </w:p>
    <w:p w14:paraId="7007BE72" w14:textId="77777777" w:rsidR="00C91F30" w:rsidRPr="00C91F30" w:rsidRDefault="00C91F30" w:rsidP="00C91F30">
      <w:pPr>
        <w:widowControl w:val="0"/>
        <w:autoSpaceDE w:val="0"/>
        <w:autoSpaceDN w:val="0"/>
        <w:adjustRightInd w:val="0"/>
        <w:spacing w:line="360" w:lineRule="auto"/>
        <w:rPr>
          <w:rFonts w:ascii="Calibri" w:eastAsia="Calibri" w:hAnsi="Calibri" w:cs="Verdana"/>
          <w:b/>
          <w:bCs/>
          <w:color w:val="404040"/>
          <w:szCs w:val="20"/>
        </w:rPr>
      </w:pPr>
    </w:p>
    <w:p w14:paraId="67A21339" w14:textId="77777777" w:rsidR="00DD50F1" w:rsidRDefault="00DD50F1" w:rsidP="00C91F30">
      <w:pPr>
        <w:widowControl w:val="0"/>
        <w:autoSpaceDE w:val="0"/>
        <w:autoSpaceDN w:val="0"/>
        <w:adjustRightInd w:val="0"/>
        <w:spacing w:line="360" w:lineRule="auto"/>
        <w:rPr>
          <w:rFonts w:ascii="Calibri" w:eastAsia="Calibri" w:hAnsi="Calibri" w:cs="Verdana"/>
          <w:b/>
          <w:bCs/>
          <w:color w:val="404040"/>
          <w:szCs w:val="20"/>
        </w:rPr>
      </w:pPr>
    </w:p>
    <w:p w14:paraId="7422085B" w14:textId="77777777" w:rsidR="00C91F30" w:rsidRPr="00C91F30" w:rsidRDefault="00C91F30" w:rsidP="00C91F30">
      <w:pPr>
        <w:widowControl w:val="0"/>
        <w:autoSpaceDE w:val="0"/>
        <w:autoSpaceDN w:val="0"/>
        <w:adjustRightInd w:val="0"/>
        <w:spacing w:line="360" w:lineRule="auto"/>
        <w:rPr>
          <w:rFonts w:ascii="Calibri" w:eastAsia="Calibri" w:hAnsi="Calibri" w:cs="Verdana"/>
          <w:b/>
          <w:bCs/>
          <w:color w:val="404040"/>
          <w:szCs w:val="20"/>
        </w:rPr>
      </w:pPr>
      <w:r w:rsidRPr="00C91F30">
        <w:rPr>
          <w:rFonts w:ascii="Calibri" w:eastAsia="Calibri" w:hAnsi="Calibri" w:cs="Verdana"/>
          <w:b/>
          <w:bCs/>
          <w:color w:val="404040"/>
          <w:szCs w:val="20"/>
        </w:rPr>
        <w:t>Actions taken to develop institutional structure:</w:t>
      </w:r>
    </w:p>
    <w:p w14:paraId="58A78F75" w14:textId="77777777" w:rsidR="00C91F30" w:rsidRPr="00C91F30" w:rsidRDefault="00C91F30" w:rsidP="00C91F30">
      <w:pPr>
        <w:spacing w:line="360" w:lineRule="auto"/>
        <w:rPr>
          <w:rFonts w:ascii="Calibri" w:eastAsia="Calibri" w:hAnsi="Calibri" w:cs="Verdana"/>
          <w:bCs/>
          <w:color w:val="404040"/>
          <w:szCs w:val="20"/>
        </w:rPr>
      </w:pPr>
      <w:r w:rsidRPr="00C91F30">
        <w:rPr>
          <w:rFonts w:ascii="Calibri" w:eastAsia="Calibri" w:hAnsi="Calibri" w:cs="Verdana"/>
          <w:bCs/>
          <w:color w:val="404040"/>
          <w:szCs w:val="20"/>
        </w:rPr>
        <w:t>As outlined in the 2015-2019 Consolidated Plan, Salt Lake City has taken a coordinated and strategic shift in allocating federal entitlement funds to place a stronger emphasis on community needs, goals, objectives and outcomes. This includes the following efforts to strengthen and develop institutional structure:</w:t>
      </w:r>
    </w:p>
    <w:p w14:paraId="2F3753D9" w14:textId="77777777" w:rsidR="00C91F30" w:rsidRPr="00C91F30" w:rsidRDefault="00C91F30" w:rsidP="00C91F30">
      <w:pPr>
        <w:numPr>
          <w:ilvl w:val="0"/>
          <w:numId w:val="16"/>
        </w:numPr>
        <w:spacing w:line="360" w:lineRule="auto"/>
        <w:contextualSpacing/>
        <w:rPr>
          <w:rFonts w:ascii="Calibri" w:eastAsia="Calibri" w:hAnsi="Calibri" w:cs="Verdana"/>
          <w:bCs/>
          <w:color w:val="404040"/>
          <w:szCs w:val="20"/>
        </w:rPr>
      </w:pPr>
      <w:r w:rsidRPr="00C91F30">
        <w:rPr>
          <w:rFonts w:ascii="Calibri" w:eastAsia="Calibri" w:hAnsi="Calibri" w:cs="Verdana"/>
          <w:bCs/>
          <w:color w:val="404040"/>
          <w:szCs w:val="20"/>
        </w:rPr>
        <w:t xml:space="preserve">Geographically targeted funding to racial and ethnic concentrated areas of poverty, with focus on the Central City/Central Ninth and Poplar Grove local target areas, to increase access to opportunity within these neighborhoods. </w:t>
      </w:r>
    </w:p>
    <w:p w14:paraId="78986539" w14:textId="77777777" w:rsidR="00C91F30" w:rsidRPr="00C91F30" w:rsidRDefault="00C91F30" w:rsidP="00C91F30">
      <w:pPr>
        <w:numPr>
          <w:ilvl w:val="0"/>
          <w:numId w:val="16"/>
        </w:numPr>
        <w:spacing w:line="360" w:lineRule="auto"/>
        <w:contextualSpacing/>
        <w:rPr>
          <w:rFonts w:ascii="Calibri" w:eastAsia="Calibri" w:hAnsi="Calibri" w:cs="Verdana"/>
          <w:bCs/>
          <w:color w:val="404040"/>
          <w:szCs w:val="20"/>
        </w:rPr>
      </w:pPr>
      <w:r w:rsidRPr="00C91F30">
        <w:rPr>
          <w:rFonts w:ascii="Calibri" w:eastAsia="Calibri" w:hAnsi="Calibri" w:cs="Verdana"/>
          <w:bCs/>
          <w:color w:val="404040"/>
          <w:szCs w:val="20"/>
        </w:rPr>
        <w:t>Increased coordination between housing and supportive service providers to reduce/eliminate duplicative efforts, encourage partnerships, increase transparency, and standardize processes.</w:t>
      </w:r>
    </w:p>
    <w:p w14:paraId="09704128" w14:textId="77777777" w:rsidR="00C91F30" w:rsidRPr="00C91F30" w:rsidRDefault="00C91F30" w:rsidP="00C91F30">
      <w:pPr>
        <w:numPr>
          <w:ilvl w:val="0"/>
          <w:numId w:val="16"/>
        </w:numPr>
        <w:spacing w:line="360" w:lineRule="auto"/>
        <w:contextualSpacing/>
        <w:rPr>
          <w:rFonts w:ascii="Calibri" w:hAnsi="Calibri"/>
          <w:color w:val="404040"/>
          <w:szCs w:val="20"/>
        </w:rPr>
      </w:pPr>
      <w:r w:rsidRPr="00C91F30">
        <w:rPr>
          <w:rFonts w:ascii="Calibri" w:hAnsi="Calibri"/>
          <w:color w:val="404040"/>
          <w:szCs w:val="20"/>
        </w:rPr>
        <w:t>Strengthened support for the city’s most vulnerable populations, including the chronically homeless, homeless families, food-insecure individuals, the disabled, persons living with HIV/AIDS, victims of domestic violence and the low-income elderly.</w:t>
      </w:r>
    </w:p>
    <w:p w14:paraId="32806257" w14:textId="77777777" w:rsidR="00C91F30" w:rsidRPr="00C91F30" w:rsidRDefault="00C91F30" w:rsidP="00C91F30">
      <w:pPr>
        <w:numPr>
          <w:ilvl w:val="0"/>
          <w:numId w:val="16"/>
        </w:numPr>
        <w:spacing w:line="360" w:lineRule="auto"/>
        <w:contextualSpacing/>
        <w:rPr>
          <w:rFonts w:ascii="Calibri" w:hAnsi="Calibri"/>
          <w:color w:val="404040"/>
          <w:szCs w:val="20"/>
        </w:rPr>
      </w:pPr>
      <w:r w:rsidRPr="00C91F30">
        <w:rPr>
          <w:rFonts w:ascii="Calibri" w:hAnsi="Calibri"/>
          <w:color w:val="404040"/>
          <w:szCs w:val="20"/>
        </w:rPr>
        <w:t>Supported housing efforts that connect residents with supportive services and programs that improve self-sufficiency.</w:t>
      </w:r>
    </w:p>
    <w:p w14:paraId="02497009" w14:textId="77777777" w:rsidR="00C91F30" w:rsidRPr="00C91F30" w:rsidRDefault="00C91F30" w:rsidP="00C91F30">
      <w:pPr>
        <w:numPr>
          <w:ilvl w:val="0"/>
          <w:numId w:val="16"/>
        </w:numPr>
        <w:spacing w:line="360" w:lineRule="auto"/>
        <w:contextualSpacing/>
        <w:rPr>
          <w:rFonts w:ascii="Calibri" w:hAnsi="Calibri"/>
          <w:color w:val="404040"/>
          <w:szCs w:val="20"/>
        </w:rPr>
      </w:pPr>
      <w:r w:rsidRPr="00C91F30">
        <w:rPr>
          <w:rFonts w:ascii="Calibri" w:hAnsi="Calibri"/>
          <w:color w:val="404040"/>
          <w:szCs w:val="20"/>
        </w:rPr>
        <w:t xml:space="preserve">Provided technical assistance to agencies implementing projects with CDBG, ESG, HOME, and/or HOPWA funding to ensure compliance and support of program objectives. Technical assistance was provided to each agency that had not received funding from Salt Lake City in the past few years, or any agency that requested it to assist in strengthening their programs and the knowledge of staff members. </w:t>
      </w:r>
    </w:p>
    <w:p w14:paraId="565BC73C" w14:textId="77777777" w:rsidR="00C91F30" w:rsidRPr="00C91F30" w:rsidRDefault="00C91F30" w:rsidP="00C91F30">
      <w:pPr>
        <w:numPr>
          <w:ilvl w:val="0"/>
          <w:numId w:val="16"/>
        </w:numPr>
        <w:spacing w:line="360" w:lineRule="auto"/>
        <w:contextualSpacing/>
        <w:rPr>
          <w:rFonts w:ascii="Calibri" w:hAnsi="Calibri"/>
          <w:color w:val="404040"/>
          <w:szCs w:val="20"/>
        </w:rPr>
      </w:pPr>
      <w:r w:rsidRPr="00C91F30">
        <w:rPr>
          <w:rFonts w:ascii="Calibri" w:hAnsi="Calibri"/>
          <w:color w:val="404040"/>
          <w:szCs w:val="20"/>
        </w:rPr>
        <w:t>Supported employee training and certifications to expand the internal knowledge base on HUD programs, as well as housing and community development best practices.</w:t>
      </w:r>
    </w:p>
    <w:p w14:paraId="19F72AF5" w14:textId="77777777" w:rsidR="00C91F30" w:rsidRPr="00C91F30" w:rsidRDefault="00C91F30" w:rsidP="00C91F30">
      <w:pPr>
        <w:numPr>
          <w:ilvl w:val="0"/>
          <w:numId w:val="16"/>
        </w:numPr>
        <w:spacing w:line="360" w:lineRule="auto"/>
        <w:contextualSpacing/>
        <w:rPr>
          <w:rFonts w:ascii="Calibri" w:hAnsi="Calibri"/>
          <w:color w:val="404040"/>
          <w:szCs w:val="20"/>
        </w:rPr>
      </w:pPr>
      <w:r w:rsidRPr="00C91F30">
        <w:rPr>
          <w:rFonts w:ascii="Calibri" w:hAnsi="Calibri"/>
          <w:color w:val="404040"/>
          <w:szCs w:val="20"/>
        </w:rPr>
        <w:t xml:space="preserve">Sent staff to HUD led trainings including the HOPWA Institute and CPD Grant Training. </w:t>
      </w:r>
    </w:p>
    <w:p w14:paraId="3A37C189" w14:textId="77777777" w:rsidR="00C91F30" w:rsidRPr="00C91F30" w:rsidRDefault="00C91F30" w:rsidP="00C91F30">
      <w:pPr>
        <w:spacing w:line="360" w:lineRule="auto"/>
        <w:ind w:right="360"/>
        <w:rPr>
          <w:rFonts w:ascii="Calibri" w:hAnsi="Calibri" w:cs="Calibri"/>
          <w:b/>
          <w:color w:val="404040"/>
          <w:szCs w:val="20"/>
        </w:rPr>
      </w:pPr>
    </w:p>
    <w:p w14:paraId="08087805" w14:textId="77777777" w:rsidR="00C91F30" w:rsidRPr="00C91F30" w:rsidRDefault="00C91F30" w:rsidP="00C91F30">
      <w:pPr>
        <w:widowControl w:val="0"/>
        <w:autoSpaceDE w:val="0"/>
        <w:autoSpaceDN w:val="0"/>
        <w:adjustRightInd w:val="0"/>
        <w:spacing w:line="360" w:lineRule="auto"/>
        <w:rPr>
          <w:rFonts w:ascii="Calibri" w:eastAsia="Calibri" w:hAnsi="Calibri" w:cs="Verdana"/>
          <w:b/>
          <w:bCs/>
          <w:color w:val="404040"/>
          <w:szCs w:val="20"/>
        </w:rPr>
      </w:pPr>
      <w:r w:rsidRPr="00C91F30">
        <w:rPr>
          <w:rFonts w:ascii="Calibri" w:eastAsia="Calibri" w:hAnsi="Calibri" w:cs="Verdana"/>
          <w:b/>
          <w:bCs/>
          <w:color w:val="404040"/>
          <w:szCs w:val="20"/>
        </w:rPr>
        <w:t>Actions taken to enhance coordination between public and private housing and social service agencies:</w:t>
      </w:r>
    </w:p>
    <w:p w14:paraId="47F103B9" w14:textId="77777777" w:rsidR="00C91F30" w:rsidRPr="00C91F30" w:rsidRDefault="00C91F30" w:rsidP="00C91F30">
      <w:pPr>
        <w:spacing w:line="360" w:lineRule="auto"/>
        <w:rPr>
          <w:rFonts w:ascii="Calibri" w:eastAsia="Calibri" w:hAnsi="Calibri" w:cs="Verdana"/>
          <w:bCs/>
          <w:color w:val="404040"/>
          <w:szCs w:val="20"/>
        </w:rPr>
      </w:pPr>
      <w:r w:rsidRPr="00C91F30">
        <w:rPr>
          <w:rFonts w:ascii="Calibri" w:eastAsia="Calibri" w:hAnsi="Calibri" w:cs="Verdana"/>
          <w:bCs/>
          <w:color w:val="404040"/>
          <w:szCs w:val="20"/>
        </w:rPr>
        <w:t>Salt Lake City recognizes the importance of coordination between supportive service and housing providers in meeting priority needs. Stakeholders have continued to work towards developing and implementing a streamlined and effective delivery system to include the following efforts:</w:t>
      </w:r>
    </w:p>
    <w:p w14:paraId="0428BAFC" w14:textId="77777777" w:rsidR="00C91F30" w:rsidRPr="00C91F30" w:rsidRDefault="00C91F30" w:rsidP="00C91F30">
      <w:pPr>
        <w:numPr>
          <w:ilvl w:val="0"/>
          <w:numId w:val="17"/>
        </w:numPr>
        <w:spacing w:line="360" w:lineRule="auto"/>
        <w:contextualSpacing/>
        <w:rPr>
          <w:rFonts w:ascii="Calibri" w:eastAsia="Calibri" w:hAnsi="Calibri" w:cs="Verdana"/>
          <w:bCs/>
          <w:color w:val="404040"/>
          <w:szCs w:val="20"/>
        </w:rPr>
      </w:pPr>
      <w:r w:rsidRPr="00C91F30">
        <w:rPr>
          <w:rFonts w:ascii="Calibri" w:eastAsia="Calibri" w:hAnsi="Calibri" w:cs="Verdana"/>
          <w:bCs/>
          <w:color w:val="404040"/>
          <w:szCs w:val="20"/>
        </w:rPr>
        <w:t>Increased coordination through the Salt Lake Continuum of Care and Homeless Coordinating Committee</w:t>
      </w:r>
    </w:p>
    <w:p w14:paraId="299A02CE" w14:textId="77777777" w:rsidR="00C91F30" w:rsidRPr="00C91F30" w:rsidRDefault="00C91F30" w:rsidP="00C91F30">
      <w:pPr>
        <w:numPr>
          <w:ilvl w:val="0"/>
          <w:numId w:val="17"/>
        </w:numPr>
        <w:spacing w:line="360" w:lineRule="auto"/>
        <w:contextualSpacing/>
        <w:rPr>
          <w:rFonts w:ascii="Calibri" w:eastAsia="Calibri" w:hAnsi="Calibri" w:cs="Verdana"/>
          <w:bCs/>
          <w:color w:val="404040"/>
          <w:szCs w:val="20"/>
        </w:rPr>
      </w:pPr>
      <w:r w:rsidRPr="00C91F30">
        <w:rPr>
          <w:rFonts w:ascii="Calibri" w:eastAsia="Calibri" w:hAnsi="Calibri" w:cs="Verdana"/>
          <w:bCs/>
          <w:color w:val="404040"/>
          <w:szCs w:val="20"/>
        </w:rPr>
        <w:t>Improving coordinated assessments to help individuals and families experiencing homeless move through the system faster.</w:t>
      </w:r>
    </w:p>
    <w:p w14:paraId="146A6797" w14:textId="77777777" w:rsidR="00C91F30" w:rsidRPr="00C91F30" w:rsidRDefault="00C91F30" w:rsidP="00C91F30">
      <w:pPr>
        <w:numPr>
          <w:ilvl w:val="0"/>
          <w:numId w:val="17"/>
        </w:numPr>
        <w:spacing w:line="360" w:lineRule="auto"/>
        <w:contextualSpacing/>
        <w:rPr>
          <w:rFonts w:ascii="Calibri" w:eastAsia="Calibri" w:hAnsi="Calibri" w:cs="Verdana"/>
          <w:bCs/>
          <w:color w:val="404040"/>
          <w:szCs w:val="20"/>
        </w:rPr>
      </w:pPr>
      <w:r w:rsidRPr="00C91F30">
        <w:rPr>
          <w:rFonts w:ascii="Calibri" w:eastAsia="Calibri" w:hAnsi="Calibri" w:cs="Verdana"/>
          <w:bCs/>
          <w:color w:val="404040"/>
          <w:szCs w:val="20"/>
        </w:rPr>
        <w:t>Coordinated diversion and homeless prevention resources to reduce new entries into homelessness.</w:t>
      </w:r>
    </w:p>
    <w:p w14:paraId="5114BBA9" w14:textId="77777777" w:rsidR="00C91F30" w:rsidRPr="00C91F30" w:rsidRDefault="00C91F30" w:rsidP="00C91F30">
      <w:pPr>
        <w:numPr>
          <w:ilvl w:val="0"/>
          <w:numId w:val="17"/>
        </w:numPr>
        <w:spacing w:line="360" w:lineRule="auto"/>
        <w:contextualSpacing/>
        <w:rPr>
          <w:rFonts w:ascii="Calibri" w:eastAsia="Calibri" w:hAnsi="Calibri" w:cs="Verdana"/>
          <w:bCs/>
          <w:color w:val="404040"/>
          <w:szCs w:val="20"/>
        </w:rPr>
      </w:pPr>
      <w:r w:rsidRPr="00C91F30">
        <w:rPr>
          <w:rFonts w:ascii="Calibri" w:eastAsia="Calibri" w:hAnsi="Calibri" w:cs="Verdana"/>
          <w:color w:val="404040"/>
          <w:szCs w:val="20"/>
        </w:rPr>
        <w:t>Monthly “housing triage” meetings that provide a format for developing a housing plan for homeless individuals and families with the most urgent housing needs.</w:t>
      </w:r>
    </w:p>
    <w:p w14:paraId="237017E4" w14:textId="77777777" w:rsidR="00C91F30" w:rsidRPr="00C91F30" w:rsidRDefault="00C91F30" w:rsidP="00C91F30">
      <w:pPr>
        <w:spacing w:line="360" w:lineRule="auto"/>
        <w:rPr>
          <w:rFonts w:ascii="Calibri" w:hAnsi="Calibri" w:cs="Arial"/>
          <w:color w:val="404040"/>
          <w:szCs w:val="20"/>
        </w:rPr>
      </w:pPr>
    </w:p>
    <w:p w14:paraId="1E5142F9" w14:textId="77777777" w:rsidR="00C91F30" w:rsidRPr="00C91F30" w:rsidRDefault="00C91F30" w:rsidP="00C91F30">
      <w:pPr>
        <w:spacing w:line="360" w:lineRule="auto"/>
        <w:rPr>
          <w:rFonts w:ascii="Calibri" w:hAnsi="Calibri" w:cs="Arial"/>
          <w:color w:val="404040"/>
          <w:szCs w:val="20"/>
        </w:rPr>
      </w:pPr>
      <w:r w:rsidRPr="00C91F30">
        <w:rPr>
          <w:rFonts w:ascii="Calibri" w:hAnsi="Calibri" w:cs="Arial"/>
          <w:color w:val="404040"/>
          <w:szCs w:val="20"/>
        </w:rPr>
        <w:t>In addition, HAND has continued to explore opportunities to use its Housing Trust Fund monies as match for acquisition, rehabilitation and new construction of transitional and permanent housing projects proposed by local housing development agencies to provide affordable and special needs housing.</w:t>
      </w:r>
    </w:p>
    <w:p w14:paraId="2E830653" w14:textId="77777777" w:rsidR="00C91F30" w:rsidRPr="00C91F30" w:rsidRDefault="00C91F30" w:rsidP="00C91F30">
      <w:pPr>
        <w:spacing w:line="360" w:lineRule="auto"/>
        <w:rPr>
          <w:rFonts w:ascii="Calibri" w:hAnsi="Calibri" w:cs="Arial"/>
          <w:color w:val="404040"/>
          <w:szCs w:val="20"/>
        </w:rPr>
      </w:pPr>
    </w:p>
    <w:p w14:paraId="73967D02" w14:textId="2748A784" w:rsidR="00C91F30" w:rsidRPr="00C91F30" w:rsidRDefault="00C91F30" w:rsidP="00C91F30">
      <w:pPr>
        <w:spacing w:line="360" w:lineRule="auto"/>
        <w:rPr>
          <w:rFonts w:ascii="Calibri" w:eastAsia="Times New Roman" w:hAnsi="Calibri" w:cs="Arial"/>
          <w:color w:val="404040"/>
          <w:szCs w:val="20"/>
        </w:rPr>
      </w:pPr>
      <w:r w:rsidRPr="00C91F30">
        <w:rPr>
          <w:rFonts w:ascii="Calibri" w:hAnsi="Calibri" w:cs="Arial"/>
          <w:color w:val="404040"/>
          <w:szCs w:val="20"/>
        </w:rPr>
        <w:t xml:space="preserve">Salt Lake City has numerous affordable housing units available for low income families and seniors and has continued </w:t>
      </w:r>
      <w:r w:rsidR="00AA3678">
        <w:rPr>
          <w:rFonts w:ascii="Calibri" w:hAnsi="Calibri" w:cs="Arial"/>
          <w:color w:val="404040"/>
          <w:szCs w:val="20"/>
        </w:rPr>
        <w:t xml:space="preserve">to encourage new developments. </w:t>
      </w:r>
      <w:r w:rsidRPr="00C91F30">
        <w:rPr>
          <w:rFonts w:ascii="Calibri" w:hAnsi="Calibri" w:cs="Arial"/>
          <w:color w:val="404040"/>
          <w:szCs w:val="20"/>
        </w:rPr>
        <w:t>The City has explored opportunities to participate with the Housing Authority, private developers, and non-profit agencies in the construction of affordable housing and supportive and special needs housing.  The City has also continued to collaborate with the providers of homeless services, neighborhood residents and business owners to create an environment where a mix of residents with different income levels and persons with special needs can live, work, and flourish together.</w:t>
      </w:r>
    </w:p>
    <w:p w14:paraId="6F46B447" w14:textId="77777777" w:rsidR="00C91F30" w:rsidRPr="00C91F30" w:rsidRDefault="00C91F30" w:rsidP="00C91F30">
      <w:pPr>
        <w:spacing w:line="360" w:lineRule="auto"/>
        <w:ind w:right="360"/>
        <w:rPr>
          <w:rFonts w:ascii="Calibri" w:hAnsi="Calibri" w:cs="Calibri"/>
          <w:b/>
          <w:color w:val="FF0000"/>
          <w:szCs w:val="20"/>
        </w:rPr>
      </w:pPr>
    </w:p>
    <w:p w14:paraId="067F000F" w14:textId="77777777" w:rsidR="00C91F30" w:rsidRPr="00C91F30" w:rsidRDefault="00C91F30" w:rsidP="00C91F30">
      <w:pPr>
        <w:spacing w:line="360" w:lineRule="auto"/>
        <w:ind w:right="360"/>
        <w:rPr>
          <w:rFonts w:ascii="Calibri" w:hAnsi="Calibri" w:cs="Calibri"/>
          <w:b/>
          <w:color w:val="404040"/>
          <w:szCs w:val="20"/>
        </w:rPr>
      </w:pPr>
      <w:r w:rsidRPr="00C91F30">
        <w:rPr>
          <w:rFonts w:ascii="Calibri" w:hAnsi="Calibri" w:cs="Calibri"/>
          <w:b/>
          <w:color w:val="404040"/>
          <w:szCs w:val="20"/>
        </w:rPr>
        <w:t xml:space="preserve">Identify actions taken to overcome the effects of any impediments identified in the jurisdictions analysis of impediments to fair housing choice. </w:t>
      </w:r>
    </w:p>
    <w:p w14:paraId="5131E117" w14:textId="77777777" w:rsidR="00C91F30" w:rsidRPr="00C91F30" w:rsidRDefault="00C91F30" w:rsidP="00C91F30">
      <w:pPr>
        <w:autoSpaceDE w:val="0"/>
        <w:autoSpaceDN w:val="0"/>
        <w:adjustRightInd w:val="0"/>
        <w:spacing w:line="360" w:lineRule="auto"/>
        <w:rPr>
          <w:rFonts w:ascii="Calibri" w:hAnsi="Calibri"/>
          <w:color w:val="404040"/>
          <w:szCs w:val="20"/>
        </w:rPr>
      </w:pPr>
      <w:r w:rsidRPr="00C91F30">
        <w:rPr>
          <w:rFonts w:ascii="Calibri" w:hAnsi="Calibri"/>
          <w:color w:val="404040"/>
          <w:szCs w:val="20"/>
        </w:rPr>
        <w:t xml:space="preserve">Salt Lake City has addressed impediments as identified in the most recent Analysis of Impediments. In addition, the City began to address impediments as identified through the 2015-2019 Consolidated Plan planning process. Efforts and achievements are as follows: </w:t>
      </w:r>
    </w:p>
    <w:p w14:paraId="01951E8E" w14:textId="77777777" w:rsidR="00C91F30" w:rsidRPr="00C91F30" w:rsidRDefault="00C91F30" w:rsidP="00C91F30">
      <w:pPr>
        <w:autoSpaceDE w:val="0"/>
        <w:autoSpaceDN w:val="0"/>
        <w:adjustRightInd w:val="0"/>
        <w:spacing w:line="360" w:lineRule="auto"/>
        <w:rPr>
          <w:rFonts w:ascii="Calibri" w:hAnsi="Calibri"/>
          <w:b/>
          <w:bCs/>
          <w:color w:val="404040"/>
          <w:szCs w:val="20"/>
        </w:rPr>
      </w:pPr>
    </w:p>
    <w:p w14:paraId="50C1CFFA" w14:textId="77777777" w:rsidR="00C91F30" w:rsidRPr="00C91F30" w:rsidRDefault="00C91F30" w:rsidP="00C91F30">
      <w:pPr>
        <w:autoSpaceDE w:val="0"/>
        <w:autoSpaceDN w:val="0"/>
        <w:adjustRightInd w:val="0"/>
        <w:spacing w:line="360" w:lineRule="auto"/>
        <w:rPr>
          <w:rFonts w:ascii="Calibri" w:hAnsi="Calibri"/>
          <w:i/>
          <w:color w:val="404040"/>
          <w:szCs w:val="20"/>
          <w:u w:val="single"/>
        </w:rPr>
      </w:pPr>
      <w:r w:rsidRPr="00C91F30">
        <w:rPr>
          <w:rFonts w:ascii="Calibri" w:hAnsi="Calibri"/>
          <w:bCs/>
          <w:i/>
          <w:color w:val="404040"/>
          <w:szCs w:val="20"/>
          <w:u w:val="single"/>
        </w:rPr>
        <w:t xml:space="preserve">Action: Affordable Housing Activities </w:t>
      </w:r>
    </w:p>
    <w:p w14:paraId="365491F9" w14:textId="77777777" w:rsidR="00C91F30" w:rsidRPr="00C91F30" w:rsidRDefault="00C91F30" w:rsidP="00C91F30">
      <w:pPr>
        <w:autoSpaceDE w:val="0"/>
        <w:autoSpaceDN w:val="0"/>
        <w:adjustRightInd w:val="0"/>
        <w:spacing w:line="360" w:lineRule="auto"/>
        <w:ind w:left="360"/>
        <w:rPr>
          <w:rFonts w:ascii="Calibri" w:hAnsi="Calibri"/>
          <w:color w:val="404040"/>
          <w:szCs w:val="20"/>
        </w:rPr>
      </w:pPr>
      <w:r w:rsidRPr="00C91F30">
        <w:rPr>
          <w:rFonts w:ascii="Calibri" w:hAnsi="Calibri"/>
          <w:color w:val="404040"/>
          <w:szCs w:val="20"/>
        </w:rPr>
        <w:t xml:space="preserve">Impediments Addressed: </w:t>
      </w:r>
    </w:p>
    <w:p w14:paraId="6570CED4" w14:textId="77777777" w:rsidR="00C91F30" w:rsidRPr="00C91F30" w:rsidRDefault="00C91F30" w:rsidP="00C91F30">
      <w:pPr>
        <w:numPr>
          <w:ilvl w:val="0"/>
          <w:numId w:val="21"/>
        </w:numPr>
        <w:autoSpaceDE w:val="0"/>
        <w:autoSpaceDN w:val="0"/>
        <w:adjustRightInd w:val="0"/>
        <w:spacing w:after="147"/>
        <w:ind w:left="1080"/>
        <w:rPr>
          <w:rFonts w:ascii="Calibri" w:hAnsi="Calibri"/>
          <w:color w:val="404040"/>
          <w:szCs w:val="20"/>
        </w:rPr>
      </w:pPr>
      <w:r w:rsidRPr="00C91F30">
        <w:rPr>
          <w:rFonts w:ascii="Calibri" w:hAnsi="Calibri"/>
          <w:color w:val="404040"/>
          <w:szCs w:val="20"/>
        </w:rPr>
        <w:t xml:space="preserve">Housing Discrimination and Disparate Treatment </w:t>
      </w:r>
    </w:p>
    <w:p w14:paraId="33BB7EE5" w14:textId="1AFB32C3" w:rsidR="00C91F30" w:rsidRPr="00C91F30" w:rsidRDefault="00C91F30" w:rsidP="00C91F30">
      <w:pPr>
        <w:numPr>
          <w:ilvl w:val="0"/>
          <w:numId w:val="21"/>
        </w:numPr>
        <w:autoSpaceDE w:val="0"/>
        <w:autoSpaceDN w:val="0"/>
        <w:adjustRightInd w:val="0"/>
        <w:spacing w:after="147"/>
        <w:ind w:left="1080"/>
        <w:rPr>
          <w:rFonts w:ascii="Calibri" w:hAnsi="Calibri"/>
          <w:color w:val="404040"/>
          <w:szCs w:val="20"/>
        </w:rPr>
      </w:pPr>
      <w:r w:rsidRPr="00C91F30">
        <w:rPr>
          <w:rFonts w:ascii="Calibri" w:hAnsi="Calibri"/>
          <w:color w:val="404040"/>
          <w:szCs w:val="20"/>
        </w:rPr>
        <w:t>Housi</w:t>
      </w:r>
      <w:r w:rsidR="00AA3678">
        <w:rPr>
          <w:rFonts w:ascii="Calibri" w:hAnsi="Calibri"/>
          <w:color w:val="404040"/>
          <w:szCs w:val="20"/>
        </w:rPr>
        <w:t>ng Affordable to Households at 4</w:t>
      </w:r>
      <w:r w:rsidRPr="00C91F30">
        <w:rPr>
          <w:rFonts w:ascii="Calibri" w:hAnsi="Calibri"/>
          <w:color w:val="404040"/>
          <w:szCs w:val="20"/>
        </w:rPr>
        <w:t>0% AMI and Below</w:t>
      </w:r>
    </w:p>
    <w:p w14:paraId="3AFFF5E7" w14:textId="77777777" w:rsidR="00C91F30" w:rsidRPr="00C91F30" w:rsidRDefault="00C91F30" w:rsidP="00C91F30">
      <w:pPr>
        <w:numPr>
          <w:ilvl w:val="0"/>
          <w:numId w:val="21"/>
        </w:numPr>
        <w:autoSpaceDE w:val="0"/>
        <w:autoSpaceDN w:val="0"/>
        <w:adjustRightInd w:val="0"/>
        <w:spacing w:after="147"/>
        <w:ind w:left="1080"/>
        <w:rPr>
          <w:rFonts w:ascii="Calibri" w:hAnsi="Calibri"/>
          <w:color w:val="404040"/>
          <w:szCs w:val="20"/>
        </w:rPr>
      </w:pPr>
      <w:r w:rsidRPr="00C91F30">
        <w:rPr>
          <w:rFonts w:ascii="Calibri" w:hAnsi="Calibri"/>
          <w:color w:val="404040"/>
          <w:szCs w:val="20"/>
        </w:rPr>
        <w:t xml:space="preserve">Unfair Lending Practices </w:t>
      </w:r>
    </w:p>
    <w:p w14:paraId="0889692D" w14:textId="77777777" w:rsidR="00C91F30" w:rsidRPr="00C91F30" w:rsidRDefault="00C91F30" w:rsidP="00C91F30">
      <w:pPr>
        <w:numPr>
          <w:ilvl w:val="0"/>
          <w:numId w:val="21"/>
        </w:numPr>
        <w:autoSpaceDE w:val="0"/>
        <w:autoSpaceDN w:val="0"/>
        <w:adjustRightInd w:val="0"/>
        <w:spacing w:after="147"/>
        <w:ind w:left="1080"/>
        <w:rPr>
          <w:rFonts w:ascii="Calibri" w:hAnsi="Calibri"/>
          <w:color w:val="404040"/>
          <w:szCs w:val="20"/>
        </w:rPr>
      </w:pPr>
      <w:r w:rsidRPr="00C91F30">
        <w:rPr>
          <w:rFonts w:ascii="Calibri" w:hAnsi="Calibri"/>
          <w:color w:val="404040"/>
          <w:szCs w:val="20"/>
        </w:rPr>
        <w:t xml:space="preserve">Racial and Ethnic Segregation </w:t>
      </w:r>
    </w:p>
    <w:p w14:paraId="1A94970D" w14:textId="77777777" w:rsidR="00C91F30" w:rsidRPr="00C91F30" w:rsidRDefault="00C91F30" w:rsidP="00C91F30">
      <w:pPr>
        <w:numPr>
          <w:ilvl w:val="0"/>
          <w:numId w:val="21"/>
        </w:numPr>
        <w:autoSpaceDE w:val="0"/>
        <w:autoSpaceDN w:val="0"/>
        <w:adjustRightInd w:val="0"/>
        <w:spacing w:after="147"/>
        <w:ind w:left="1080"/>
        <w:rPr>
          <w:rFonts w:ascii="Calibri" w:hAnsi="Calibri"/>
          <w:color w:val="404040"/>
          <w:szCs w:val="20"/>
        </w:rPr>
      </w:pPr>
      <w:r w:rsidRPr="00C91F30">
        <w:rPr>
          <w:rFonts w:ascii="Calibri" w:hAnsi="Calibri"/>
          <w:color w:val="404040"/>
          <w:szCs w:val="20"/>
        </w:rPr>
        <w:t xml:space="preserve">Access to Opportunity </w:t>
      </w:r>
    </w:p>
    <w:p w14:paraId="51738DEF" w14:textId="77777777" w:rsidR="00C91F30" w:rsidRPr="00C91F30" w:rsidRDefault="00C91F30" w:rsidP="00C91F30">
      <w:pPr>
        <w:numPr>
          <w:ilvl w:val="0"/>
          <w:numId w:val="21"/>
        </w:numPr>
        <w:autoSpaceDE w:val="0"/>
        <w:autoSpaceDN w:val="0"/>
        <w:adjustRightInd w:val="0"/>
        <w:spacing w:after="147"/>
        <w:ind w:left="1080"/>
        <w:rPr>
          <w:rFonts w:ascii="Calibri" w:hAnsi="Calibri"/>
          <w:color w:val="404040"/>
          <w:szCs w:val="20"/>
        </w:rPr>
      </w:pPr>
      <w:r w:rsidRPr="00C91F30">
        <w:rPr>
          <w:rFonts w:ascii="Calibri" w:hAnsi="Calibri"/>
          <w:color w:val="404040"/>
          <w:szCs w:val="20"/>
        </w:rPr>
        <w:t xml:space="preserve">Rental Housing for Large Families </w:t>
      </w:r>
    </w:p>
    <w:p w14:paraId="5918FD36" w14:textId="77777777" w:rsidR="00C91F30" w:rsidRPr="00C91F30" w:rsidRDefault="00C91F30" w:rsidP="00C91F30">
      <w:pPr>
        <w:numPr>
          <w:ilvl w:val="0"/>
          <w:numId w:val="21"/>
        </w:numPr>
        <w:autoSpaceDE w:val="0"/>
        <w:autoSpaceDN w:val="0"/>
        <w:adjustRightInd w:val="0"/>
        <w:ind w:left="1080"/>
        <w:rPr>
          <w:rFonts w:ascii="Calibri" w:hAnsi="Calibri"/>
          <w:color w:val="404040"/>
          <w:szCs w:val="20"/>
        </w:rPr>
      </w:pPr>
      <w:r w:rsidRPr="00C91F30">
        <w:rPr>
          <w:rFonts w:ascii="Calibri" w:hAnsi="Calibri"/>
          <w:color w:val="404040"/>
          <w:szCs w:val="20"/>
        </w:rPr>
        <w:t xml:space="preserve">Housing for Disabled Persons </w:t>
      </w:r>
    </w:p>
    <w:p w14:paraId="2EB6F655" w14:textId="77777777" w:rsidR="00C91F30" w:rsidRPr="00C91F30" w:rsidRDefault="00C91F30" w:rsidP="00C91F30">
      <w:pPr>
        <w:autoSpaceDE w:val="0"/>
        <w:autoSpaceDN w:val="0"/>
        <w:adjustRightInd w:val="0"/>
        <w:spacing w:line="360" w:lineRule="auto"/>
        <w:ind w:left="720"/>
        <w:rPr>
          <w:rFonts w:ascii="Calibri" w:hAnsi="Calibri"/>
          <w:color w:val="404040"/>
          <w:szCs w:val="20"/>
        </w:rPr>
      </w:pPr>
    </w:p>
    <w:p w14:paraId="3C14DC11" w14:textId="77777777" w:rsidR="00C91F30" w:rsidRPr="00C91F30" w:rsidRDefault="00C91F30" w:rsidP="00C91F30">
      <w:pPr>
        <w:spacing w:line="360" w:lineRule="auto"/>
        <w:rPr>
          <w:rFonts w:ascii="Calibri" w:hAnsi="Calibri"/>
          <w:color w:val="404040"/>
          <w:szCs w:val="20"/>
        </w:rPr>
      </w:pPr>
      <w:r w:rsidRPr="00C91F30">
        <w:rPr>
          <w:rFonts w:ascii="Calibri" w:hAnsi="Calibri"/>
          <w:color w:val="404040"/>
          <w:szCs w:val="20"/>
        </w:rPr>
        <w:t xml:space="preserve">Summary: Salt Lake City utilized CDBG and HOME funding to provide direct financial assistance and rehabilitation loans to low and moderate-income homebuyers and homeowners; down payment grants; emergency repair and accessibility modification grants; and rental assistance to eligible households. Assistance allowed eligible households to purchase or rehabilitate housing and provided an alternative to traditional bank loans. In addition, assistance provided essential health, safety and welfare improvements for existing homeowners, and provided rental assistance for extremely low-income households. </w:t>
      </w:r>
    </w:p>
    <w:p w14:paraId="074B5311" w14:textId="77777777" w:rsidR="00C91F30" w:rsidRPr="00C91F30" w:rsidRDefault="00C91F30" w:rsidP="00C91F30">
      <w:pPr>
        <w:spacing w:line="360" w:lineRule="auto"/>
        <w:rPr>
          <w:rFonts w:ascii="Calibri" w:hAnsi="Calibri"/>
          <w:color w:val="404040"/>
          <w:szCs w:val="20"/>
        </w:rPr>
      </w:pPr>
    </w:p>
    <w:p w14:paraId="61C9442B" w14:textId="77777777" w:rsidR="00A35C5F" w:rsidRDefault="00A35C5F" w:rsidP="00C91F30">
      <w:pPr>
        <w:autoSpaceDE w:val="0"/>
        <w:autoSpaceDN w:val="0"/>
        <w:adjustRightInd w:val="0"/>
        <w:spacing w:line="360" w:lineRule="auto"/>
        <w:rPr>
          <w:rFonts w:ascii="Calibri" w:hAnsi="Calibri" w:cs="Calibri"/>
          <w:bCs/>
          <w:i/>
          <w:color w:val="404040"/>
          <w:szCs w:val="20"/>
          <w:u w:val="single"/>
        </w:rPr>
      </w:pPr>
    </w:p>
    <w:p w14:paraId="6FBE7350" w14:textId="77777777" w:rsidR="00C91F30" w:rsidRPr="00C91F30" w:rsidRDefault="00C91F30" w:rsidP="00C91F30">
      <w:pPr>
        <w:autoSpaceDE w:val="0"/>
        <w:autoSpaceDN w:val="0"/>
        <w:adjustRightInd w:val="0"/>
        <w:spacing w:line="360" w:lineRule="auto"/>
        <w:rPr>
          <w:rFonts w:ascii="Calibri" w:hAnsi="Calibri" w:cs="Calibri"/>
          <w:i/>
          <w:color w:val="404040"/>
          <w:szCs w:val="20"/>
          <w:u w:val="single"/>
        </w:rPr>
      </w:pPr>
      <w:r w:rsidRPr="00C91F30">
        <w:rPr>
          <w:rFonts w:ascii="Calibri" w:hAnsi="Calibri" w:cs="Calibri"/>
          <w:bCs/>
          <w:i/>
          <w:color w:val="404040"/>
          <w:szCs w:val="20"/>
          <w:u w:val="single"/>
        </w:rPr>
        <w:t xml:space="preserve">Action: Housing Supportive Services and Special Needs Housing </w:t>
      </w:r>
    </w:p>
    <w:p w14:paraId="785AB07B" w14:textId="77777777" w:rsidR="00C91F30" w:rsidRPr="00C91F30" w:rsidRDefault="00C91F30" w:rsidP="00C91F30">
      <w:pPr>
        <w:autoSpaceDE w:val="0"/>
        <w:autoSpaceDN w:val="0"/>
        <w:adjustRightInd w:val="0"/>
        <w:spacing w:line="360" w:lineRule="auto"/>
        <w:ind w:left="360"/>
        <w:rPr>
          <w:rFonts w:ascii="Calibri" w:hAnsi="Calibri" w:cs="Calibri"/>
          <w:color w:val="404040"/>
          <w:szCs w:val="20"/>
        </w:rPr>
      </w:pPr>
      <w:r w:rsidRPr="00C91F30">
        <w:rPr>
          <w:rFonts w:ascii="Calibri" w:hAnsi="Calibri" w:cs="Calibri"/>
          <w:color w:val="404040"/>
          <w:szCs w:val="20"/>
        </w:rPr>
        <w:t xml:space="preserve">Impediment Addressed: </w:t>
      </w:r>
    </w:p>
    <w:p w14:paraId="4A315897" w14:textId="77777777" w:rsidR="00C91F30" w:rsidRPr="00C91F30" w:rsidRDefault="00C91F30" w:rsidP="00C91F30">
      <w:pPr>
        <w:numPr>
          <w:ilvl w:val="0"/>
          <w:numId w:val="21"/>
        </w:numPr>
        <w:autoSpaceDE w:val="0"/>
        <w:autoSpaceDN w:val="0"/>
        <w:adjustRightInd w:val="0"/>
        <w:spacing w:after="147" w:line="360" w:lineRule="auto"/>
        <w:ind w:left="1080"/>
        <w:contextualSpacing/>
        <w:rPr>
          <w:rFonts w:ascii="Calibri" w:hAnsi="Calibri" w:cs="Calibri"/>
          <w:color w:val="404040"/>
          <w:szCs w:val="20"/>
        </w:rPr>
      </w:pPr>
      <w:r w:rsidRPr="00C91F30">
        <w:rPr>
          <w:rFonts w:ascii="Calibri" w:hAnsi="Calibri" w:cs="Calibri"/>
          <w:color w:val="404040"/>
          <w:szCs w:val="20"/>
        </w:rPr>
        <w:t xml:space="preserve">Housing Discrimination and Disparate Treatment </w:t>
      </w:r>
    </w:p>
    <w:p w14:paraId="62208713" w14:textId="77777777" w:rsidR="00C91F30" w:rsidRPr="00C91F30" w:rsidRDefault="00C91F30" w:rsidP="00C91F30">
      <w:pPr>
        <w:numPr>
          <w:ilvl w:val="0"/>
          <w:numId w:val="21"/>
        </w:numPr>
        <w:autoSpaceDE w:val="0"/>
        <w:autoSpaceDN w:val="0"/>
        <w:adjustRightInd w:val="0"/>
        <w:spacing w:after="147" w:line="360" w:lineRule="auto"/>
        <w:ind w:left="1080"/>
        <w:contextualSpacing/>
        <w:rPr>
          <w:rFonts w:ascii="Calibri" w:hAnsi="Calibri" w:cs="Calibri"/>
          <w:color w:val="404040"/>
          <w:szCs w:val="20"/>
        </w:rPr>
      </w:pPr>
      <w:r w:rsidRPr="00C91F30">
        <w:rPr>
          <w:rFonts w:ascii="Calibri" w:hAnsi="Calibri" w:cs="Calibri"/>
          <w:color w:val="404040"/>
          <w:szCs w:val="20"/>
        </w:rPr>
        <w:t xml:space="preserve">Housing Affordable to Households at 50% AMI and Below </w:t>
      </w:r>
    </w:p>
    <w:p w14:paraId="14EAC52A" w14:textId="77777777" w:rsidR="00C91F30" w:rsidRPr="00C91F30" w:rsidRDefault="00C91F30" w:rsidP="00C91F30">
      <w:pPr>
        <w:numPr>
          <w:ilvl w:val="0"/>
          <w:numId w:val="21"/>
        </w:numPr>
        <w:autoSpaceDE w:val="0"/>
        <w:autoSpaceDN w:val="0"/>
        <w:adjustRightInd w:val="0"/>
        <w:spacing w:line="360" w:lineRule="auto"/>
        <w:ind w:left="1080"/>
        <w:contextualSpacing/>
        <w:rPr>
          <w:rFonts w:ascii="Calibri" w:hAnsi="Calibri" w:cs="Calibri"/>
          <w:color w:val="404040"/>
          <w:szCs w:val="20"/>
        </w:rPr>
      </w:pPr>
      <w:r w:rsidRPr="00C91F30">
        <w:rPr>
          <w:rFonts w:ascii="Calibri" w:hAnsi="Calibri" w:cs="Calibri"/>
          <w:color w:val="404040"/>
          <w:szCs w:val="20"/>
        </w:rPr>
        <w:t xml:space="preserve">Housing for Disabled Persons </w:t>
      </w:r>
    </w:p>
    <w:p w14:paraId="0D9A86E5" w14:textId="77777777" w:rsidR="00C91F30" w:rsidRPr="00C91F30" w:rsidRDefault="00C91F30" w:rsidP="00C91F30">
      <w:pPr>
        <w:autoSpaceDE w:val="0"/>
        <w:autoSpaceDN w:val="0"/>
        <w:adjustRightInd w:val="0"/>
        <w:spacing w:line="360" w:lineRule="auto"/>
        <w:rPr>
          <w:rFonts w:ascii="Calibri" w:hAnsi="Calibri" w:cs="Calibri"/>
          <w:color w:val="404040"/>
          <w:szCs w:val="20"/>
        </w:rPr>
      </w:pPr>
    </w:p>
    <w:p w14:paraId="7C35C03A" w14:textId="77777777" w:rsidR="00C91F30" w:rsidRPr="00C91F30" w:rsidRDefault="00C91F30" w:rsidP="00C91F30">
      <w:pPr>
        <w:autoSpaceDE w:val="0"/>
        <w:autoSpaceDN w:val="0"/>
        <w:adjustRightInd w:val="0"/>
        <w:spacing w:line="360" w:lineRule="auto"/>
        <w:rPr>
          <w:rFonts w:ascii="Calibri" w:hAnsi="Calibri" w:cs="Calibri"/>
          <w:color w:val="404040"/>
          <w:szCs w:val="20"/>
        </w:rPr>
      </w:pPr>
      <w:r w:rsidRPr="00C91F30">
        <w:rPr>
          <w:rFonts w:ascii="Calibri" w:hAnsi="Calibri" w:cs="Calibri"/>
          <w:color w:val="404040"/>
          <w:szCs w:val="20"/>
        </w:rPr>
        <w:t xml:space="preserve">Summary: HAND continued to allocate HUD funds to provide emergency shelter for homeless persons; tenant-based rental assistance to transition homeless, special needs, and other at-risk populations into permanent housing; transitional housing and supportive services for homeless single women; residential substance abuse treatment and case management to homeless mothers and therapeutic intervention to their children; residential substance abuse treatment to chronically homeless men; emergency shelter, case management and supportive services to chronically homeless individuals with severe and persistent mental illness; and tenant-based rental assistance, housing information and referral services, short-term rent, mortgage and utility assistance, and permanent housing placement assistance, and case management to persons with HIV/AIDS. </w:t>
      </w:r>
    </w:p>
    <w:p w14:paraId="351C6463" w14:textId="77777777" w:rsidR="00C91F30" w:rsidRPr="00C91F30" w:rsidRDefault="00C91F30" w:rsidP="00C91F30">
      <w:pPr>
        <w:spacing w:line="360" w:lineRule="auto"/>
        <w:rPr>
          <w:rFonts w:ascii="Calibri" w:hAnsi="Calibri" w:cs="Calibri"/>
          <w:color w:val="404040"/>
          <w:szCs w:val="20"/>
        </w:rPr>
      </w:pPr>
    </w:p>
    <w:p w14:paraId="1D43F26C" w14:textId="77777777" w:rsidR="00C91F30" w:rsidRPr="00C91F30" w:rsidRDefault="00C91F30" w:rsidP="00C91F30">
      <w:pPr>
        <w:autoSpaceDE w:val="0"/>
        <w:autoSpaceDN w:val="0"/>
        <w:adjustRightInd w:val="0"/>
        <w:spacing w:line="360" w:lineRule="auto"/>
        <w:rPr>
          <w:rFonts w:ascii="Calibri" w:hAnsi="Calibri" w:cs="Calibri"/>
          <w:i/>
          <w:color w:val="404040"/>
          <w:szCs w:val="20"/>
          <w:u w:val="single"/>
        </w:rPr>
      </w:pPr>
      <w:r w:rsidRPr="00C91F30">
        <w:rPr>
          <w:rFonts w:ascii="Calibri" w:hAnsi="Calibri" w:cs="Calibri"/>
          <w:bCs/>
          <w:i/>
          <w:color w:val="404040"/>
          <w:szCs w:val="20"/>
          <w:u w:val="single"/>
        </w:rPr>
        <w:t xml:space="preserve">Action: Public Services to Expand Opportunity </w:t>
      </w:r>
    </w:p>
    <w:p w14:paraId="52B7E583" w14:textId="77777777" w:rsidR="00C91F30" w:rsidRPr="00C91F30" w:rsidRDefault="00C91F30" w:rsidP="00C91F30">
      <w:pPr>
        <w:autoSpaceDE w:val="0"/>
        <w:autoSpaceDN w:val="0"/>
        <w:adjustRightInd w:val="0"/>
        <w:spacing w:line="360" w:lineRule="auto"/>
        <w:ind w:left="360"/>
        <w:rPr>
          <w:rFonts w:ascii="Calibri" w:hAnsi="Calibri" w:cs="Calibri"/>
          <w:color w:val="404040"/>
          <w:szCs w:val="20"/>
        </w:rPr>
      </w:pPr>
      <w:r w:rsidRPr="00C91F30">
        <w:rPr>
          <w:rFonts w:ascii="Calibri" w:hAnsi="Calibri" w:cs="Calibri"/>
          <w:color w:val="404040"/>
          <w:szCs w:val="20"/>
        </w:rPr>
        <w:t xml:space="preserve">Impediment Addressed: </w:t>
      </w:r>
    </w:p>
    <w:p w14:paraId="73ECA8FB" w14:textId="77777777" w:rsidR="00C91F30" w:rsidRPr="00C91F30" w:rsidRDefault="00C91F30" w:rsidP="00C91F30">
      <w:pPr>
        <w:numPr>
          <w:ilvl w:val="0"/>
          <w:numId w:val="21"/>
        </w:numPr>
        <w:autoSpaceDE w:val="0"/>
        <w:autoSpaceDN w:val="0"/>
        <w:adjustRightInd w:val="0"/>
        <w:spacing w:line="360" w:lineRule="auto"/>
        <w:ind w:left="1080"/>
        <w:contextualSpacing/>
        <w:rPr>
          <w:rFonts w:ascii="Calibri" w:hAnsi="Calibri" w:cs="Calibri"/>
          <w:color w:val="404040"/>
          <w:szCs w:val="20"/>
        </w:rPr>
      </w:pPr>
      <w:r w:rsidRPr="00C91F30">
        <w:rPr>
          <w:rFonts w:ascii="Calibri" w:hAnsi="Calibri" w:cs="Calibri"/>
          <w:color w:val="404040"/>
          <w:szCs w:val="20"/>
        </w:rPr>
        <w:t xml:space="preserve">Expand Opportunity </w:t>
      </w:r>
    </w:p>
    <w:p w14:paraId="591B8F95" w14:textId="77777777" w:rsidR="00C91F30" w:rsidRPr="00C91F30" w:rsidRDefault="00C91F30" w:rsidP="00C91F30">
      <w:pPr>
        <w:autoSpaceDE w:val="0"/>
        <w:autoSpaceDN w:val="0"/>
        <w:adjustRightInd w:val="0"/>
        <w:spacing w:line="360" w:lineRule="auto"/>
        <w:rPr>
          <w:rFonts w:ascii="Calibri" w:hAnsi="Calibri" w:cs="Calibri"/>
          <w:color w:val="404040"/>
          <w:szCs w:val="20"/>
        </w:rPr>
      </w:pPr>
    </w:p>
    <w:p w14:paraId="11601E46" w14:textId="77777777" w:rsidR="00C91F30" w:rsidRPr="00C91F30" w:rsidRDefault="00C91F30" w:rsidP="00C91F30">
      <w:pPr>
        <w:spacing w:line="360" w:lineRule="auto"/>
        <w:rPr>
          <w:rFonts w:ascii="Calibri" w:hAnsi="Calibri" w:cs="Calibri"/>
          <w:color w:val="404040"/>
          <w:szCs w:val="20"/>
        </w:rPr>
      </w:pPr>
      <w:r w:rsidRPr="00C91F30">
        <w:rPr>
          <w:rFonts w:ascii="Calibri" w:hAnsi="Calibri" w:cs="Calibri"/>
          <w:color w:val="404040"/>
          <w:szCs w:val="20"/>
        </w:rPr>
        <w:t xml:space="preserve">Summary: Public service activities were utilized to expand opportunity with focus on racial and ethnic concentrated areas of poverty. Activities included support for after school programs that serve at risk youth, food banks that assist food insecure households, and programs that provide vocational opportunities for disabled adults, among others. </w:t>
      </w:r>
    </w:p>
    <w:p w14:paraId="2F76206C" w14:textId="77777777" w:rsidR="00C91F30" w:rsidRPr="00C91F30" w:rsidRDefault="00C91F30" w:rsidP="00C91F30">
      <w:pPr>
        <w:spacing w:line="360" w:lineRule="auto"/>
        <w:rPr>
          <w:rFonts w:ascii="Calibri" w:hAnsi="Calibri" w:cs="Calibri"/>
          <w:color w:val="404040"/>
          <w:szCs w:val="20"/>
        </w:rPr>
      </w:pPr>
    </w:p>
    <w:p w14:paraId="61C6A387" w14:textId="494CC397" w:rsidR="00C91F30" w:rsidRPr="00C91F30" w:rsidRDefault="00C91F30" w:rsidP="00C91F30">
      <w:pPr>
        <w:autoSpaceDE w:val="0"/>
        <w:autoSpaceDN w:val="0"/>
        <w:adjustRightInd w:val="0"/>
        <w:spacing w:line="360" w:lineRule="auto"/>
        <w:rPr>
          <w:rFonts w:ascii="Calibri" w:hAnsi="Calibri" w:cs="Calibri"/>
          <w:i/>
          <w:color w:val="404040"/>
          <w:szCs w:val="20"/>
          <w:u w:val="single"/>
        </w:rPr>
      </w:pPr>
      <w:r w:rsidRPr="00C91F30">
        <w:rPr>
          <w:rFonts w:ascii="Calibri" w:hAnsi="Calibri" w:cs="Calibri"/>
          <w:bCs/>
          <w:i/>
          <w:color w:val="404040"/>
          <w:szCs w:val="20"/>
          <w:u w:val="single"/>
        </w:rPr>
        <w:t xml:space="preserve">Action: </w:t>
      </w:r>
      <w:r w:rsidR="00593081">
        <w:rPr>
          <w:rFonts w:ascii="Calibri" w:hAnsi="Calibri" w:cs="Calibri"/>
          <w:bCs/>
          <w:i/>
          <w:color w:val="404040"/>
          <w:szCs w:val="20"/>
          <w:u w:val="single"/>
        </w:rPr>
        <w:t>Housing Plan: Growing SLC</w:t>
      </w:r>
      <w:r w:rsidRPr="00C91F30">
        <w:rPr>
          <w:rFonts w:ascii="Calibri" w:hAnsi="Calibri" w:cs="Calibri"/>
          <w:bCs/>
          <w:i/>
          <w:color w:val="404040"/>
          <w:szCs w:val="20"/>
          <w:u w:val="single"/>
        </w:rPr>
        <w:t xml:space="preserve"> </w:t>
      </w:r>
    </w:p>
    <w:p w14:paraId="1C7C5926" w14:textId="77777777" w:rsidR="00C91F30" w:rsidRPr="00C91F30" w:rsidRDefault="00C91F30" w:rsidP="00C91F30">
      <w:pPr>
        <w:autoSpaceDE w:val="0"/>
        <w:autoSpaceDN w:val="0"/>
        <w:adjustRightInd w:val="0"/>
        <w:spacing w:line="360" w:lineRule="auto"/>
        <w:ind w:left="360"/>
        <w:rPr>
          <w:rFonts w:ascii="Calibri" w:hAnsi="Calibri" w:cs="Calibri"/>
          <w:color w:val="404040"/>
          <w:szCs w:val="20"/>
        </w:rPr>
      </w:pPr>
      <w:r w:rsidRPr="00C91F30">
        <w:rPr>
          <w:rFonts w:ascii="Calibri" w:hAnsi="Calibri" w:cs="Calibri"/>
          <w:color w:val="404040"/>
          <w:szCs w:val="20"/>
        </w:rPr>
        <w:t xml:space="preserve">Impediments addressed: </w:t>
      </w:r>
    </w:p>
    <w:p w14:paraId="6974B7E1" w14:textId="77777777" w:rsidR="00C91F30" w:rsidRPr="00C91F30" w:rsidRDefault="00C91F30" w:rsidP="00C91F30">
      <w:pPr>
        <w:numPr>
          <w:ilvl w:val="0"/>
          <w:numId w:val="21"/>
        </w:numPr>
        <w:autoSpaceDE w:val="0"/>
        <w:autoSpaceDN w:val="0"/>
        <w:adjustRightInd w:val="0"/>
        <w:spacing w:after="147" w:line="360" w:lineRule="auto"/>
        <w:ind w:left="1080"/>
        <w:contextualSpacing/>
        <w:rPr>
          <w:rFonts w:ascii="Calibri" w:hAnsi="Calibri" w:cs="Calibri"/>
          <w:color w:val="404040"/>
          <w:szCs w:val="20"/>
        </w:rPr>
      </w:pPr>
      <w:r w:rsidRPr="00C91F30">
        <w:rPr>
          <w:rFonts w:ascii="Calibri" w:hAnsi="Calibri" w:cs="Calibri"/>
          <w:color w:val="404040"/>
          <w:szCs w:val="20"/>
        </w:rPr>
        <w:t xml:space="preserve">Unfair Lending Practices </w:t>
      </w:r>
    </w:p>
    <w:p w14:paraId="3DBF31F8" w14:textId="77777777" w:rsidR="00C91F30" w:rsidRPr="00C91F30" w:rsidRDefault="00C91F30" w:rsidP="00C91F30">
      <w:pPr>
        <w:numPr>
          <w:ilvl w:val="0"/>
          <w:numId w:val="21"/>
        </w:numPr>
        <w:autoSpaceDE w:val="0"/>
        <w:autoSpaceDN w:val="0"/>
        <w:adjustRightInd w:val="0"/>
        <w:spacing w:after="147" w:line="360" w:lineRule="auto"/>
        <w:ind w:left="1080"/>
        <w:contextualSpacing/>
        <w:rPr>
          <w:rFonts w:ascii="Calibri" w:hAnsi="Calibri" w:cs="Calibri"/>
          <w:color w:val="404040"/>
          <w:szCs w:val="20"/>
        </w:rPr>
      </w:pPr>
      <w:r w:rsidRPr="00C91F30">
        <w:rPr>
          <w:rFonts w:ascii="Calibri" w:hAnsi="Calibri" w:cs="Calibri"/>
          <w:color w:val="404040"/>
          <w:szCs w:val="20"/>
        </w:rPr>
        <w:t xml:space="preserve">Racial and Ethnic Segregation </w:t>
      </w:r>
    </w:p>
    <w:p w14:paraId="6AECBAE7" w14:textId="77777777" w:rsidR="00C91F30" w:rsidRPr="00C91F30" w:rsidRDefault="00C91F30" w:rsidP="00C91F30">
      <w:pPr>
        <w:numPr>
          <w:ilvl w:val="0"/>
          <w:numId w:val="21"/>
        </w:numPr>
        <w:autoSpaceDE w:val="0"/>
        <w:autoSpaceDN w:val="0"/>
        <w:adjustRightInd w:val="0"/>
        <w:spacing w:after="147" w:line="360" w:lineRule="auto"/>
        <w:ind w:left="1080"/>
        <w:contextualSpacing/>
        <w:rPr>
          <w:rFonts w:ascii="Calibri" w:hAnsi="Calibri" w:cs="Calibri"/>
          <w:color w:val="404040"/>
          <w:szCs w:val="20"/>
        </w:rPr>
      </w:pPr>
      <w:r w:rsidRPr="00C91F30">
        <w:rPr>
          <w:rFonts w:ascii="Calibri" w:hAnsi="Calibri" w:cs="Calibri"/>
          <w:color w:val="404040"/>
          <w:szCs w:val="20"/>
        </w:rPr>
        <w:t xml:space="preserve">Access to Opportunity </w:t>
      </w:r>
    </w:p>
    <w:p w14:paraId="16CB1885" w14:textId="77777777" w:rsidR="00C91F30" w:rsidRPr="00C91F30" w:rsidRDefault="00C91F30" w:rsidP="00C91F30">
      <w:pPr>
        <w:numPr>
          <w:ilvl w:val="0"/>
          <w:numId w:val="21"/>
        </w:numPr>
        <w:autoSpaceDE w:val="0"/>
        <w:autoSpaceDN w:val="0"/>
        <w:adjustRightInd w:val="0"/>
        <w:spacing w:after="147" w:line="360" w:lineRule="auto"/>
        <w:ind w:left="1080"/>
        <w:contextualSpacing/>
        <w:rPr>
          <w:rFonts w:ascii="Calibri" w:hAnsi="Calibri" w:cs="Calibri"/>
          <w:color w:val="404040"/>
          <w:szCs w:val="20"/>
        </w:rPr>
      </w:pPr>
      <w:r w:rsidRPr="00C91F30">
        <w:rPr>
          <w:rFonts w:ascii="Calibri" w:hAnsi="Calibri" w:cs="Calibri"/>
          <w:color w:val="404040"/>
          <w:szCs w:val="20"/>
        </w:rPr>
        <w:t xml:space="preserve">Housing Affordable to Households at 50% AMI and Below </w:t>
      </w:r>
    </w:p>
    <w:p w14:paraId="08786FAD" w14:textId="77777777" w:rsidR="00C91F30" w:rsidRPr="00C91F30" w:rsidRDefault="00C91F30" w:rsidP="00C91F30">
      <w:pPr>
        <w:numPr>
          <w:ilvl w:val="0"/>
          <w:numId w:val="21"/>
        </w:numPr>
        <w:autoSpaceDE w:val="0"/>
        <w:autoSpaceDN w:val="0"/>
        <w:adjustRightInd w:val="0"/>
        <w:spacing w:after="147" w:line="360" w:lineRule="auto"/>
        <w:ind w:left="1080"/>
        <w:contextualSpacing/>
        <w:rPr>
          <w:rFonts w:ascii="Calibri" w:hAnsi="Calibri" w:cs="Calibri"/>
          <w:color w:val="404040"/>
          <w:szCs w:val="20"/>
        </w:rPr>
      </w:pPr>
      <w:r w:rsidRPr="00C91F30">
        <w:rPr>
          <w:rFonts w:ascii="Calibri" w:hAnsi="Calibri" w:cs="Calibri"/>
          <w:color w:val="404040"/>
          <w:szCs w:val="20"/>
        </w:rPr>
        <w:t xml:space="preserve">Rental Housing for Large Families </w:t>
      </w:r>
    </w:p>
    <w:p w14:paraId="0F60ECA8" w14:textId="77777777" w:rsidR="00C91F30" w:rsidRPr="00C91F30" w:rsidRDefault="00C91F30" w:rsidP="00C91F30">
      <w:pPr>
        <w:numPr>
          <w:ilvl w:val="0"/>
          <w:numId w:val="21"/>
        </w:numPr>
        <w:autoSpaceDE w:val="0"/>
        <w:autoSpaceDN w:val="0"/>
        <w:adjustRightInd w:val="0"/>
        <w:spacing w:line="360" w:lineRule="auto"/>
        <w:ind w:left="1080"/>
        <w:contextualSpacing/>
        <w:rPr>
          <w:rFonts w:ascii="Calibri" w:hAnsi="Calibri" w:cs="Calibri"/>
          <w:color w:val="404040"/>
          <w:szCs w:val="20"/>
        </w:rPr>
      </w:pPr>
      <w:r w:rsidRPr="00C91F30">
        <w:rPr>
          <w:rFonts w:ascii="Calibri" w:hAnsi="Calibri" w:cs="Calibri"/>
          <w:color w:val="404040"/>
          <w:szCs w:val="20"/>
        </w:rPr>
        <w:t xml:space="preserve">Housing for Disabled Persons </w:t>
      </w:r>
    </w:p>
    <w:p w14:paraId="1463B456" w14:textId="77777777" w:rsidR="00C91F30" w:rsidRPr="00C91F30" w:rsidRDefault="00C91F30" w:rsidP="00C91F30">
      <w:pPr>
        <w:autoSpaceDE w:val="0"/>
        <w:autoSpaceDN w:val="0"/>
        <w:adjustRightInd w:val="0"/>
        <w:spacing w:line="360" w:lineRule="auto"/>
        <w:rPr>
          <w:rFonts w:ascii="Calibri" w:hAnsi="Calibri" w:cs="Calibri"/>
          <w:color w:val="404040"/>
          <w:szCs w:val="20"/>
        </w:rPr>
      </w:pPr>
    </w:p>
    <w:p w14:paraId="500A0FC6" w14:textId="5AF85200" w:rsidR="00C91F30" w:rsidRDefault="00C91F30" w:rsidP="00C91F30">
      <w:pPr>
        <w:autoSpaceDE w:val="0"/>
        <w:autoSpaceDN w:val="0"/>
        <w:adjustRightInd w:val="0"/>
        <w:spacing w:line="360" w:lineRule="auto"/>
        <w:rPr>
          <w:rFonts w:ascii="Calibri" w:hAnsi="Calibri" w:cs="Calibri"/>
          <w:color w:val="404040"/>
          <w:szCs w:val="20"/>
        </w:rPr>
      </w:pPr>
      <w:r w:rsidRPr="00C91F30">
        <w:rPr>
          <w:rFonts w:ascii="Calibri" w:hAnsi="Calibri" w:cs="Calibri"/>
          <w:color w:val="404040"/>
          <w:szCs w:val="20"/>
        </w:rPr>
        <w:t>Summary: Beginning in 2013, HAND began an extensive data-gathering initiative with its partners to inform the 2015-19 Consolidated Plan. That effort culminated in the drafting and adoption of a new housing master plan,</w:t>
      </w:r>
      <w:r w:rsidRPr="00C91F30">
        <w:rPr>
          <w:rFonts w:ascii="Calibri" w:hAnsi="Calibri" w:cs="Calibri"/>
          <w:i/>
          <w:color w:val="404040"/>
          <w:szCs w:val="20"/>
        </w:rPr>
        <w:t xml:space="preserve"> Growing SLC</w:t>
      </w:r>
      <w:r w:rsidRPr="00C91F30">
        <w:rPr>
          <w:rFonts w:ascii="Calibri" w:hAnsi="Calibri" w:cs="Calibri"/>
          <w:color w:val="404040"/>
          <w:szCs w:val="20"/>
        </w:rPr>
        <w:t>, that will span 5 years and aims to shift the way the City addresses all aspects of the housing market: from overall supply to concentrations of poverty and pathways out of homelessness. Special focus is given to households earning less than 40% AMI, specifically, targeting extremely low-income (ELI) renter households. ELI households are disproportionally racial and ethnic minority, disabled, and single parent households. In addition, the initiative is supporting housing development in high opportunity areas, housing for large families, homeownership for racial and ethnic minorities, and accessibility modifications for households with disabilities.</w:t>
      </w:r>
      <w:r w:rsidR="00BC4B2C">
        <w:rPr>
          <w:rFonts w:ascii="Calibri" w:hAnsi="Calibri" w:cs="Calibri"/>
          <w:color w:val="404040"/>
          <w:szCs w:val="20"/>
        </w:rPr>
        <w:t xml:space="preserve"> The plan seeks to a</w:t>
      </w:r>
      <w:r w:rsidR="00BC4B2C" w:rsidRPr="00BC4B2C">
        <w:rPr>
          <w:rFonts w:ascii="Calibri" w:hAnsi="Calibri" w:cs="Calibri"/>
          <w:color w:val="404040"/>
          <w:szCs w:val="20"/>
        </w:rPr>
        <w:t>lign resources and invest in strategic expansion of opportunity throughout all neighborhoods of the city and access to existing areas of opportunity</w:t>
      </w:r>
      <w:r w:rsidR="00BC4B2C">
        <w:rPr>
          <w:rFonts w:ascii="Calibri" w:hAnsi="Calibri" w:cs="Calibri"/>
          <w:color w:val="404040"/>
          <w:szCs w:val="20"/>
        </w:rPr>
        <w:t xml:space="preserve">, improve opportunity in neighborhoods that </w:t>
      </w:r>
      <w:r w:rsidR="00BC4B2C" w:rsidRPr="00BC4B2C">
        <w:rPr>
          <w:rFonts w:ascii="Calibri" w:hAnsi="Calibri" w:cs="Calibri"/>
          <w:color w:val="404040"/>
          <w:szCs w:val="20"/>
        </w:rPr>
        <w:t>score below 4.0 on the Opportunity Index’s 10 point scale</w:t>
      </w:r>
      <w:r w:rsidR="00BC4B2C">
        <w:rPr>
          <w:rFonts w:ascii="Calibri" w:hAnsi="Calibri" w:cs="Calibri"/>
          <w:color w:val="404040"/>
          <w:szCs w:val="20"/>
        </w:rPr>
        <w:t>, and to m</w:t>
      </w:r>
      <w:r w:rsidR="00BC4B2C" w:rsidRPr="00BC4B2C">
        <w:rPr>
          <w:rFonts w:ascii="Calibri" w:hAnsi="Calibri" w:cs="Calibri"/>
          <w:color w:val="404040"/>
          <w:szCs w:val="20"/>
        </w:rPr>
        <w:t>ake strategic affordable housing investments in high opportunity neighborhoods</w:t>
      </w:r>
      <w:r w:rsidR="00BC4B2C">
        <w:rPr>
          <w:rFonts w:ascii="Calibri" w:hAnsi="Calibri" w:cs="Calibri"/>
          <w:color w:val="404040"/>
          <w:szCs w:val="20"/>
        </w:rPr>
        <w:t xml:space="preserve">. </w:t>
      </w:r>
    </w:p>
    <w:p w14:paraId="014920A8" w14:textId="77777777" w:rsidR="00A35C5F" w:rsidRPr="00C91F30" w:rsidRDefault="00A35C5F" w:rsidP="00C91F30">
      <w:pPr>
        <w:autoSpaceDE w:val="0"/>
        <w:autoSpaceDN w:val="0"/>
        <w:adjustRightInd w:val="0"/>
        <w:spacing w:line="360" w:lineRule="auto"/>
        <w:rPr>
          <w:rFonts w:ascii="Calibri" w:hAnsi="Calibri" w:cs="Calibri"/>
          <w:color w:val="404040"/>
          <w:szCs w:val="20"/>
        </w:rPr>
      </w:pPr>
    </w:p>
    <w:p w14:paraId="2D0BF22D" w14:textId="77777777" w:rsidR="00C91F30" w:rsidRPr="00C91F30" w:rsidRDefault="00C91F30" w:rsidP="00C91F30">
      <w:pPr>
        <w:autoSpaceDE w:val="0"/>
        <w:autoSpaceDN w:val="0"/>
        <w:adjustRightInd w:val="0"/>
        <w:spacing w:line="360" w:lineRule="auto"/>
        <w:rPr>
          <w:rFonts w:ascii="Calibri" w:hAnsi="Calibri" w:cs="Calibri"/>
          <w:i/>
          <w:color w:val="404040"/>
          <w:szCs w:val="20"/>
          <w:u w:val="single"/>
        </w:rPr>
      </w:pPr>
      <w:r w:rsidRPr="00C91F30">
        <w:rPr>
          <w:rFonts w:ascii="Calibri" w:hAnsi="Calibri" w:cs="Calibri"/>
          <w:bCs/>
          <w:i/>
          <w:color w:val="404040"/>
          <w:szCs w:val="20"/>
          <w:u w:val="single"/>
        </w:rPr>
        <w:t xml:space="preserve">Action: House 20 </w:t>
      </w:r>
    </w:p>
    <w:p w14:paraId="3E567A9F" w14:textId="77777777" w:rsidR="00C91F30" w:rsidRPr="00C91F30" w:rsidRDefault="00C91F30" w:rsidP="00C91F30">
      <w:pPr>
        <w:autoSpaceDE w:val="0"/>
        <w:autoSpaceDN w:val="0"/>
        <w:adjustRightInd w:val="0"/>
        <w:spacing w:line="360" w:lineRule="auto"/>
        <w:ind w:left="360"/>
        <w:rPr>
          <w:rFonts w:ascii="Calibri" w:hAnsi="Calibri" w:cs="Calibri"/>
          <w:color w:val="404040"/>
          <w:szCs w:val="20"/>
        </w:rPr>
      </w:pPr>
      <w:r w:rsidRPr="00C91F30">
        <w:rPr>
          <w:rFonts w:ascii="Calibri" w:hAnsi="Calibri" w:cs="Calibri"/>
          <w:color w:val="404040"/>
          <w:szCs w:val="20"/>
        </w:rPr>
        <w:t xml:space="preserve">Impediment Addressed: </w:t>
      </w:r>
    </w:p>
    <w:p w14:paraId="16AAEA2D" w14:textId="77777777" w:rsidR="00C91F30" w:rsidRPr="00C91F30" w:rsidRDefault="00C91F30" w:rsidP="00C91F30">
      <w:pPr>
        <w:numPr>
          <w:ilvl w:val="0"/>
          <w:numId w:val="21"/>
        </w:numPr>
        <w:autoSpaceDE w:val="0"/>
        <w:autoSpaceDN w:val="0"/>
        <w:adjustRightInd w:val="0"/>
        <w:spacing w:after="147" w:line="360" w:lineRule="auto"/>
        <w:ind w:left="1080"/>
        <w:contextualSpacing/>
        <w:rPr>
          <w:rFonts w:ascii="Calibri" w:hAnsi="Calibri" w:cs="Calibri"/>
          <w:color w:val="404040"/>
          <w:szCs w:val="20"/>
        </w:rPr>
      </w:pPr>
      <w:r w:rsidRPr="00C91F30">
        <w:rPr>
          <w:rFonts w:ascii="Calibri" w:hAnsi="Calibri" w:cs="Calibri"/>
          <w:color w:val="404040"/>
          <w:szCs w:val="20"/>
        </w:rPr>
        <w:t xml:space="preserve">Housing Affordable to Households at 50% AMI and Below </w:t>
      </w:r>
    </w:p>
    <w:p w14:paraId="35E66D9B" w14:textId="77777777" w:rsidR="00C91F30" w:rsidRPr="00C91F30" w:rsidRDefault="00C91F30" w:rsidP="00C91F30">
      <w:pPr>
        <w:numPr>
          <w:ilvl w:val="0"/>
          <w:numId w:val="21"/>
        </w:numPr>
        <w:autoSpaceDE w:val="0"/>
        <w:autoSpaceDN w:val="0"/>
        <w:adjustRightInd w:val="0"/>
        <w:spacing w:line="360" w:lineRule="auto"/>
        <w:ind w:left="1080"/>
        <w:contextualSpacing/>
        <w:rPr>
          <w:rFonts w:ascii="Calibri" w:hAnsi="Calibri" w:cs="Calibri"/>
          <w:color w:val="404040"/>
          <w:szCs w:val="20"/>
        </w:rPr>
      </w:pPr>
      <w:r w:rsidRPr="00C91F30">
        <w:rPr>
          <w:rFonts w:ascii="Calibri" w:hAnsi="Calibri" w:cs="Calibri"/>
          <w:color w:val="404040"/>
          <w:szCs w:val="20"/>
        </w:rPr>
        <w:t xml:space="preserve">Housing for Disabled Persons </w:t>
      </w:r>
    </w:p>
    <w:p w14:paraId="6407A20E" w14:textId="77777777" w:rsidR="00C91F30" w:rsidRPr="00C91F30" w:rsidRDefault="00C91F30" w:rsidP="00C91F30">
      <w:pPr>
        <w:autoSpaceDE w:val="0"/>
        <w:autoSpaceDN w:val="0"/>
        <w:adjustRightInd w:val="0"/>
        <w:spacing w:line="360" w:lineRule="auto"/>
        <w:rPr>
          <w:rFonts w:ascii="Calibri" w:hAnsi="Calibri" w:cs="Calibri"/>
          <w:color w:val="404040"/>
          <w:szCs w:val="20"/>
        </w:rPr>
      </w:pPr>
    </w:p>
    <w:p w14:paraId="13E0EF9F" w14:textId="77777777" w:rsidR="00C91F30" w:rsidRPr="00C91F30" w:rsidRDefault="00C91F30" w:rsidP="00C91F30">
      <w:pPr>
        <w:autoSpaceDE w:val="0"/>
        <w:autoSpaceDN w:val="0"/>
        <w:adjustRightInd w:val="0"/>
        <w:spacing w:line="360" w:lineRule="auto"/>
        <w:rPr>
          <w:rFonts w:ascii="Calibri" w:hAnsi="Calibri" w:cs="Calibri"/>
          <w:color w:val="404040"/>
          <w:szCs w:val="20"/>
        </w:rPr>
      </w:pPr>
      <w:r w:rsidRPr="00C91F30">
        <w:rPr>
          <w:rFonts w:ascii="Calibri" w:hAnsi="Calibri" w:cs="Calibri"/>
          <w:color w:val="404040"/>
          <w:szCs w:val="20"/>
        </w:rPr>
        <w:t>Summary: As part of Salt Lake City’s 6-Point Homeless Strategy, the City committed to provide housing for the top 20 users of homeless services in order to diminish the resources directed toward these chronically homeless individuals. This effort has been successful in housing some of the most vulnerable residents in the City and reducing the need for emergency services for this population.</w:t>
      </w:r>
    </w:p>
    <w:p w14:paraId="375555E4" w14:textId="77777777" w:rsidR="00C91F30" w:rsidRPr="00C91F30" w:rsidRDefault="00C91F30" w:rsidP="00C91F30">
      <w:pPr>
        <w:spacing w:line="360" w:lineRule="auto"/>
        <w:rPr>
          <w:rFonts w:ascii="Calibri" w:hAnsi="Calibri" w:cs="Calibri"/>
          <w:color w:val="404040"/>
          <w:szCs w:val="20"/>
        </w:rPr>
      </w:pPr>
    </w:p>
    <w:p w14:paraId="5FCCEF55" w14:textId="77777777" w:rsidR="00C91F30" w:rsidRPr="00C91F30" w:rsidRDefault="00C91F30" w:rsidP="00C91F30">
      <w:pPr>
        <w:spacing w:line="360" w:lineRule="auto"/>
        <w:rPr>
          <w:rFonts w:ascii="Calibri" w:hAnsi="Calibri" w:cs="Calibri Light"/>
          <w:bCs/>
          <w:i/>
          <w:color w:val="404040"/>
          <w:szCs w:val="20"/>
          <w:u w:val="single"/>
        </w:rPr>
      </w:pPr>
      <w:r w:rsidRPr="00C91F30">
        <w:rPr>
          <w:rFonts w:ascii="Calibri" w:hAnsi="Calibri" w:cs="Calibri Light"/>
          <w:bCs/>
          <w:i/>
          <w:color w:val="404040"/>
          <w:szCs w:val="20"/>
          <w:u w:val="single"/>
        </w:rPr>
        <w:t>Action: Leverage Public Land for Affordable Housing Development</w:t>
      </w:r>
    </w:p>
    <w:p w14:paraId="5406721C" w14:textId="77777777" w:rsidR="00C91F30" w:rsidRPr="00C91F30" w:rsidRDefault="00C91F30" w:rsidP="00C91F30">
      <w:pPr>
        <w:spacing w:line="360" w:lineRule="auto"/>
        <w:ind w:left="720"/>
        <w:rPr>
          <w:rFonts w:ascii="Calibri" w:hAnsi="Calibri"/>
          <w:color w:val="404040"/>
          <w:szCs w:val="20"/>
        </w:rPr>
      </w:pPr>
      <w:r w:rsidRPr="00C91F30">
        <w:rPr>
          <w:rFonts w:ascii="Calibri" w:hAnsi="Calibri"/>
          <w:color w:val="404040"/>
          <w:szCs w:val="20"/>
        </w:rPr>
        <w:t xml:space="preserve">Impediment Addressed: </w:t>
      </w:r>
    </w:p>
    <w:p w14:paraId="16547B09" w14:textId="77777777" w:rsidR="00C91F30" w:rsidRPr="00C91F30" w:rsidRDefault="00C91F30" w:rsidP="00C91F30">
      <w:pPr>
        <w:numPr>
          <w:ilvl w:val="0"/>
          <w:numId w:val="7"/>
        </w:numPr>
        <w:spacing w:line="360" w:lineRule="auto"/>
        <w:ind w:left="1440"/>
        <w:contextualSpacing/>
        <w:rPr>
          <w:rFonts w:ascii="Calibri" w:hAnsi="Calibri"/>
          <w:color w:val="404040"/>
          <w:szCs w:val="20"/>
        </w:rPr>
      </w:pPr>
      <w:r w:rsidRPr="00C91F30">
        <w:rPr>
          <w:rFonts w:ascii="Calibri" w:hAnsi="Calibri"/>
          <w:color w:val="404040"/>
          <w:szCs w:val="20"/>
        </w:rPr>
        <w:t>Housing Affordable to Households at 50% AMI and Below</w:t>
      </w:r>
    </w:p>
    <w:p w14:paraId="4200BA19" w14:textId="77777777" w:rsidR="00C91F30" w:rsidRPr="00C91F30" w:rsidRDefault="00C91F30" w:rsidP="00C91F30">
      <w:pPr>
        <w:numPr>
          <w:ilvl w:val="0"/>
          <w:numId w:val="7"/>
        </w:numPr>
        <w:spacing w:line="360" w:lineRule="auto"/>
        <w:ind w:left="1440"/>
        <w:contextualSpacing/>
        <w:rPr>
          <w:rFonts w:ascii="Calibri" w:hAnsi="Calibri"/>
          <w:color w:val="404040"/>
          <w:szCs w:val="20"/>
        </w:rPr>
      </w:pPr>
      <w:r w:rsidRPr="00C91F30">
        <w:rPr>
          <w:rFonts w:ascii="Calibri" w:hAnsi="Calibri"/>
          <w:color w:val="404040"/>
          <w:szCs w:val="20"/>
        </w:rPr>
        <w:t>Housing for Disabled Persons</w:t>
      </w:r>
    </w:p>
    <w:p w14:paraId="30F022E8" w14:textId="77777777" w:rsidR="00C91F30" w:rsidRPr="00C91F30" w:rsidRDefault="00C91F30" w:rsidP="00C91F30">
      <w:pPr>
        <w:spacing w:line="360" w:lineRule="auto"/>
        <w:rPr>
          <w:rFonts w:ascii="Calibri" w:hAnsi="Calibri"/>
          <w:color w:val="404040"/>
          <w:szCs w:val="20"/>
        </w:rPr>
      </w:pPr>
    </w:p>
    <w:p w14:paraId="0777DF3F" w14:textId="77777777" w:rsidR="00C91F30" w:rsidRPr="00C91F30" w:rsidRDefault="00C91F30" w:rsidP="00C91F30">
      <w:pPr>
        <w:spacing w:line="360" w:lineRule="auto"/>
        <w:ind w:left="360" w:hanging="360"/>
        <w:rPr>
          <w:rFonts w:ascii="Calibri" w:hAnsi="Calibri" w:cs="Calibri Light"/>
          <w:bCs/>
          <w:color w:val="404040"/>
          <w:szCs w:val="20"/>
        </w:rPr>
      </w:pPr>
      <w:r w:rsidRPr="00C91F30">
        <w:rPr>
          <w:rFonts w:ascii="Calibri" w:hAnsi="Calibri" w:cs="Calibri Light"/>
          <w:bCs/>
          <w:color w:val="404040"/>
          <w:szCs w:val="20"/>
        </w:rPr>
        <w:t xml:space="preserve">Summary: Salt Lake City is expanding affordable housing options available to protected classes through the utilization and leveraging of city-owned land. The City has been working toward redeveloping large city-owned parcels. Two of those are detailed below: </w:t>
      </w:r>
    </w:p>
    <w:p w14:paraId="1CBC39DF" w14:textId="77777777" w:rsidR="00C91F30" w:rsidRPr="00C91F30" w:rsidRDefault="00C91F30" w:rsidP="00C91F30">
      <w:pPr>
        <w:numPr>
          <w:ilvl w:val="0"/>
          <w:numId w:val="34"/>
        </w:numPr>
        <w:autoSpaceDE w:val="0"/>
        <w:autoSpaceDN w:val="0"/>
        <w:adjustRightInd w:val="0"/>
        <w:spacing w:line="360" w:lineRule="auto"/>
        <w:contextualSpacing/>
        <w:rPr>
          <w:rFonts w:ascii="Calibri" w:hAnsi="Calibri" w:cs="Calibri"/>
          <w:color w:val="404040"/>
          <w:szCs w:val="20"/>
        </w:rPr>
      </w:pPr>
      <w:r w:rsidRPr="00C91F30">
        <w:rPr>
          <w:rFonts w:ascii="Calibri" w:hAnsi="Calibri" w:cs="Calibri"/>
          <w:color w:val="404040"/>
          <w:szCs w:val="20"/>
        </w:rPr>
        <w:t xml:space="preserve">Violin School Commons: Violin School Commons, is designed to include 65 permanent supportive housing units, 183 mixed-income units, ground floor commercial space, and a new parking structure that will serve the development. Seventy-four of the residential units will be located in the Northwest Pipeline Building as part of its adaptive reuse. The Northwest Pipeline Building is recognized on the National Register of Historic Place. </w:t>
      </w:r>
    </w:p>
    <w:p w14:paraId="7C04EC83" w14:textId="77777777" w:rsidR="00C91F30" w:rsidRPr="00C91F30" w:rsidRDefault="00C91F30" w:rsidP="00C91F30">
      <w:pPr>
        <w:numPr>
          <w:ilvl w:val="0"/>
          <w:numId w:val="33"/>
        </w:numPr>
        <w:spacing w:line="360" w:lineRule="auto"/>
        <w:rPr>
          <w:rFonts w:ascii="Calibri" w:hAnsi="Calibri" w:cs="Calibri Light"/>
          <w:bCs/>
          <w:color w:val="404040"/>
          <w:szCs w:val="20"/>
        </w:rPr>
      </w:pPr>
      <w:r w:rsidRPr="00C91F30">
        <w:rPr>
          <w:rFonts w:ascii="Calibri" w:hAnsi="Calibri" w:cs="Calibri Light"/>
          <w:bCs/>
          <w:color w:val="404040"/>
          <w:szCs w:val="20"/>
        </w:rPr>
        <w:t xml:space="preserve">400 South TOD will include: </w:t>
      </w:r>
    </w:p>
    <w:p w14:paraId="63F248E3" w14:textId="77777777" w:rsidR="00C91F30" w:rsidRPr="00C91F30" w:rsidRDefault="00C91F30" w:rsidP="00C91F30">
      <w:pPr>
        <w:numPr>
          <w:ilvl w:val="1"/>
          <w:numId w:val="34"/>
        </w:numPr>
        <w:autoSpaceDE w:val="0"/>
        <w:autoSpaceDN w:val="0"/>
        <w:adjustRightInd w:val="0"/>
        <w:spacing w:line="360" w:lineRule="auto"/>
        <w:contextualSpacing/>
        <w:rPr>
          <w:rFonts w:ascii="Calibri" w:hAnsi="Calibri" w:cs="Calibri"/>
          <w:color w:val="404040"/>
          <w:szCs w:val="20"/>
        </w:rPr>
      </w:pPr>
      <w:r w:rsidRPr="00C91F30">
        <w:rPr>
          <w:rFonts w:ascii="Calibri" w:hAnsi="Calibri" w:cs="Calibri"/>
          <w:color w:val="404040"/>
          <w:szCs w:val="20"/>
        </w:rPr>
        <w:t>124 innovative micro-unit apartments ranging from 325-392 square feet. 40 units will be reserved for households earning 40% or less of the area median income (AMI).</w:t>
      </w:r>
    </w:p>
    <w:p w14:paraId="60E30A80" w14:textId="77777777" w:rsidR="00C91F30" w:rsidRPr="00C91F30" w:rsidRDefault="00C91F30" w:rsidP="00C91F30">
      <w:pPr>
        <w:numPr>
          <w:ilvl w:val="1"/>
          <w:numId w:val="34"/>
        </w:numPr>
        <w:autoSpaceDE w:val="0"/>
        <w:autoSpaceDN w:val="0"/>
        <w:adjustRightInd w:val="0"/>
        <w:spacing w:line="360" w:lineRule="auto"/>
        <w:contextualSpacing/>
        <w:rPr>
          <w:rFonts w:ascii="Calibri" w:hAnsi="Calibri" w:cs="Calibri"/>
          <w:color w:val="404040"/>
          <w:szCs w:val="20"/>
        </w:rPr>
      </w:pPr>
      <w:r w:rsidRPr="00C91F30">
        <w:rPr>
          <w:rFonts w:ascii="Calibri" w:hAnsi="Calibri" w:cs="Calibri"/>
          <w:color w:val="404040"/>
          <w:szCs w:val="20"/>
        </w:rPr>
        <w:t>288 mixed income units (Studios, 1, 2, and 3-bedroom). 72 units will be restricted to 60% AMI.</w:t>
      </w:r>
    </w:p>
    <w:p w14:paraId="0116A8C5" w14:textId="77777777" w:rsidR="00C91F30" w:rsidRPr="00C91F30" w:rsidRDefault="00C91F30" w:rsidP="00C91F30">
      <w:pPr>
        <w:numPr>
          <w:ilvl w:val="1"/>
          <w:numId w:val="34"/>
        </w:numPr>
        <w:autoSpaceDE w:val="0"/>
        <w:autoSpaceDN w:val="0"/>
        <w:adjustRightInd w:val="0"/>
        <w:spacing w:line="360" w:lineRule="auto"/>
        <w:contextualSpacing/>
        <w:rPr>
          <w:rFonts w:ascii="Calibri" w:hAnsi="Calibri" w:cs="Calibri"/>
          <w:color w:val="404040"/>
          <w:szCs w:val="20"/>
        </w:rPr>
      </w:pPr>
      <w:r w:rsidRPr="00C91F30">
        <w:rPr>
          <w:rFonts w:ascii="Calibri" w:hAnsi="Calibri" w:cs="Calibri"/>
          <w:color w:val="404040"/>
          <w:szCs w:val="20"/>
        </w:rPr>
        <w:t>A 30,000 square foot Business Incubator.</w:t>
      </w:r>
    </w:p>
    <w:p w14:paraId="2A84D67B" w14:textId="7883650C" w:rsidR="00C91F30" w:rsidRPr="00F02B6B" w:rsidRDefault="00C91F30" w:rsidP="00F02B6B">
      <w:pPr>
        <w:numPr>
          <w:ilvl w:val="1"/>
          <w:numId w:val="34"/>
        </w:numPr>
        <w:autoSpaceDE w:val="0"/>
        <w:autoSpaceDN w:val="0"/>
        <w:adjustRightInd w:val="0"/>
        <w:spacing w:line="360" w:lineRule="auto"/>
        <w:contextualSpacing/>
        <w:rPr>
          <w:rFonts w:ascii="Calibri" w:hAnsi="Calibri" w:cs="Calibri"/>
          <w:color w:val="404040"/>
          <w:szCs w:val="20"/>
        </w:rPr>
      </w:pPr>
      <w:r w:rsidRPr="00C91F30">
        <w:rPr>
          <w:rFonts w:ascii="Calibri" w:hAnsi="Calibri" w:cs="Calibri"/>
          <w:color w:val="404040"/>
          <w:szCs w:val="20"/>
        </w:rPr>
        <w:t xml:space="preserve">Over 20,000 square feet of ground floor commercial and retail space anchored by an international food hall and marketplace programmed by Spice Kitchen. </w:t>
      </w:r>
    </w:p>
    <w:p w14:paraId="4524FE81" w14:textId="77777777" w:rsidR="00C91F30" w:rsidRPr="00C91F30" w:rsidRDefault="00C91F30" w:rsidP="00C91F30">
      <w:pPr>
        <w:overflowPunct w:val="0"/>
        <w:autoSpaceDE w:val="0"/>
        <w:autoSpaceDN w:val="0"/>
        <w:adjustRightInd w:val="0"/>
        <w:spacing w:line="360" w:lineRule="auto"/>
        <w:textAlignment w:val="baseline"/>
        <w:rPr>
          <w:rFonts w:ascii="Calibri" w:eastAsia="Calibri" w:hAnsi="Calibri"/>
          <w:i/>
          <w:color w:val="404040"/>
          <w:szCs w:val="20"/>
          <w:u w:val="single"/>
        </w:rPr>
      </w:pPr>
      <w:r w:rsidRPr="00C91F30">
        <w:rPr>
          <w:rFonts w:ascii="Calibri" w:eastAsia="Calibri" w:hAnsi="Calibri"/>
          <w:i/>
          <w:color w:val="404040"/>
          <w:szCs w:val="20"/>
          <w:u w:val="single"/>
        </w:rPr>
        <w:t>Action: Salt Lake City Housing Trust Fund</w:t>
      </w:r>
    </w:p>
    <w:p w14:paraId="37448231" w14:textId="77777777" w:rsidR="00C91F30" w:rsidRPr="00C91F30" w:rsidRDefault="00C91F30" w:rsidP="00C91F30">
      <w:pPr>
        <w:overflowPunct w:val="0"/>
        <w:autoSpaceDE w:val="0"/>
        <w:autoSpaceDN w:val="0"/>
        <w:adjustRightInd w:val="0"/>
        <w:spacing w:line="360" w:lineRule="auto"/>
        <w:ind w:left="720"/>
        <w:textAlignment w:val="baseline"/>
        <w:rPr>
          <w:rFonts w:ascii="Calibri" w:eastAsia="Calibri" w:hAnsi="Calibri"/>
          <w:color w:val="404040"/>
          <w:szCs w:val="20"/>
        </w:rPr>
      </w:pPr>
      <w:r w:rsidRPr="00C91F30">
        <w:rPr>
          <w:rFonts w:ascii="Calibri" w:eastAsia="Calibri" w:hAnsi="Calibri"/>
          <w:color w:val="404040"/>
          <w:szCs w:val="20"/>
        </w:rPr>
        <w:t>Impediments Addressed:</w:t>
      </w:r>
    </w:p>
    <w:p w14:paraId="5A4357C8" w14:textId="77777777" w:rsidR="00C91F30" w:rsidRPr="00C91F30" w:rsidRDefault="00C91F30" w:rsidP="00C91F30">
      <w:pPr>
        <w:numPr>
          <w:ilvl w:val="0"/>
          <w:numId w:val="5"/>
        </w:numPr>
        <w:spacing w:line="360" w:lineRule="auto"/>
        <w:ind w:left="1440"/>
        <w:contextualSpacing/>
        <w:rPr>
          <w:rFonts w:ascii="Calibri" w:hAnsi="Calibri"/>
          <w:color w:val="404040"/>
          <w:szCs w:val="20"/>
        </w:rPr>
      </w:pPr>
      <w:r w:rsidRPr="00C91F30">
        <w:rPr>
          <w:rFonts w:ascii="Calibri" w:hAnsi="Calibri"/>
          <w:color w:val="404040"/>
          <w:szCs w:val="20"/>
        </w:rPr>
        <w:t>Racial and Ethnic Segregation</w:t>
      </w:r>
    </w:p>
    <w:p w14:paraId="648B8685" w14:textId="77777777" w:rsidR="00C91F30" w:rsidRPr="00C91F30" w:rsidRDefault="00C91F30" w:rsidP="00C91F30">
      <w:pPr>
        <w:numPr>
          <w:ilvl w:val="0"/>
          <w:numId w:val="5"/>
        </w:numPr>
        <w:spacing w:line="360" w:lineRule="auto"/>
        <w:ind w:left="1440"/>
        <w:contextualSpacing/>
        <w:rPr>
          <w:rFonts w:ascii="Calibri" w:hAnsi="Calibri"/>
          <w:color w:val="404040"/>
          <w:szCs w:val="20"/>
        </w:rPr>
      </w:pPr>
      <w:r w:rsidRPr="00C91F30">
        <w:rPr>
          <w:rFonts w:ascii="Calibri" w:hAnsi="Calibri"/>
          <w:color w:val="404040"/>
          <w:szCs w:val="20"/>
        </w:rPr>
        <w:t>Access to Opportunity</w:t>
      </w:r>
    </w:p>
    <w:p w14:paraId="57B4879D" w14:textId="77777777" w:rsidR="00C91F30" w:rsidRPr="00C91F30" w:rsidRDefault="00C91F30" w:rsidP="00C91F30">
      <w:pPr>
        <w:numPr>
          <w:ilvl w:val="0"/>
          <w:numId w:val="5"/>
        </w:numPr>
        <w:spacing w:line="360" w:lineRule="auto"/>
        <w:ind w:left="1440"/>
        <w:contextualSpacing/>
        <w:rPr>
          <w:rFonts w:ascii="Calibri" w:hAnsi="Calibri"/>
          <w:color w:val="404040"/>
          <w:szCs w:val="20"/>
        </w:rPr>
      </w:pPr>
      <w:r w:rsidRPr="00C91F30">
        <w:rPr>
          <w:rFonts w:ascii="Calibri" w:hAnsi="Calibri"/>
          <w:color w:val="404040"/>
          <w:szCs w:val="20"/>
        </w:rPr>
        <w:t>Housing Affordable to Households at 50% AMI and Below</w:t>
      </w:r>
    </w:p>
    <w:p w14:paraId="43C37012" w14:textId="77777777" w:rsidR="00C91F30" w:rsidRPr="00C91F30" w:rsidRDefault="00C91F30" w:rsidP="00C91F30">
      <w:pPr>
        <w:numPr>
          <w:ilvl w:val="0"/>
          <w:numId w:val="5"/>
        </w:numPr>
        <w:spacing w:line="360" w:lineRule="auto"/>
        <w:ind w:left="1440"/>
        <w:contextualSpacing/>
        <w:rPr>
          <w:rFonts w:ascii="Calibri" w:hAnsi="Calibri"/>
          <w:b/>
          <w:color w:val="404040"/>
          <w:szCs w:val="20"/>
        </w:rPr>
      </w:pPr>
      <w:r w:rsidRPr="00C91F30">
        <w:rPr>
          <w:rFonts w:ascii="Calibri" w:hAnsi="Calibri"/>
          <w:color w:val="404040"/>
          <w:szCs w:val="20"/>
        </w:rPr>
        <w:t>Rental Housing for Large Families</w:t>
      </w:r>
    </w:p>
    <w:p w14:paraId="3BAF3ACE" w14:textId="77777777" w:rsidR="00C91F30" w:rsidRPr="00C91F30" w:rsidRDefault="00C91F30" w:rsidP="00C91F30">
      <w:pPr>
        <w:numPr>
          <w:ilvl w:val="0"/>
          <w:numId w:val="5"/>
        </w:numPr>
        <w:spacing w:line="360" w:lineRule="auto"/>
        <w:ind w:left="1440"/>
        <w:contextualSpacing/>
        <w:rPr>
          <w:rFonts w:ascii="Calibri" w:hAnsi="Calibri"/>
          <w:color w:val="404040"/>
          <w:szCs w:val="20"/>
        </w:rPr>
      </w:pPr>
      <w:r w:rsidRPr="00C91F30">
        <w:rPr>
          <w:rFonts w:ascii="Calibri" w:hAnsi="Calibri"/>
          <w:color w:val="404040"/>
          <w:szCs w:val="20"/>
        </w:rPr>
        <w:t>Housing for Disabled Persons</w:t>
      </w:r>
    </w:p>
    <w:p w14:paraId="4C6FC9A0" w14:textId="77777777" w:rsidR="00C91F30" w:rsidRPr="00C91F30" w:rsidRDefault="00C91F30" w:rsidP="00C91F30">
      <w:pPr>
        <w:overflowPunct w:val="0"/>
        <w:autoSpaceDE w:val="0"/>
        <w:autoSpaceDN w:val="0"/>
        <w:adjustRightInd w:val="0"/>
        <w:spacing w:line="360" w:lineRule="auto"/>
        <w:ind w:left="360"/>
        <w:textAlignment w:val="baseline"/>
        <w:rPr>
          <w:rFonts w:ascii="Calibri" w:eastAsia="Calibri" w:hAnsi="Calibri"/>
          <w:color w:val="404040"/>
          <w:szCs w:val="20"/>
        </w:rPr>
      </w:pPr>
    </w:p>
    <w:p w14:paraId="7796E254" w14:textId="13D86A77" w:rsidR="00C91F30" w:rsidRPr="00C91F30" w:rsidRDefault="00C91F30" w:rsidP="00C91F30">
      <w:pPr>
        <w:overflowPunct w:val="0"/>
        <w:autoSpaceDE w:val="0"/>
        <w:autoSpaceDN w:val="0"/>
        <w:adjustRightInd w:val="0"/>
        <w:spacing w:line="360" w:lineRule="auto"/>
        <w:ind w:left="360"/>
        <w:textAlignment w:val="baseline"/>
        <w:rPr>
          <w:rFonts w:ascii="Calibri" w:eastAsia="Calibri" w:hAnsi="Calibri"/>
          <w:color w:val="404040"/>
          <w:szCs w:val="20"/>
        </w:rPr>
      </w:pPr>
      <w:r w:rsidRPr="00C91F30">
        <w:rPr>
          <w:rFonts w:ascii="Calibri" w:eastAsia="Calibri" w:hAnsi="Calibri"/>
          <w:color w:val="404040"/>
          <w:szCs w:val="20"/>
        </w:rPr>
        <w:t>Summary: The Housing Trust Fund provides financial assistance to support the development and preservation of affordable and special needs</w:t>
      </w:r>
      <w:r w:rsidR="00593081">
        <w:rPr>
          <w:rFonts w:ascii="Calibri" w:eastAsia="Calibri" w:hAnsi="Calibri"/>
          <w:color w:val="404040"/>
          <w:szCs w:val="20"/>
        </w:rPr>
        <w:t xml:space="preserve"> housing in Salt Lake City. 2017-18</w:t>
      </w:r>
      <w:r w:rsidRPr="00C91F30">
        <w:rPr>
          <w:rFonts w:ascii="Calibri" w:eastAsia="Calibri" w:hAnsi="Calibri"/>
          <w:color w:val="404040"/>
          <w:szCs w:val="20"/>
        </w:rPr>
        <w:t xml:space="preserve"> activities supported the construction of multifamily housing with set-asides for the chronically homeless and persons with disabilities. In addition, activities supported the construction of a </w:t>
      </w:r>
      <w:r w:rsidR="00593081">
        <w:rPr>
          <w:rFonts w:ascii="Calibri" w:eastAsia="Calibri" w:hAnsi="Calibri"/>
          <w:color w:val="404040"/>
          <w:szCs w:val="20"/>
        </w:rPr>
        <w:t>permanent supportive housing project specifically for those with substance use disorders</w:t>
      </w:r>
      <w:r w:rsidRPr="00C91F30">
        <w:rPr>
          <w:rFonts w:ascii="Calibri" w:eastAsia="Calibri" w:hAnsi="Calibri"/>
          <w:color w:val="404040"/>
          <w:szCs w:val="20"/>
        </w:rPr>
        <w:t xml:space="preserve">. The Housing Trust Fund also provided funding to provide tenant-based rental assistance and leverage funds for case management for a hard to serve segment of chronically homeless individuals. This was part of the ongoing House 20 effort. </w:t>
      </w:r>
      <w:r w:rsidR="00593081">
        <w:rPr>
          <w:rFonts w:ascii="Calibri" w:eastAsia="Calibri" w:hAnsi="Calibri"/>
          <w:color w:val="404040"/>
          <w:szCs w:val="20"/>
        </w:rPr>
        <w:t xml:space="preserve">Moving forward House 20 will be funded with increased sales tax dollars allowing increased Housing Trust Fund dollars to continue supporting the construction of additional affordable multifamily and permanent supportive housing. </w:t>
      </w:r>
    </w:p>
    <w:p w14:paraId="72759D3C" w14:textId="77777777" w:rsidR="00C91F30" w:rsidRPr="00C91F30" w:rsidRDefault="00C91F30" w:rsidP="00C91F30">
      <w:pPr>
        <w:spacing w:line="360" w:lineRule="auto"/>
        <w:rPr>
          <w:rFonts w:ascii="Calibri" w:hAnsi="Calibri"/>
          <w:color w:val="404040"/>
          <w:szCs w:val="20"/>
        </w:rPr>
      </w:pPr>
    </w:p>
    <w:p w14:paraId="251DF638" w14:textId="77777777" w:rsidR="00C91F30" w:rsidRPr="00C91F30" w:rsidRDefault="00C91F30" w:rsidP="00C91F30">
      <w:pPr>
        <w:spacing w:line="360" w:lineRule="auto"/>
        <w:rPr>
          <w:rFonts w:ascii="Calibri" w:hAnsi="Calibri" w:cs="Arial"/>
          <w:i/>
          <w:color w:val="404040"/>
          <w:szCs w:val="20"/>
          <w:u w:val="single"/>
        </w:rPr>
      </w:pPr>
      <w:r w:rsidRPr="00C91F30">
        <w:rPr>
          <w:rFonts w:ascii="Calibri" w:hAnsi="Calibri" w:cs="Arial"/>
          <w:i/>
          <w:color w:val="404040"/>
          <w:szCs w:val="20"/>
          <w:u w:val="single"/>
        </w:rPr>
        <w:t>Action: Multilingual Program Outreach</w:t>
      </w:r>
    </w:p>
    <w:p w14:paraId="097B79B8" w14:textId="77777777" w:rsidR="00C91F30" w:rsidRPr="00C91F30" w:rsidRDefault="00C91F30" w:rsidP="00C91F30">
      <w:pPr>
        <w:spacing w:line="360" w:lineRule="auto"/>
        <w:ind w:left="720"/>
        <w:rPr>
          <w:rFonts w:ascii="Calibri" w:hAnsi="Calibri" w:cs="Arial"/>
          <w:color w:val="404040"/>
          <w:szCs w:val="20"/>
        </w:rPr>
      </w:pPr>
      <w:r w:rsidRPr="00C91F30">
        <w:rPr>
          <w:rFonts w:ascii="Calibri" w:hAnsi="Calibri" w:cs="Arial"/>
          <w:color w:val="404040"/>
          <w:szCs w:val="20"/>
        </w:rPr>
        <w:t>Impediments Addressed:</w:t>
      </w:r>
    </w:p>
    <w:p w14:paraId="60F9443C" w14:textId="77777777" w:rsidR="00C91F30" w:rsidRPr="00C91F30" w:rsidRDefault="00C91F30" w:rsidP="00C91F30">
      <w:pPr>
        <w:numPr>
          <w:ilvl w:val="0"/>
          <w:numId w:val="10"/>
        </w:numPr>
        <w:spacing w:line="360" w:lineRule="auto"/>
        <w:ind w:left="1440"/>
        <w:contextualSpacing/>
        <w:rPr>
          <w:rFonts w:ascii="Calibri" w:hAnsi="Calibri" w:cs="Arial"/>
          <w:color w:val="404040"/>
          <w:szCs w:val="20"/>
          <w:u w:val="single"/>
        </w:rPr>
      </w:pPr>
      <w:r w:rsidRPr="00C91F30">
        <w:rPr>
          <w:rFonts w:ascii="Calibri" w:hAnsi="Calibri" w:cs="Arial"/>
          <w:color w:val="404040"/>
          <w:szCs w:val="20"/>
        </w:rPr>
        <w:t>Language Barriers</w:t>
      </w:r>
    </w:p>
    <w:p w14:paraId="55BB9B12" w14:textId="77777777" w:rsidR="00C91F30" w:rsidRPr="00C91F30" w:rsidRDefault="00C91F30" w:rsidP="00C91F30">
      <w:pPr>
        <w:spacing w:line="360" w:lineRule="auto"/>
        <w:ind w:left="360"/>
        <w:rPr>
          <w:rFonts w:ascii="Calibri" w:hAnsi="Calibri" w:cs="Arial"/>
          <w:color w:val="404040"/>
          <w:szCs w:val="20"/>
        </w:rPr>
      </w:pPr>
    </w:p>
    <w:p w14:paraId="1938E340" w14:textId="70792288" w:rsidR="00C91F30" w:rsidRPr="00C91F30" w:rsidRDefault="00C91F30" w:rsidP="00C91F30">
      <w:pPr>
        <w:spacing w:line="360" w:lineRule="auto"/>
        <w:ind w:left="360"/>
        <w:rPr>
          <w:rFonts w:ascii="Calibri" w:hAnsi="Calibri" w:cs="Arial"/>
          <w:color w:val="404040"/>
          <w:szCs w:val="20"/>
        </w:rPr>
      </w:pPr>
      <w:r w:rsidRPr="00C91F30">
        <w:rPr>
          <w:rFonts w:ascii="Calibri" w:hAnsi="Calibri" w:cs="Arial"/>
          <w:color w:val="404040"/>
          <w:szCs w:val="20"/>
        </w:rPr>
        <w:t xml:space="preserve">Summary: HAND continued to make its programs and activities available to all eligible individuals including those for whom English is not their primary language and who have a limited ability to read, write, speak, or understand English. HAND’s most frequent contacts with limited English proficient persons have been with those who speak Spanish. HAND has bilingual staff members who are fluent in English and Spanish, its website lists the telephone number of a bilingual staff member for Spanish-speaking persons to call to obtain information about its housing programs, and it provides written Spanish translations of applications and loan and mortgage documents for its First-Time Home Buyer and Housing Rehabilitation programs. When soliciting public feedback on Federal Funding Priorities, HAND utilizes information in both English and Spanish. HAND also offers to provide oral interpreters to persons applying for Homebuyer and Housing Rehabilitation loans who speak languages other than English or Spanish. HAND additionally requires its sub-grantees to comply with Title VI requirements including limited English proficiency to assure that non-English speaking persons have access to their programs. </w:t>
      </w:r>
    </w:p>
    <w:p w14:paraId="3672BC55" w14:textId="77777777" w:rsidR="00C91F30" w:rsidRPr="00C91F30" w:rsidRDefault="00C91F30" w:rsidP="00C91F30">
      <w:pPr>
        <w:spacing w:line="360" w:lineRule="auto"/>
        <w:rPr>
          <w:rFonts w:ascii="Calibri" w:hAnsi="Calibri"/>
          <w:color w:val="0000FF"/>
          <w:szCs w:val="20"/>
        </w:rPr>
      </w:pPr>
    </w:p>
    <w:p w14:paraId="0DD10B44" w14:textId="77777777" w:rsidR="00F02B6B" w:rsidRDefault="00F02B6B" w:rsidP="00C91F30">
      <w:pPr>
        <w:spacing w:line="360" w:lineRule="auto"/>
        <w:rPr>
          <w:rFonts w:ascii="Calibri" w:hAnsi="Calibri"/>
          <w:i/>
          <w:color w:val="404040"/>
          <w:szCs w:val="20"/>
          <w:u w:val="single"/>
        </w:rPr>
      </w:pPr>
    </w:p>
    <w:p w14:paraId="6AAFD78D" w14:textId="77777777" w:rsidR="00C91F30" w:rsidRPr="00C91F30" w:rsidRDefault="00C91F30" w:rsidP="00C91F30">
      <w:pPr>
        <w:spacing w:line="360" w:lineRule="auto"/>
        <w:rPr>
          <w:rFonts w:ascii="Calibri" w:hAnsi="Calibri"/>
          <w:i/>
          <w:color w:val="404040"/>
          <w:szCs w:val="20"/>
          <w:u w:val="single"/>
        </w:rPr>
      </w:pPr>
      <w:r w:rsidRPr="00C91F30">
        <w:rPr>
          <w:rFonts w:ascii="Calibri" w:hAnsi="Calibri"/>
          <w:i/>
          <w:color w:val="404040"/>
          <w:szCs w:val="20"/>
          <w:u w:val="single"/>
        </w:rPr>
        <w:t>Action: Fair Housing Enforcement</w:t>
      </w:r>
    </w:p>
    <w:p w14:paraId="76ED31C8" w14:textId="77777777" w:rsidR="00C91F30" w:rsidRPr="00C91F30" w:rsidRDefault="00C91F30" w:rsidP="00C91F30">
      <w:pPr>
        <w:spacing w:line="360" w:lineRule="auto"/>
        <w:ind w:left="720"/>
        <w:rPr>
          <w:rFonts w:ascii="Calibri" w:hAnsi="Calibri"/>
          <w:color w:val="404040"/>
          <w:szCs w:val="20"/>
        </w:rPr>
      </w:pPr>
      <w:r w:rsidRPr="00C91F30">
        <w:rPr>
          <w:rFonts w:ascii="Calibri" w:hAnsi="Calibri"/>
          <w:color w:val="404040"/>
          <w:szCs w:val="20"/>
        </w:rPr>
        <w:t>Impediment Addressed:</w:t>
      </w:r>
    </w:p>
    <w:p w14:paraId="049BC5A3" w14:textId="77777777" w:rsidR="00C91F30" w:rsidRPr="00C91F30" w:rsidRDefault="00C91F30" w:rsidP="00C91F30">
      <w:pPr>
        <w:numPr>
          <w:ilvl w:val="0"/>
          <w:numId w:val="8"/>
        </w:numPr>
        <w:spacing w:line="360" w:lineRule="auto"/>
        <w:ind w:left="1440"/>
        <w:rPr>
          <w:rFonts w:ascii="Calibri" w:hAnsi="Calibri"/>
          <w:color w:val="404040"/>
          <w:szCs w:val="20"/>
        </w:rPr>
      </w:pPr>
      <w:r w:rsidRPr="00C91F30">
        <w:rPr>
          <w:rFonts w:ascii="Calibri" w:hAnsi="Calibri"/>
          <w:color w:val="404040"/>
          <w:szCs w:val="20"/>
        </w:rPr>
        <w:t>Housing Discrimination and Disparate Treatment</w:t>
      </w:r>
    </w:p>
    <w:p w14:paraId="66F9BAFB" w14:textId="6EEAD859" w:rsidR="00C91F30" w:rsidRPr="00C91F30" w:rsidRDefault="00C91F30" w:rsidP="00C91F30">
      <w:pPr>
        <w:spacing w:before="100" w:beforeAutospacing="1" w:after="100" w:afterAutospacing="1" w:line="360" w:lineRule="auto"/>
        <w:ind w:left="360"/>
        <w:rPr>
          <w:rFonts w:ascii="Calibri" w:hAnsi="Calibri"/>
          <w:color w:val="404040"/>
        </w:rPr>
      </w:pPr>
      <w:r w:rsidRPr="00C91F30">
        <w:rPr>
          <w:rFonts w:ascii="Calibri" w:hAnsi="Calibri"/>
          <w:color w:val="404040"/>
          <w:szCs w:val="20"/>
        </w:rPr>
        <w:t xml:space="preserve">Summary: The Disability Law Center (DLC) and the Utah Antidiscrimination and Labor Division are actively processing complaints and performing paired testing efforts. The DLC is the HUD designated FHIP for the State of Utah. The Fair Housing Program assists individuals who have experienced discrimination, conducts fair housing testing, and engages in education and outreach efforts. This program addresses discrimination in all protected classes, state wide. </w:t>
      </w:r>
      <w:r w:rsidRPr="00C91F30">
        <w:rPr>
          <w:rFonts w:ascii="Calibri" w:hAnsi="Calibri"/>
          <w:color w:val="404040"/>
        </w:rPr>
        <w:t>HAND staff look forward to continuing the City’s relationship with DLC to help implement various components of its</w:t>
      </w:r>
      <w:r w:rsidR="00593081">
        <w:rPr>
          <w:rFonts w:ascii="Calibri" w:hAnsi="Calibri"/>
          <w:color w:val="404040"/>
        </w:rPr>
        <w:t xml:space="preserve"> new Housing Plan.</w:t>
      </w:r>
    </w:p>
    <w:p w14:paraId="158714F0" w14:textId="77777777" w:rsidR="00C91F30" w:rsidRPr="00C91F30" w:rsidRDefault="00C91F30" w:rsidP="00C91F30">
      <w:pPr>
        <w:spacing w:line="360" w:lineRule="auto"/>
        <w:rPr>
          <w:rFonts w:ascii="Calibri" w:hAnsi="Calibri" w:cs="Arial"/>
          <w:i/>
          <w:color w:val="404040"/>
          <w:szCs w:val="20"/>
          <w:u w:val="single"/>
        </w:rPr>
      </w:pPr>
      <w:r w:rsidRPr="00C91F30">
        <w:rPr>
          <w:rFonts w:ascii="Calibri" w:hAnsi="Calibri" w:cs="Arial"/>
          <w:i/>
          <w:color w:val="404040"/>
          <w:szCs w:val="20"/>
          <w:u w:val="single"/>
        </w:rPr>
        <w:t>Action: Zoning Amendments</w:t>
      </w:r>
    </w:p>
    <w:p w14:paraId="7A3B0849" w14:textId="77777777" w:rsidR="00C91F30" w:rsidRPr="00C91F30" w:rsidRDefault="00C91F30" w:rsidP="00C91F30">
      <w:pPr>
        <w:spacing w:line="360" w:lineRule="auto"/>
        <w:ind w:left="720"/>
        <w:rPr>
          <w:rFonts w:ascii="Calibri" w:hAnsi="Calibri" w:cs="Arial"/>
          <w:color w:val="404040"/>
          <w:szCs w:val="20"/>
        </w:rPr>
      </w:pPr>
      <w:r w:rsidRPr="00C91F30">
        <w:rPr>
          <w:rFonts w:ascii="Calibri" w:hAnsi="Calibri" w:cs="Arial"/>
          <w:color w:val="404040"/>
          <w:szCs w:val="20"/>
        </w:rPr>
        <w:t>Impediments Addressed:</w:t>
      </w:r>
    </w:p>
    <w:p w14:paraId="45B9D533" w14:textId="77777777" w:rsidR="00C91F30" w:rsidRPr="00C91F30" w:rsidRDefault="00C91F30" w:rsidP="00C91F30">
      <w:pPr>
        <w:numPr>
          <w:ilvl w:val="0"/>
          <w:numId w:val="8"/>
        </w:numPr>
        <w:spacing w:line="360" w:lineRule="auto"/>
        <w:ind w:left="1440"/>
        <w:contextualSpacing/>
        <w:rPr>
          <w:rFonts w:ascii="Calibri" w:hAnsi="Calibri"/>
          <w:color w:val="404040"/>
          <w:szCs w:val="20"/>
        </w:rPr>
      </w:pPr>
      <w:r w:rsidRPr="00C91F30">
        <w:rPr>
          <w:rFonts w:ascii="Calibri" w:hAnsi="Calibri"/>
          <w:color w:val="404040"/>
          <w:szCs w:val="20"/>
        </w:rPr>
        <w:t>Racial and Ethnic Segregation</w:t>
      </w:r>
    </w:p>
    <w:p w14:paraId="0534E8F6" w14:textId="77777777" w:rsidR="00C91F30" w:rsidRPr="00C91F30" w:rsidRDefault="00C91F30" w:rsidP="00C91F30">
      <w:pPr>
        <w:numPr>
          <w:ilvl w:val="0"/>
          <w:numId w:val="8"/>
        </w:numPr>
        <w:spacing w:line="360" w:lineRule="auto"/>
        <w:ind w:left="1440"/>
        <w:contextualSpacing/>
        <w:rPr>
          <w:rFonts w:ascii="Calibri" w:hAnsi="Calibri" w:cs="Arial"/>
          <w:color w:val="404040"/>
          <w:szCs w:val="20"/>
        </w:rPr>
      </w:pPr>
      <w:r w:rsidRPr="00C91F30">
        <w:rPr>
          <w:rFonts w:ascii="Calibri" w:hAnsi="Calibri"/>
          <w:color w:val="404040"/>
          <w:szCs w:val="20"/>
        </w:rPr>
        <w:t>Access to Opportunity</w:t>
      </w:r>
    </w:p>
    <w:p w14:paraId="59D9DA44" w14:textId="77777777" w:rsidR="00C91F30" w:rsidRPr="00C91F30" w:rsidRDefault="00C91F30" w:rsidP="00C91F30">
      <w:pPr>
        <w:numPr>
          <w:ilvl w:val="0"/>
          <w:numId w:val="8"/>
        </w:numPr>
        <w:spacing w:line="360" w:lineRule="auto"/>
        <w:ind w:left="1440"/>
        <w:contextualSpacing/>
        <w:rPr>
          <w:rFonts w:ascii="Calibri" w:hAnsi="Calibri"/>
          <w:color w:val="404040"/>
          <w:szCs w:val="20"/>
        </w:rPr>
      </w:pPr>
      <w:r w:rsidRPr="00C91F30">
        <w:rPr>
          <w:rFonts w:ascii="Calibri" w:hAnsi="Calibri"/>
          <w:color w:val="404040"/>
          <w:szCs w:val="20"/>
        </w:rPr>
        <w:t>Housing Affordable to Households at 50% AMI and Below</w:t>
      </w:r>
    </w:p>
    <w:p w14:paraId="159745B0" w14:textId="77777777" w:rsidR="00C91F30" w:rsidRPr="00C91F30" w:rsidRDefault="00C91F30" w:rsidP="00C91F30">
      <w:pPr>
        <w:numPr>
          <w:ilvl w:val="0"/>
          <w:numId w:val="8"/>
        </w:numPr>
        <w:spacing w:line="360" w:lineRule="auto"/>
        <w:ind w:left="1440"/>
        <w:contextualSpacing/>
        <w:rPr>
          <w:rFonts w:ascii="Calibri" w:hAnsi="Calibri"/>
          <w:b/>
          <w:color w:val="404040"/>
          <w:szCs w:val="20"/>
        </w:rPr>
      </w:pPr>
      <w:r w:rsidRPr="00C91F30">
        <w:rPr>
          <w:rFonts w:ascii="Calibri" w:hAnsi="Calibri"/>
          <w:color w:val="404040"/>
          <w:szCs w:val="20"/>
        </w:rPr>
        <w:t>Rental Housing for Large Families</w:t>
      </w:r>
    </w:p>
    <w:p w14:paraId="67592263" w14:textId="77777777" w:rsidR="00C91F30" w:rsidRPr="00C91F30" w:rsidRDefault="00C91F30" w:rsidP="00C91F30">
      <w:pPr>
        <w:numPr>
          <w:ilvl w:val="0"/>
          <w:numId w:val="8"/>
        </w:numPr>
        <w:spacing w:line="360" w:lineRule="auto"/>
        <w:ind w:left="1440"/>
        <w:contextualSpacing/>
        <w:rPr>
          <w:rFonts w:ascii="Calibri" w:hAnsi="Calibri"/>
          <w:color w:val="404040"/>
          <w:szCs w:val="20"/>
        </w:rPr>
      </w:pPr>
      <w:r w:rsidRPr="00C91F30">
        <w:rPr>
          <w:rFonts w:ascii="Calibri" w:hAnsi="Calibri"/>
          <w:color w:val="404040"/>
          <w:szCs w:val="20"/>
        </w:rPr>
        <w:t>Housing for Disabled Persons</w:t>
      </w:r>
    </w:p>
    <w:p w14:paraId="61892BAB" w14:textId="77777777" w:rsidR="00C91F30" w:rsidRPr="00C91F30" w:rsidRDefault="00C91F30" w:rsidP="00C91F30">
      <w:pPr>
        <w:numPr>
          <w:ilvl w:val="0"/>
          <w:numId w:val="8"/>
        </w:numPr>
        <w:spacing w:line="360" w:lineRule="auto"/>
        <w:ind w:left="1440"/>
        <w:contextualSpacing/>
        <w:rPr>
          <w:rFonts w:ascii="Calibri" w:hAnsi="Calibri"/>
          <w:color w:val="404040"/>
          <w:szCs w:val="20"/>
        </w:rPr>
      </w:pPr>
      <w:r w:rsidRPr="00C91F30">
        <w:rPr>
          <w:rFonts w:ascii="Calibri" w:hAnsi="Calibri"/>
          <w:color w:val="404040"/>
          <w:szCs w:val="20"/>
        </w:rPr>
        <w:t>Zoning and Land Use Restrictions</w:t>
      </w:r>
    </w:p>
    <w:p w14:paraId="665D3B0D" w14:textId="77777777" w:rsidR="00C91F30" w:rsidRPr="00C91F30" w:rsidRDefault="00C91F30" w:rsidP="00C91F30">
      <w:pPr>
        <w:spacing w:line="360" w:lineRule="auto"/>
        <w:ind w:left="360"/>
        <w:rPr>
          <w:rFonts w:ascii="Calibri" w:hAnsi="Calibri" w:cs="Arial"/>
          <w:color w:val="404040"/>
          <w:szCs w:val="20"/>
        </w:rPr>
      </w:pPr>
    </w:p>
    <w:p w14:paraId="21AF4C33" w14:textId="77777777" w:rsidR="00C91F30" w:rsidRPr="00C91F30" w:rsidRDefault="00C91F30" w:rsidP="00C91F30">
      <w:pPr>
        <w:spacing w:line="360" w:lineRule="auto"/>
        <w:ind w:left="360"/>
        <w:rPr>
          <w:rFonts w:ascii="Calibri" w:hAnsi="Calibri" w:cs="Arial"/>
          <w:color w:val="404040"/>
          <w:szCs w:val="20"/>
        </w:rPr>
      </w:pPr>
      <w:r w:rsidRPr="00C91F30">
        <w:rPr>
          <w:rFonts w:ascii="Calibri" w:hAnsi="Calibri" w:cs="Arial"/>
          <w:color w:val="404040"/>
          <w:szCs w:val="20"/>
        </w:rPr>
        <w:t>Summary: Salt Lake City continues to promote the development of affordable housing for low-income households, including protected classes, through zoning amendments. For example, the Accessory Dwelling Unit, Transit Station Area Zoning District, and Impact Fee Exemption ordinances encourage the development of affordable housing. Impact fee exemptions are offered at a sliding scale reduction depending on the affordability level of the unit, with reductions as high as 100%. Accessory dwelling units can expand housing choice in low poverty areas. Transit-oriented developments provide persons with physical disabilities with adequate, reliable public transportation to easily access employment, goods, services, and housing.  Affordable housing near public transportation also expands housing options for persons without driver’s licenses, such as refugees, newly immigrated minorities, formerly homeless, and mentally disabled persons.</w:t>
      </w:r>
    </w:p>
    <w:p w14:paraId="5D0AF846" w14:textId="77777777" w:rsidR="00C91F30" w:rsidRPr="00C91F30" w:rsidRDefault="00C91F30" w:rsidP="00C91F30">
      <w:pPr>
        <w:spacing w:line="360" w:lineRule="auto"/>
        <w:rPr>
          <w:rFonts w:ascii="Calibri" w:hAnsi="Calibri"/>
          <w:color w:val="404040"/>
          <w:szCs w:val="20"/>
        </w:rPr>
      </w:pPr>
    </w:p>
    <w:p w14:paraId="08E374AB" w14:textId="77777777" w:rsidR="00C91F30" w:rsidRPr="00C91F30" w:rsidRDefault="00C91F30" w:rsidP="00C91F30">
      <w:pPr>
        <w:spacing w:line="360" w:lineRule="auto"/>
        <w:rPr>
          <w:rFonts w:ascii="Calibri" w:hAnsi="Calibri"/>
          <w:i/>
          <w:color w:val="404040"/>
          <w:szCs w:val="20"/>
          <w:u w:val="single"/>
        </w:rPr>
      </w:pPr>
      <w:r w:rsidRPr="00C91F30">
        <w:rPr>
          <w:rFonts w:ascii="Calibri" w:hAnsi="Calibri"/>
          <w:i/>
          <w:color w:val="404040"/>
          <w:szCs w:val="20"/>
          <w:u w:val="single"/>
        </w:rPr>
        <w:t>Action: Salt Lake City Landlord/Tenant Program</w:t>
      </w:r>
    </w:p>
    <w:p w14:paraId="18FF726E" w14:textId="77777777" w:rsidR="00C91F30" w:rsidRPr="00C91F30" w:rsidRDefault="00C91F30" w:rsidP="00C91F30">
      <w:pPr>
        <w:spacing w:line="360" w:lineRule="auto"/>
        <w:ind w:left="720"/>
        <w:rPr>
          <w:rFonts w:ascii="Calibri" w:hAnsi="Calibri"/>
          <w:color w:val="404040"/>
          <w:szCs w:val="20"/>
        </w:rPr>
      </w:pPr>
      <w:r w:rsidRPr="00C91F30">
        <w:rPr>
          <w:rFonts w:ascii="Calibri" w:hAnsi="Calibri"/>
          <w:color w:val="404040"/>
          <w:szCs w:val="20"/>
        </w:rPr>
        <w:t>Impediment Addressed:</w:t>
      </w:r>
    </w:p>
    <w:p w14:paraId="1AD5A32E" w14:textId="77777777" w:rsidR="00C91F30" w:rsidRPr="00C91F30" w:rsidRDefault="00C91F30" w:rsidP="00C91F30">
      <w:pPr>
        <w:numPr>
          <w:ilvl w:val="0"/>
          <w:numId w:val="8"/>
        </w:numPr>
        <w:spacing w:line="360" w:lineRule="auto"/>
        <w:ind w:left="1440"/>
        <w:contextualSpacing/>
        <w:rPr>
          <w:rFonts w:ascii="Calibri" w:hAnsi="Calibri" w:cs="Arial"/>
          <w:color w:val="404040"/>
          <w:szCs w:val="20"/>
        </w:rPr>
      </w:pPr>
      <w:r w:rsidRPr="00C91F30">
        <w:rPr>
          <w:rFonts w:ascii="Calibri" w:hAnsi="Calibri" w:cs="Arial"/>
          <w:color w:val="404040"/>
          <w:szCs w:val="20"/>
        </w:rPr>
        <w:t>Fair Housing Knowledge</w:t>
      </w:r>
    </w:p>
    <w:p w14:paraId="10E1DE8D" w14:textId="77777777" w:rsidR="00C91F30" w:rsidRPr="00C91F30" w:rsidRDefault="00C91F30" w:rsidP="00C91F30">
      <w:pPr>
        <w:spacing w:line="360" w:lineRule="auto"/>
        <w:ind w:left="360"/>
        <w:rPr>
          <w:rFonts w:ascii="Calibri" w:hAnsi="Calibri" w:cs="Arial"/>
          <w:color w:val="404040"/>
          <w:szCs w:val="20"/>
        </w:rPr>
      </w:pPr>
    </w:p>
    <w:p w14:paraId="44237B99" w14:textId="77777777" w:rsidR="00C91F30" w:rsidRPr="00C91F30" w:rsidRDefault="00C91F30" w:rsidP="00C91F30">
      <w:pPr>
        <w:spacing w:line="360" w:lineRule="auto"/>
        <w:ind w:left="360"/>
        <w:rPr>
          <w:rFonts w:ascii="Calibri" w:hAnsi="Calibri" w:cs="Arial"/>
          <w:color w:val="404040"/>
          <w:szCs w:val="20"/>
        </w:rPr>
      </w:pPr>
      <w:r w:rsidRPr="00C91F30">
        <w:rPr>
          <w:rFonts w:ascii="Calibri" w:hAnsi="Calibri" w:cs="Arial"/>
          <w:color w:val="404040"/>
          <w:szCs w:val="20"/>
        </w:rPr>
        <w:t xml:space="preserve">Summary: </w:t>
      </w:r>
      <w:r w:rsidRPr="00C91F30">
        <w:rPr>
          <w:rFonts w:ascii="Calibri" w:hAnsi="Calibri"/>
          <w:color w:val="404040"/>
          <w:szCs w:val="20"/>
        </w:rPr>
        <w:t xml:space="preserve">The Landlord/Tenant Initiative (also known as the Good Landlord Program) provides training regarding best management practices, fair housing law, and city ordinance requirements.  </w:t>
      </w:r>
    </w:p>
    <w:p w14:paraId="20497526" w14:textId="77777777" w:rsidR="00C91F30" w:rsidRPr="00C91F30" w:rsidRDefault="00C91F30" w:rsidP="00C91F30">
      <w:pPr>
        <w:widowControl w:val="0"/>
        <w:autoSpaceDE w:val="0"/>
        <w:autoSpaceDN w:val="0"/>
        <w:adjustRightInd w:val="0"/>
        <w:spacing w:line="360" w:lineRule="auto"/>
        <w:rPr>
          <w:rFonts w:ascii="Calibri" w:hAnsi="Calibri"/>
          <w:color w:val="404040"/>
          <w:szCs w:val="20"/>
        </w:rPr>
      </w:pPr>
    </w:p>
    <w:p w14:paraId="3D20011B" w14:textId="77777777" w:rsidR="00C91F30" w:rsidRPr="00C91F30" w:rsidRDefault="00C91F30" w:rsidP="00C91F30">
      <w:pPr>
        <w:spacing w:line="360" w:lineRule="auto"/>
        <w:rPr>
          <w:rFonts w:ascii="Calibri" w:hAnsi="Calibri" w:cs="Arial"/>
          <w:i/>
          <w:color w:val="404040"/>
          <w:szCs w:val="20"/>
          <w:u w:val="single"/>
        </w:rPr>
      </w:pPr>
      <w:r w:rsidRPr="00C91F30">
        <w:rPr>
          <w:rFonts w:ascii="Calibri" w:hAnsi="Calibri" w:cs="Arial"/>
          <w:i/>
          <w:color w:val="404040"/>
          <w:szCs w:val="20"/>
          <w:u w:val="single"/>
        </w:rPr>
        <w:t>Action: Local Opportunity Index</w:t>
      </w:r>
    </w:p>
    <w:p w14:paraId="0FD73B88" w14:textId="77777777" w:rsidR="00C91F30" w:rsidRPr="00C91F30" w:rsidRDefault="00C91F30" w:rsidP="00C91F30">
      <w:pPr>
        <w:widowControl w:val="0"/>
        <w:autoSpaceDE w:val="0"/>
        <w:autoSpaceDN w:val="0"/>
        <w:adjustRightInd w:val="0"/>
        <w:spacing w:line="360" w:lineRule="auto"/>
        <w:ind w:left="720"/>
        <w:rPr>
          <w:rFonts w:ascii="Calibri" w:hAnsi="Calibri" w:cs="Arial"/>
          <w:color w:val="404040"/>
          <w:szCs w:val="20"/>
        </w:rPr>
      </w:pPr>
      <w:r w:rsidRPr="00C91F30">
        <w:rPr>
          <w:rFonts w:ascii="Calibri" w:hAnsi="Calibri" w:cs="Arial"/>
          <w:color w:val="404040"/>
          <w:szCs w:val="20"/>
        </w:rPr>
        <w:t>Impediment Addressed:</w:t>
      </w:r>
    </w:p>
    <w:p w14:paraId="4F139843" w14:textId="77777777" w:rsidR="00C91F30" w:rsidRPr="00C91F30" w:rsidRDefault="00C91F30" w:rsidP="00C91F30">
      <w:pPr>
        <w:widowControl w:val="0"/>
        <w:numPr>
          <w:ilvl w:val="0"/>
          <w:numId w:val="8"/>
        </w:numPr>
        <w:autoSpaceDE w:val="0"/>
        <w:autoSpaceDN w:val="0"/>
        <w:adjustRightInd w:val="0"/>
        <w:spacing w:line="360" w:lineRule="auto"/>
        <w:ind w:left="1440"/>
        <w:contextualSpacing/>
        <w:rPr>
          <w:rFonts w:ascii="Calibri" w:hAnsi="Calibri"/>
          <w:color w:val="404040"/>
          <w:szCs w:val="20"/>
        </w:rPr>
      </w:pPr>
      <w:r w:rsidRPr="00C91F30">
        <w:rPr>
          <w:rFonts w:ascii="Calibri" w:hAnsi="Calibri"/>
          <w:color w:val="404040"/>
          <w:szCs w:val="20"/>
        </w:rPr>
        <w:t>Regional Fair Housing Coordination</w:t>
      </w:r>
    </w:p>
    <w:p w14:paraId="3DC52399" w14:textId="77777777" w:rsidR="00C91F30" w:rsidRPr="00C91F30" w:rsidRDefault="00C91F30" w:rsidP="00C91F30">
      <w:pPr>
        <w:spacing w:line="360" w:lineRule="auto"/>
        <w:ind w:left="360"/>
        <w:rPr>
          <w:rFonts w:ascii="Calibri" w:hAnsi="Calibri" w:cs="Arial"/>
          <w:color w:val="404040"/>
          <w:szCs w:val="20"/>
        </w:rPr>
      </w:pPr>
    </w:p>
    <w:p w14:paraId="4EF37594" w14:textId="77777777" w:rsidR="00C91F30" w:rsidRPr="00C91F30" w:rsidRDefault="00C91F30" w:rsidP="00C91F30">
      <w:pPr>
        <w:spacing w:line="360" w:lineRule="auto"/>
        <w:ind w:left="360"/>
        <w:rPr>
          <w:rFonts w:ascii="Calibri" w:hAnsi="Calibri" w:cs="Arial"/>
          <w:color w:val="404040"/>
          <w:szCs w:val="20"/>
        </w:rPr>
      </w:pPr>
      <w:r w:rsidRPr="00C91F30">
        <w:rPr>
          <w:rFonts w:ascii="Calibri" w:hAnsi="Calibri" w:cs="Arial"/>
          <w:color w:val="404040"/>
          <w:szCs w:val="20"/>
        </w:rPr>
        <w:t xml:space="preserve">Summary: In 2014, the Bureau of Economic and Business Research completed a study identifying impediments to fair housing on a regional scale. The </w:t>
      </w:r>
      <w:r w:rsidRPr="00C91F30">
        <w:rPr>
          <w:rFonts w:ascii="Calibri" w:hAnsi="Calibri" w:cs="Arial"/>
          <w:i/>
          <w:color w:val="404040"/>
          <w:szCs w:val="20"/>
        </w:rPr>
        <w:t>Regional Analysis to Fair Housing Choice: Salt Lake County</w:t>
      </w:r>
      <w:r w:rsidRPr="00C91F30">
        <w:rPr>
          <w:rFonts w:ascii="Calibri" w:hAnsi="Calibri" w:cs="Arial"/>
          <w:color w:val="404040"/>
          <w:szCs w:val="20"/>
        </w:rPr>
        <w:t xml:space="preserve"> provides information not only on discrimination issues, but also on access to opportunity. That report relied on 2010 and 2013 Census and ACS data. To update that information, the City commissioned a new assessment focused on neighborhoods within Salt Lake. It will be used to drive future local and federal investments that breakdown disparities in opportunity. </w:t>
      </w:r>
    </w:p>
    <w:p w14:paraId="6CF2962A" w14:textId="77777777" w:rsidR="00C91F30" w:rsidRPr="00C91F30" w:rsidRDefault="00C91F30" w:rsidP="00C91F30">
      <w:pPr>
        <w:spacing w:line="360" w:lineRule="auto"/>
        <w:ind w:left="360"/>
        <w:rPr>
          <w:rFonts w:ascii="Calibri" w:hAnsi="Calibri" w:cs="Arial"/>
          <w:color w:val="404040"/>
          <w:szCs w:val="20"/>
          <w:u w:val="single"/>
        </w:rPr>
      </w:pPr>
    </w:p>
    <w:p w14:paraId="3177BC93" w14:textId="77777777" w:rsidR="00C91F30" w:rsidRPr="00C91F30" w:rsidRDefault="00C91F30" w:rsidP="00C91F30">
      <w:pPr>
        <w:spacing w:line="360" w:lineRule="auto"/>
        <w:rPr>
          <w:rFonts w:ascii="Calibri" w:hAnsi="Calibri" w:cs="Arial"/>
          <w:i/>
          <w:color w:val="404040"/>
          <w:szCs w:val="20"/>
          <w:u w:val="single"/>
        </w:rPr>
      </w:pPr>
      <w:r w:rsidRPr="00C91F30">
        <w:rPr>
          <w:rFonts w:ascii="Calibri" w:hAnsi="Calibri" w:cs="Arial"/>
          <w:i/>
          <w:color w:val="404040"/>
          <w:szCs w:val="20"/>
          <w:u w:val="single"/>
        </w:rPr>
        <w:t>Action: Utah Fair Housing Forum</w:t>
      </w:r>
    </w:p>
    <w:p w14:paraId="598A1BDB" w14:textId="77777777" w:rsidR="00C91F30" w:rsidRPr="00C91F30" w:rsidRDefault="00C91F30" w:rsidP="00C91F30">
      <w:pPr>
        <w:spacing w:line="360" w:lineRule="auto"/>
        <w:ind w:left="360"/>
        <w:rPr>
          <w:rFonts w:ascii="Calibri" w:hAnsi="Calibri" w:cs="Arial"/>
          <w:color w:val="404040"/>
          <w:szCs w:val="20"/>
        </w:rPr>
      </w:pPr>
      <w:r w:rsidRPr="00C91F30">
        <w:rPr>
          <w:rFonts w:ascii="Calibri" w:hAnsi="Calibri" w:cs="Arial"/>
          <w:color w:val="404040"/>
          <w:szCs w:val="20"/>
        </w:rPr>
        <w:t>Impediment Addressed:</w:t>
      </w:r>
    </w:p>
    <w:p w14:paraId="225B9333" w14:textId="77777777" w:rsidR="00C91F30" w:rsidRPr="00C91F30" w:rsidRDefault="00C91F30" w:rsidP="00C91F30">
      <w:pPr>
        <w:numPr>
          <w:ilvl w:val="0"/>
          <w:numId w:val="8"/>
        </w:numPr>
        <w:spacing w:line="360" w:lineRule="auto"/>
        <w:contextualSpacing/>
        <w:rPr>
          <w:rFonts w:ascii="Calibri" w:hAnsi="Calibri" w:cs="Arial"/>
          <w:color w:val="404040"/>
          <w:szCs w:val="20"/>
        </w:rPr>
      </w:pPr>
      <w:r w:rsidRPr="00C91F30">
        <w:rPr>
          <w:rFonts w:ascii="Calibri" w:hAnsi="Calibri"/>
          <w:color w:val="404040"/>
          <w:szCs w:val="20"/>
        </w:rPr>
        <w:t>Regional Fair Housing Coordination</w:t>
      </w:r>
    </w:p>
    <w:p w14:paraId="2E2AE1EC" w14:textId="77777777" w:rsidR="00C91F30" w:rsidRPr="00C91F30" w:rsidRDefault="00C91F30" w:rsidP="00C91F30">
      <w:pPr>
        <w:spacing w:line="360" w:lineRule="auto"/>
        <w:ind w:left="360"/>
        <w:rPr>
          <w:rFonts w:ascii="Calibri" w:hAnsi="Calibri" w:cs="Arial"/>
          <w:color w:val="404040"/>
          <w:szCs w:val="20"/>
        </w:rPr>
      </w:pPr>
    </w:p>
    <w:p w14:paraId="3E29DEC5" w14:textId="77777777" w:rsidR="00C91F30" w:rsidRPr="00C91F30" w:rsidRDefault="00C91F30" w:rsidP="00C91F30">
      <w:pPr>
        <w:spacing w:line="360" w:lineRule="auto"/>
        <w:ind w:left="360"/>
        <w:rPr>
          <w:rFonts w:ascii="Calibri" w:hAnsi="Calibri" w:cs="Arial"/>
          <w:color w:val="404040"/>
          <w:szCs w:val="20"/>
        </w:rPr>
      </w:pPr>
      <w:r w:rsidRPr="00C91F30">
        <w:rPr>
          <w:rFonts w:ascii="Calibri" w:hAnsi="Calibri" w:cs="Arial"/>
          <w:color w:val="404040"/>
          <w:szCs w:val="20"/>
        </w:rPr>
        <w:t>Summary: Salt Lake City continued to be a member of the Utah Fair Housing Forum, which includes representatives from HUD’s Regional Office of Fair Housing and Equal Opportunity, the Utah Antidiscrimination and Labor Division, the Disability Law Center, entitlement cities, and fair housing advocacy groups.  HAND staff attend monthly meetings with the coalition and will attend the annual Fair Housing Forum. The forum serves as a platform to share information and coordinate efforts relating to fair housing.</w:t>
      </w:r>
    </w:p>
    <w:p w14:paraId="675402B5" w14:textId="77777777" w:rsidR="00C91F30" w:rsidRPr="00C91F30" w:rsidRDefault="00C91F30" w:rsidP="00C91F30">
      <w:pPr>
        <w:spacing w:line="360" w:lineRule="auto"/>
        <w:rPr>
          <w:rFonts w:ascii="Calibri" w:hAnsi="Calibri" w:cs="Arial"/>
          <w:color w:val="404040"/>
          <w:szCs w:val="20"/>
        </w:rPr>
      </w:pPr>
    </w:p>
    <w:p w14:paraId="1CF8BD1C" w14:textId="77777777" w:rsidR="00C91F30" w:rsidRPr="00C91F30" w:rsidRDefault="00C91F30" w:rsidP="00C91F30">
      <w:pPr>
        <w:spacing w:line="360" w:lineRule="auto"/>
        <w:rPr>
          <w:rFonts w:ascii="Calibri" w:hAnsi="Calibri" w:cs="Arial"/>
          <w:i/>
          <w:color w:val="404040"/>
          <w:szCs w:val="20"/>
          <w:u w:val="single"/>
        </w:rPr>
      </w:pPr>
      <w:r w:rsidRPr="00C91F30">
        <w:rPr>
          <w:rFonts w:ascii="Calibri" w:hAnsi="Calibri" w:cs="Arial"/>
          <w:i/>
          <w:color w:val="404040"/>
          <w:szCs w:val="20"/>
          <w:u w:val="single"/>
        </w:rPr>
        <w:t>Action: Fair Housing Month</w:t>
      </w:r>
    </w:p>
    <w:p w14:paraId="0D7BAF78" w14:textId="77777777" w:rsidR="00C91F30" w:rsidRPr="00C91F30" w:rsidRDefault="00C91F30" w:rsidP="00C91F30">
      <w:pPr>
        <w:spacing w:line="360" w:lineRule="auto"/>
        <w:ind w:left="720"/>
        <w:rPr>
          <w:rFonts w:ascii="Calibri" w:hAnsi="Calibri" w:cs="Arial"/>
          <w:color w:val="404040"/>
          <w:szCs w:val="20"/>
        </w:rPr>
      </w:pPr>
      <w:r w:rsidRPr="00C91F30">
        <w:rPr>
          <w:rFonts w:ascii="Calibri" w:hAnsi="Calibri" w:cs="Arial"/>
          <w:color w:val="404040"/>
          <w:szCs w:val="20"/>
        </w:rPr>
        <w:t>Impediment Addressed:</w:t>
      </w:r>
    </w:p>
    <w:p w14:paraId="5D074F55" w14:textId="77777777" w:rsidR="00C91F30" w:rsidRPr="00C91F30" w:rsidRDefault="00C91F30" w:rsidP="00C91F30">
      <w:pPr>
        <w:numPr>
          <w:ilvl w:val="0"/>
          <w:numId w:val="9"/>
        </w:numPr>
        <w:spacing w:line="360" w:lineRule="auto"/>
        <w:ind w:left="1440"/>
        <w:contextualSpacing/>
        <w:rPr>
          <w:rFonts w:ascii="Calibri" w:hAnsi="Calibri" w:cs="Arial"/>
          <w:color w:val="404040"/>
          <w:szCs w:val="20"/>
        </w:rPr>
      </w:pPr>
      <w:r w:rsidRPr="00C91F30">
        <w:rPr>
          <w:rFonts w:ascii="Calibri" w:hAnsi="Calibri" w:cs="Arial"/>
          <w:color w:val="404040"/>
          <w:szCs w:val="20"/>
        </w:rPr>
        <w:t>Fair Housing Knowledge</w:t>
      </w:r>
    </w:p>
    <w:p w14:paraId="7C7B4751" w14:textId="77777777" w:rsidR="00C91F30" w:rsidRPr="00C91F30" w:rsidRDefault="00C91F30" w:rsidP="00C91F30">
      <w:pPr>
        <w:spacing w:line="360" w:lineRule="auto"/>
        <w:ind w:left="1440"/>
        <w:contextualSpacing/>
        <w:rPr>
          <w:rFonts w:ascii="Calibri" w:hAnsi="Calibri" w:cs="Arial"/>
          <w:color w:val="404040"/>
          <w:szCs w:val="20"/>
        </w:rPr>
      </w:pPr>
    </w:p>
    <w:p w14:paraId="206BEDA8" w14:textId="77777777" w:rsidR="00C91F30" w:rsidRPr="00C91F30" w:rsidRDefault="00C91F30" w:rsidP="00C91F30">
      <w:pPr>
        <w:spacing w:line="360" w:lineRule="auto"/>
        <w:ind w:left="360"/>
        <w:rPr>
          <w:rFonts w:ascii="Calibri" w:hAnsi="Calibri" w:cs="Arial"/>
          <w:color w:val="404040"/>
          <w:szCs w:val="20"/>
        </w:rPr>
      </w:pPr>
      <w:r w:rsidRPr="00C91F30">
        <w:rPr>
          <w:rFonts w:ascii="Calibri" w:hAnsi="Calibri" w:cs="Arial"/>
          <w:color w:val="404040"/>
          <w:szCs w:val="20"/>
        </w:rPr>
        <w:t xml:space="preserve">Summary: Mayor Biskupski commemorated the 50th anniversary of the passage of the Federal Fair Housing Act of 1968 by proclaiming April as Fair Housing Month in Salt Lake City and reaffirming the City’s commitment to support Federal and State fair housing laws. </w:t>
      </w:r>
    </w:p>
    <w:p w14:paraId="678909FD" w14:textId="77777777" w:rsidR="00C91F30" w:rsidRPr="00C91F30" w:rsidRDefault="00C91F30" w:rsidP="00C91F30">
      <w:pPr>
        <w:spacing w:line="360" w:lineRule="auto"/>
        <w:rPr>
          <w:rFonts w:ascii="Calibri" w:hAnsi="Calibri" w:cs="Arial"/>
          <w:color w:val="404040"/>
          <w:szCs w:val="20"/>
        </w:rPr>
      </w:pPr>
    </w:p>
    <w:p w14:paraId="0F512573" w14:textId="77777777" w:rsidR="00C91F30" w:rsidRPr="00C91F30" w:rsidRDefault="00C91F30" w:rsidP="00C91F30">
      <w:pPr>
        <w:spacing w:line="360" w:lineRule="auto"/>
        <w:rPr>
          <w:rFonts w:ascii="Calibri" w:hAnsi="Calibri" w:cs="Arial"/>
          <w:i/>
          <w:color w:val="404040"/>
          <w:szCs w:val="20"/>
          <w:u w:val="single"/>
        </w:rPr>
      </w:pPr>
      <w:r w:rsidRPr="00C91F30">
        <w:rPr>
          <w:rFonts w:ascii="Calibri" w:hAnsi="Calibri" w:cs="Arial"/>
          <w:i/>
          <w:color w:val="404040"/>
          <w:szCs w:val="20"/>
          <w:u w:val="single"/>
        </w:rPr>
        <w:t>Action: Subgrantee Fair Housing Training</w:t>
      </w:r>
    </w:p>
    <w:p w14:paraId="37166DE4" w14:textId="77777777" w:rsidR="00C91F30" w:rsidRPr="00C91F30" w:rsidRDefault="00C91F30" w:rsidP="00C91F30">
      <w:pPr>
        <w:spacing w:line="360" w:lineRule="auto"/>
        <w:ind w:left="720"/>
        <w:rPr>
          <w:rFonts w:ascii="Calibri" w:hAnsi="Calibri" w:cs="Arial"/>
          <w:color w:val="404040"/>
          <w:szCs w:val="20"/>
        </w:rPr>
      </w:pPr>
      <w:r w:rsidRPr="00C91F30">
        <w:rPr>
          <w:rFonts w:ascii="Calibri" w:hAnsi="Calibri" w:cs="Arial"/>
          <w:color w:val="404040"/>
          <w:szCs w:val="20"/>
        </w:rPr>
        <w:t>Impediment Addressed:</w:t>
      </w:r>
    </w:p>
    <w:p w14:paraId="728297BF" w14:textId="77777777" w:rsidR="00C91F30" w:rsidRPr="00C91F30" w:rsidRDefault="00C91F30" w:rsidP="00C91F30">
      <w:pPr>
        <w:numPr>
          <w:ilvl w:val="0"/>
          <w:numId w:val="9"/>
        </w:numPr>
        <w:spacing w:line="360" w:lineRule="auto"/>
        <w:ind w:left="1440"/>
        <w:contextualSpacing/>
        <w:rPr>
          <w:rFonts w:ascii="Calibri" w:hAnsi="Calibri" w:cs="Arial"/>
          <w:color w:val="404040"/>
          <w:szCs w:val="20"/>
        </w:rPr>
      </w:pPr>
      <w:r w:rsidRPr="00C91F30">
        <w:rPr>
          <w:rFonts w:ascii="Calibri" w:hAnsi="Calibri" w:cs="Arial"/>
          <w:color w:val="404040"/>
          <w:szCs w:val="20"/>
        </w:rPr>
        <w:t>Fair Housing Knowledge</w:t>
      </w:r>
    </w:p>
    <w:p w14:paraId="17046503" w14:textId="77777777" w:rsidR="00C91F30" w:rsidRPr="00C91F30" w:rsidRDefault="00C91F30" w:rsidP="00C91F30">
      <w:pPr>
        <w:spacing w:line="360" w:lineRule="auto"/>
        <w:ind w:left="360"/>
        <w:rPr>
          <w:rFonts w:ascii="Calibri" w:hAnsi="Calibri" w:cs="Arial"/>
          <w:color w:val="404040"/>
          <w:szCs w:val="20"/>
        </w:rPr>
      </w:pPr>
    </w:p>
    <w:p w14:paraId="0D092AE9" w14:textId="77F6E1B1" w:rsidR="00C91F30" w:rsidRDefault="00C91F30" w:rsidP="00593081">
      <w:pPr>
        <w:spacing w:line="360" w:lineRule="auto"/>
        <w:ind w:left="360"/>
        <w:rPr>
          <w:rFonts w:ascii="Calibri" w:hAnsi="Calibri" w:cs="Arial"/>
          <w:color w:val="404040"/>
          <w:szCs w:val="20"/>
        </w:rPr>
      </w:pPr>
      <w:r w:rsidRPr="00C91F30">
        <w:rPr>
          <w:rFonts w:ascii="Calibri" w:hAnsi="Calibri" w:cs="Arial"/>
          <w:color w:val="404040"/>
          <w:szCs w:val="20"/>
        </w:rPr>
        <w:t xml:space="preserve">Summary: HAND continued to provide fair housing information and training at its annual workshop for CDBG, ESG, HOME, and HOPWA sub-grantees to help them increase the awareness of their clients—many of whom are minorities, immigrants, refugees, single parents, persons with disabilities, and tenants—about fair housing laws. </w:t>
      </w:r>
    </w:p>
    <w:p w14:paraId="27A9F324" w14:textId="77777777" w:rsidR="00F02B6B" w:rsidRPr="00C91F30" w:rsidRDefault="00F02B6B" w:rsidP="00593081">
      <w:pPr>
        <w:spacing w:line="360" w:lineRule="auto"/>
        <w:ind w:left="360"/>
        <w:rPr>
          <w:rFonts w:ascii="Calibri" w:hAnsi="Calibri" w:cs="Arial"/>
          <w:color w:val="404040"/>
          <w:szCs w:val="20"/>
        </w:rPr>
      </w:pPr>
    </w:p>
    <w:p w14:paraId="33BFE91D" w14:textId="77777777" w:rsidR="00C91F30" w:rsidRPr="00C91F30" w:rsidRDefault="00C91F30" w:rsidP="00C91F30">
      <w:pPr>
        <w:spacing w:line="360" w:lineRule="auto"/>
        <w:rPr>
          <w:rFonts w:ascii="Calibri" w:hAnsi="Calibri" w:cs="Arial"/>
          <w:i/>
          <w:color w:val="404040"/>
          <w:szCs w:val="20"/>
          <w:u w:val="single"/>
        </w:rPr>
      </w:pPr>
      <w:r w:rsidRPr="00C91F30">
        <w:rPr>
          <w:rFonts w:ascii="Calibri" w:hAnsi="Calibri" w:cs="Arial"/>
          <w:i/>
          <w:color w:val="404040"/>
          <w:szCs w:val="20"/>
          <w:u w:val="single"/>
        </w:rPr>
        <w:t>Action: Neighborhood Improvements in Racial and Ethnic Concentrated Areas of Poverty</w:t>
      </w:r>
    </w:p>
    <w:p w14:paraId="645EC76A" w14:textId="77777777" w:rsidR="00C91F30" w:rsidRPr="00C91F30" w:rsidRDefault="00C91F30" w:rsidP="00C91F30">
      <w:pPr>
        <w:spacing w:line="360" w:lineRule="auto"/>
        <w:ind w:left="720"/>
        <w:rPr>
          <w:rFonts w:ascii="Calibri" w:hAnsi="Calibri" w:cs="Arial"/>
          <w:color w:val="404040"/>
          <w:szCs w:val="20"/>
        </w:rPr>
      </w:pPr>
      <w:r w:rsidRPr="00C91F30">
        <w:rPr>
          <w:rFonts w:ascii="Calibri" w:hAnsi="Calibri" w:cs="Arial"/>
          <w:color w:val="404040"/>
          <w:szCs w:val="20"/>
        </w:rPr>
        <w:t>Impediment Addressed:</w:t>
      </w:r>
    </w:p>
    <w:p w14:paraId="23150B18" w14:textId="77777777" w:rsidR="00C91F30" w:rsidRPr="00C91F30" w:rsidRDefault="00C91F30" w:rsidP="00C91F30">
      <w:pPr>
        <w:numPr>
          <w:ilvl w:val="0"/>
          <w:numId w:val="9"/>
        </w:numPr>
        <w:spacing w:line="360" w:lineRule="auto"/>
        <w:ind w:left="1440"/>
        <w:contextualSpacing/>
        <w:rPr>
          <w:rFonts w:ascii="Calibri" w:hAnsi="Calibri" w:cs="Arial"/>
          <w:color w:val="404040"/>
          <w:szCs w:val="20"/>
        </w:rPr>
      </w:pPr>
      <w:r w:rsidRPr="00C91F30">
        <w:rPr>
          <w:rFonts w:ascii="Calibri" w:hAnsi="Calibri" w:cs="Arial"/>
          <w:color w:val="404040"/>
          <w:szCs w:val="20"/>
        </w:rPr>
        <w:t>Access to Opportunity</w:t>
      </w:r>
    </w:p>
    <w:p w14:paraId="79576C89" w14:textId="77777777" w:rsidR="00C91F30" w:rsidRPr="00C91F30" w:rsidRDefault="00C91F30" w:rsidP="00C91F30">
      <w:pPr>
        <w:spacing w:line="360" w:lineRule="auto"/>
        <w:ind w:left="360"/>
        <w:rPr>
          <w:rFonts w:ascii="Calibri" w:hAnsi="Calibri" w:cs="Arial"/>
          <w:color w:val="404040"/>
          <w:szCs w:val="20"/>
        </w:rPr>
      </w:pPr>
    </w:p>
    <w:p w14:paraId="29EBB54A" w14:textId="77777777" w:rsidR="00C91F30" w:rsidRPr="00C91F30" w:rsidRDefault="00C91F30" w:rsidP="00C91F30">
      <w:pPr>
        <w:spacing w:line="360" w:lineRule="auto"/>
        <w:ind w:left="360"/>
        <w:rPr>
          <w:rFonts w:ascii="Calibri" w:hAnsi="Calibri" w:cs="Arial"/>
          <w:color w:val="404040"/>
          <w:szCs w:val="20"/>
        </w:rPr>
      </w:pPr>
      <w:r w:rsidRPr="00C91F30">
        <w:rPr>
          <w:rFonts w:ascii="Calibri" w:hAnsi="Calibri" w:cs="Arial"/>
          <w:color w:val="404040"/>
          <w:szCs w:val="20"/>
        </w:rPr>
        <w:t>Summary: Salt Lake City allocated funding in CDBG funds to construct sidewalk accessibility ramps in compliance with ADA requirements. CDBG allocations also included funding for deteriorated sidewalk reconstruction and for strategic park improvements in Poplar Grove. Projects were largely targeted toward Salt Lake City’s two racial/ethnic concentrated areas of poverty.</w:t>
      </w:r>
    </w:p>
    <w:p w14:paraId="5296928D" w14:textId="77777777" w:rsidR="00C91F30" w:rsidRPr="00C91F30" w:rsidRDefault="00C91F30" w:rsidP="00C91F30">
      <w:pPr>
        <w:spacing w:line="360" w:lineRule="auto"/>
        <w:ind w:left="360"/>
        <w:rPr>
          <w:rFonts w:ascii="Calibri" w:hAnsi="Calibri" w:cs="Arial"/>
          <w:color w:val="404040"/>
          <w:szCs w:val="20"/>
        </w:rPr>
      </w:pPr>
    </w:p>
    <w:p w14:paraId="75810DAD" w14:textId="77777777" w:rsidR="00C91F30" w:rsidRPr="00C91F30" w:rsidRDefault="00C91F30" w:rsidP="00C91F30">
      <w:pPr>
        <w:spacing w:line="360" w:lineRule="auto"/>
        <w:ind w:left="360"/>
        <w:rPr>
          <w:rFonts w:ascii="Calibri" w:hAnsi="Calibri" w:cs="Arial"/>
          <w:color w:val="404040"/>
          <w:szCs w:val="20"/>
        </w:rPr>
      </w:pPr>
      <w:r w:rsidRPr="00C91F30">
        <w:rPr>
          <w:rFonts w:ascii="Calibri" w:hAnsi="Calibri" w:cs="Arial"/>
          <w:color w:val="404040"/>
          <w:szCs w:val="20"/>
        </w:rPr>
        <w:t xml:space="preserve">The City has also continued to fund significant park improvements on the </w:t>
      </w:r>
      <w:r w:rsidRPr="00C91F30">
        <w:rPr>
          <w:rFonts w:ascii="Calibri" w:hAnsi="Calibri" w:cs="Calibri"/>
          <w:color w:val="404040"/>
          <w:szCs w:val="20"/>
        </w:rPr>
        <w:t xml:space="preserve">Three Creek Confluence project in the Glendale neighborhood, along with improved pedestrian accessibility and cyclist safety improvements. </w:t>
      </w:r>
    </w:p>
    <w:p w14:paraId="72F6999C" w14:textId="77777777" w:rsidR="00C91F30" w:rsidRPr="00C91F30" w:rsidRDefault="00C91F30" w:rsidP="00C91F30">
      <w:pPr>
        <w:spacing w:line="360" w:lineRule="auto"/>
        <w:rPr>
          <w:rFonts w:ascii="Calibri" w:hAnsi="Calibri" w:cs="Arial"/>
          <w:color w:val="404040"/>
          <w:szCs w:val="20"/>
        </w:rPr>
      </w:pPr>
    </w:p>
    <w:p w14:paraId="796FE7EF" w14:textId="77777777" w:rsidR="00C91F30" w:rsidRPr="00C91F30" w:rsidRDefault="00C91F30" w:rsidP="00C91F30">
      <w:pPr>
        <w:widowControl w:val="0"/>
        <w:autoSpaceDE w:val="0"/>
        <w:autoSpaceDN w:val="0"/>
        <w:adjustRightInd w:val="0"/>
        <w:spacing w:line="360" w:lineRule="auto"/>
        <w:rPr>
          <w:rFonts w:ascii="Calibri" w:hAnsi="Calibri" w:cs="Arial"/>
          <w:bCs/>
          <w:i/>
          <w:color w:val="404040"/>
          <w:szCs w:val="20"/>
          <w:u w:val="single"/>
        </w:rPr>
      </w:pPr>
      <w:r w:rsidRPr="00C91F30">
        <w:rPr>
          <w:rFonts w:ascii="Calibri" w:hAnsi="Calibri" w:cs="Arial"/>
          <w:bCs/>
          <w:i/>
          <w:color w:val="404040"/>
          <w:szCs w:val="20"/>
          <w:u w:val="single"/>
        </w:rPr>
        <w:t>Action: Fair Housing Citizen Outreach</w:t>
      </w:r>
    </w:p>
    <w:p w14:paraId="5521BC2D" w14:textId="77777777" w:rsidR="00C91F30" w:rsidRPr="00C91F30" w:rsidRDefault="00C91F30" w:rsidP="00C91F30">
      <w:pPr>
        <w:spacing w:line="360" w:lineRule="auto"/>
        <w:ind w:left="720"/>
        <w:rPr>
          <w:rFonts w:ascii="Calibri" w:hAnsi="Calibri" w:cs="Arial"/>
          <w:color w:val="404040"/>
          <w:szCs w:val="20"/>
        </w:rPr>
      </w:pPr>
      <w:r w:rsidRPr="00C91F30">
        <w:rPr>
          <w:rFonts w:ascii="Calibri" w:hAnsi="Calibri" w:cs="Arial"/>
          <w:color w:val="404040"/>
          <w:szCs w:val="20"/>
        </w:rPr>
        <w:t>Impediment Addressed:</w:t>
      </w:r>
    </w:p>
    <w:p w14:paraId="0A3CEA09" w14:textId="77777777" w:rsidR="00C91F30" w:rsidRPr="00C91F30" w:rsidRDefault="00C91F30" w:rsidP="00C91F30">
      <w:pPr>
        <w:numPr>
          <w:ilvl w:val="0"/>
          <w:numId w:val="9"/>
        </w:numPr>
        <w:spacing w:line="360" w:lineRule="auto"/>
        <w:ind w:left="1440"/>
        <w:contextualSpacing/>
        <w:rPr>
          <w:rFonts w:ascii="Calibri" w:hAnsi="Calibri" w:cs="Arial"/>
          <w:color w:val="404040"/>
          <w:szCs w:val="20"/>
        </w:rPr>
      </w:pPr>
      <w:r w:rsidRPr="00C91F30">
        <w:rPr>
          <w:rFonts w:ascii="Calibri" w:hAnsi="Calibri" w:cs="Arial"/>
          <w:color w:val="404040"/>
          <w:szCs w:val="20"/>
        </w:rPr>
        <w:t>Fair Housing Knowledge</w:t>
      </w:r>
    </w:p>
    <w:p w14:paraId="5DEB0D05" w14:textId="77777777" w:rsidR="00C91F30" w:rsidRPr="00C91F30" w:rsidRDefault="00C91F30" w:rsidP="00C91F30">
      <w:pPr>
        <w:widowControl w:val="0"/>
        <w:autoSpaceDE w:val="0"/>
        <w:autoSpaceDN w:val="0"/>
        <w:adjustRightInd w:val="0"/>
        <w:spacing w:line="360" w:lineRule="auto"/>
        <w:ind w:left="360"/>
        <w:rPr>
          <w:rFonts w:ascii="Calibri" w:hAnsi="Calibri" w:cs="Arial"/>
          <w:color w:val="404040"/>
          <w:szCs w:val="20"/>
        </w:rPr>
      </w:pPr>
      <w:r w:rsidRPr="00C91F30">
        <w:rPr>
          <w:rFonts w:ascii="Calibri" w:hAnsi="Calibri" w:cs="Arial"/>
          <w:color w:val="404040"/>
          <w:szCs w:val="20"/>
        </w:rPr>
        <w:t>Summary: HAND integrated fair housing education with all affordable housing materials, educational curriculum, and its programs and services increasing opportunities to affirmatively further fair housing. HAND continued to maintain a fair housing page on its website providing links to the Utah Antidiscrimination and Labor Division Fair Housing website and HUD’s Housing Discrimination and Complaints website. All calls received by HAND looking for information or wanting to file a discrimination complaint were referred to the Disability Law Center.</w:t>
      </w:r>
    </w:p>
    <w:p w14:paraId="1D5F6A09" w14:textId="77777777" w:rsidR="00C91F30" w:rsidRPr="00C91F30" w:rsidRDefault="00C91F30" w:rsidP="00C91F30">
      <w:pPr>
        <w:autoSpaceDE w:val="0"/>
        <w:autoSpaceDN w:val="0"/>
        <w:adjustRightInd w:val="0"/>
      </w:pPr>
    </w:p>
    <w:p w14:paraId="7073A05A" w14:textId="77777777" w:rsidR="00C91F30" w:rsidRPr="00C91F30" w:rsidRDefault="00C91F30" w:rsidP="00C91F30">
      <w:pPr>
        <w:spacing w:line="276" w:lineRule="auto"/>
        <w:ind w:right="360"/>
        <w:rPr>
          <w:rFonts w:ascii="Calibri" w:hAnsi="Calibri" w:cs="Calibri"/>
          <w:b/>
          <w:color w:val="FF0000"/>
          <w:szCs w:val="20"/>
        </w:rPr>
      </w:pPr>
    </w:p>
    <w:p w14:paraId="3B476EE1" w14:textId="77777777" w:rsidR="00A76C19" w:rsidRDefault="00A76C19" w:rsidP="00DA09CA">
      <w:pPr>
        <w:spacing w:line="276" w:lineRule="auto"/>
        <w:ind w:right="360"/>
        <w:rPr>
          <w:rFonts w:asciiTheme="minorHAnsi" w:hAnsiTheme="minorHAnsi" w:cstheme="minorHAnsi"/>
          <w:b/>
          <w:color w:val="FF0000"/>
          <w:szCs w:val="20"/>
        </w:rPr>
      </w:pPr>
    </w:p>
    <w:p w14:paraId="157D4E3B" w14:textId="77777777" w:rsidR="00F7751B" w:rsidRDefault="00F7751B" w:rsidP="00DA09CA">
      <w:pPr>
        <w:spacing w:line="276" w:lineRule="auto"/>
        <w:ind w:right="360"/>
        <w:rPr>
          <w:rFonts w:asciiTheme="minorHAnsi" w:hAnsiTheme="minorHAnsi" w:cstheme="minorHAnsi"/>
          <w:b/>
          <w:color w:val="FF0000"/>
          <w:szCs w:val="20"/>
        </w:rPr>
      </w:pPr>
      <w:r>
        <w:rPr>
          <w:rFonts w:asciiTheme="minorHAnsi" w:hAnsiTheme="minorHAnsi" w:cstheme="minorHAnsi"/>
          <w:b/>
          <w:color w:val="FF0000"/>
          <w:szCs w:val="20"/>
        </w:rPr>
        <w:br w:type="page"/>
      </w:r>
      <w:r w:rsidRPr="009629AD">
        <w:rPr>
          <w:rFonts w:asciiTheme="minorHAnsi" w:hAnsiTheme="minorHAnsi" w:cstheme="minorHAnsi"/>
          <w:noProof/>
          <w:color w:val="1F497D" w:themeColor="text2"/>
          <w:sz w:val="24"/>
        </w:rPr>
        <mc:AlternateContent>
          <mc:Choice Requires="wps">
            <w:drawing>
              <wp:anchor distT="0" distB="0" distL="114300" distR="114300" simplePos="0" relativeHeight="251745280" behindDoc="0" locked="0" layoutInCell="1" allowOverlap="1" wp14:anchorId="5FFB2C0B" wp14:editId="41D5886C">
                <wp:simplePos x="0" y="0"/>
                <wp:positionH relativeFrom="column">
                  <wp:posOffset>-190500</wp:posOffset>
                </wp:positionH>
                <wp:positionV relativeFrom="paragraph">
                  <wp:posOffset>-38100</wp:posOffset>
                </wp:positionV>
                <wp:extent cx="6779895" cy="635"/>
                <wp:effectExtent l="9525" t="9525" r="11430" b="8890"/>
                <wp:wrapNone/>
                <wp:docPr id="4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989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D84EC" id="AutoShape 15" o:spid="_x0000_s1026" type="#_x0000_t32" style="position:absolute;margin-left:-15pt;margin-top:-3pt;width:533.85pt;height:.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" strokecolor="#548dd4"/>
            </w:pict>
          </mc:Fallback>
        </mc:AlternateContent>
      </w:r>
      <w:r w:rsidRPr="009629AD">
        <w:rPr>
          <w:rFonts w:asciiTheme="minorHAnsi" w:hAnsiTheme="minorHAnsi" w:cstheme="minorHAnsi"/>
          <w:b/>
          <w:color w:val="1F497D" w:themeColor="text2"/>
          <w:sz w:val="24"/>
        </w:rPr>
        <w:t>CR-</w:t>
      </w:r>
      <w:r>
        <w:rPr>
          <w:rFonts w:asciiTheme="minorHAnsi" w:hAnsiTheme="minorHAnsi" w:cstheme="minorHAnsi"/>
          <w:b/>
          <w:color w:val="1F497D" w:themeColor="text2"/>
          <w:sz w:val="24"/>
        </w:rPr>
        <w:t xml:space="preserve">40 MONITORING </w:t>
      </w:r>
      <w:r>
        <w:rPr>
          <w:rFonts w:asciiTheme="minorHAnsi" w:hAnsiTheme="minorHAnsi" w:cstheme="minorHAnsi"/>
          <w:i/>
          <w:color w:val="1F497D" w:themeColor="text2"/>
          <w:sz w:val="18"/>
          <w:szCs w:val="18"/>
        </w:rPr>
        <w:t>– 91.220; 91.320</w:t>
      </w:r>
    </w:p>
    <w:p w14:paraId="032EEEDA" w14:textId="77777777" w:rsidR="00F7751B" w:rsidRDefault="00F7751B" w:rsidP="00DA09CA">
      <w:pPr>
        <w:spacing w:line="276" w:lineRule="auto"/>
        <w:ind w:right="360"/>
        <w:rPr>
          <w:rFonts w:asciiTheme="minorHAnsi" w:hAnsiTheme="minorHAnsi" w:cstheme="minorHAnsi"/>
          <w:b/>
          <w:color w:val="FF0000"/>
          <w:szCs w:val="20"/>
        </w:rPr>
      </w:pPr>
    </w:p>
    <w:p w14:paraId="0B2230F1" w14:textId="77777777" w:rsidR="00C91F30" w:rsidRPr="0095002E" w:rsidRDefault="00C91F30" w:rsidP="00C91F30">
      <w:pPr>
        <w:spacing w:line="276" w:lineRule="auto"/>
        <w:ind w:right="360"/>
        <w:rPr>
          <w:rFonts w:asciiTheme="minorHAnsi" w:hAnsiTheme="minorHAnsi" w:cstheme="minorHAnsi"/>
          <w:b/>
          <w:color w:val="404040" w:themeColor="text1" w:themeTint="BF"/>
          <w:szCs w:val="20"/>
        </w:rPr>
      </w:pPr>
      <w:r w:rsidRPr="0095002E">
        <w:rPr>
          <w:rFonts w:asciiTheme="minorHAnsi" w:hAnsiTheme="minorHAnsi" w:cstheme="minorHAnsi"/>
          <w:b/>
          <w:color w:val="404040" w:themeColor="text1" w:themeTint="BF"/>
          <w:szCs w:val="20"/>
        </w:rPr>
        <w:t>Describe the standards and procedures used to monitor activities carried out in furtherance of the plan and used to ensure long-term compliance with requirements of the programs involved, including minority business outreach and the comprehensive planning requirements.</w:t>
      </w:r>
    </w:p>
    <w:p w14:paraId="39BC338A" w14:textId="77777777" w:rsidR="00C91F30" w:rsidRPr="0095002E" w:rsidRDefault="00C91F30" w:rsidP="00C91F30">
      <w:pPr>
        <w:spacing w:line="276" w:lineRule="auto"/>
        <w:ind w:right="360"/>
        <w:rPr>
          <w:rFonts w:asciiTheme="minorHAnsi" w:hAnsiTheme="minorHAnsi" w:cstheme="minorHAnsi"/>
          <w:b/>
          <w:color w:val="404040" w:themeColor="text1" w:themeTint="BF"/>
          <w:szCs w:val="20"/>
        </w:rPr>
      </w:pPr>
    </w:p>
    <w:p w14:paraId="0412127F" w14:textId="77777777" w:rsidR="00C91F30" w:rsidRPr="0095002E" w:rsidRDefault="00C91F30" w:rsidP="00C91F30">
      <w:pPr>
        <w:spacing w:line="360" w:lineRule="auto"/>
        <w:rPr>
          <w:rFonts w:asciiTheme="minorHAnsi" w:hAnsiTheme="minorHAnsi" w:cstheme="minorHAnsi"/>
          <w:color w:val="404040" w:themeColor="text1" w:themeTint="BF"/>
          <w:szCs w:val="20"/>
        </w:rPr>
      </w:pPr>
      <w:r w:rsidRPr="0095002E">
        <w:rPr>
          <w:rFonts w:asciiTheme="minorHAnsi" w:hAnsiTheme="minorHAnsi" w:cstheme="minorHAnsi"/>
          <w:color w:val="404040" w:themeColor="text1" w:themeTint="BF"/>
          <w:szCs w:val="20"/>
        </w:rPr>
        <w:t xml:space="preserve">To ensure compliance from the start of a project or program, the Housing and Neighborhood Development (HAND) Division uses the application process to start the monitoring process of all agencies. Each application must go through an extensive review process that </w:t>
      </w:r>
      <w:r>
        <w:rPr>
          <w:rFonts w:asciiTheme="minorHAnsi" w:hAnsiTheme="minorHAnsi" w:cstheme="minorHAnsi"/>
          <w:color w:val="404040" w:themeColor="text1" w:themeTint="BF"/>
          <w:szCs w:val="20"/>
        </w:rPr>
        <w:t xml:space="preserve">includes a risk analysis of proposed activities and </w:t>
      </w:r>
      <w:r w:rsidRPr="0095002E">
        <w:rPr>
          <w:rFonts w:asciiTheme="minorHAnsi" w:hAnsiTheme="minorHAnsi" w:cstheme="minorHAnsi"/>
          <w:color w:val="404040" w:themeColor="text1" w:themeTint="BF"/>
          <w:szCs w:val="20"/>
        </w:rPr>
        <w:t>ensure</w:t>
      </w:r>
      <w:r>
        <w:rPr>
          <w:rFonts w:asciiTheme="minorHAnsi" w:hAnsiTheme="minorHAnsi" w:cstheme="minorHAnsi"/>
          <w:color w:val="404040" w:themeColor="text1" w:themeTint="BF"/>
          <w:szCs w:val="20"/>
        </w:rPr>
        <w:t>s</w:t>
      </w:r>
      <w:r w:rsidRPr="0095002E">
        <w:rPr>
          <w:rFonts w:asciiTheme="minorHAnsi" w:hAnsiTheme="minorHAnsi" w:cstheme="minorHAnsi"/>
          <w:color w:val="404040" w:themeColor="text1" w:themeTint="BF"/>
          <w:szCs w:val="20"/>
        </w:rPr>
        <w:t xml:space="preserve"> that each applicant meets a national objective and that the organizational goals are aligned with the goals identified in the City’s Consolidated Plan.</w:t>
      </w:r>
    </w:p>
    <w:p w14:paraId="445C520D" w14:textId="77777777" w:rsidR="00C91F30" w:rsidRPr="0095002E" w:rsidRDefault="00C91F30" w:rsidP="00C91F30">
      <w:pPr>
        <w:spacing w:line="360" w:lineRule="auto"/>
        <w:ind w:left="360"/>
        <w:rPr>
          <w:rFonts w:asciiTheme="minorHAnsi" w:hAnsiTheme="minorHAnsi" w:cstheme="minorHAnsi"/>
          <w:color w:val="404040" w:themeColor="text1" w:themeTint="BF"/>
          <w:szCs w:val="20"/>
        </w:rPr>
      </w:pPr>
    </w:p>
    <w:p w14:paraId="24C4943E" w14:textId="77777777" w:rsidR="00C91F30" w:rsidRPr="0095002E" w:rsidRDefault="00C91F30" w:rsidP="00C91F30">
      <w:pPr>
        <w:spacing w:line="360" w:lineRule="auto"/>
        <w:rPr>
          <w:rFonts w:asciiTheme="minorHAnsi" w:hAnsiTheme="minorHAnsi" w:cstheme="minorHAnsi"/>
          <w:color w:val="404040" w:themeColor="text1" w:themeTint="BF"/>
          <w:szCs w:val="20"/>
        </w:rPr>
      </w:pPr>
      <w:r w:rsidRPr="0095002E">
        <w:rPr>
          <w:rFonts w:asciiTheme="minorHAnsi" w:hAnsiTheme="minorHAnsi" w:cstheme="minorHAnsi"/>
          <w:color w:val="404040" w:themeColor="text1" w:themeTint="BF"/>
          <w:szCs w:val="20"/>
        </w:rPr>
        <w:t xml:space="preserve">Once the applications pass the initial review, each application is taken through an extensive public process, with the final funding decisions being made by our City Council. At that time, contracts are drawn up that identify governing regulations, scope of work, budgets and any other Federal requirements and local requirements of the grant. Once fully executed </w:t>
      </w:r>
      <w:r>
        <w:rPr>
          <w:rFonts w:asciiTheme="minorHAnsi" w:hAnsiTheme="minorHAnsi" w:cstheme="minorHAnsi"/>
          <w:color w:val="404040" w:themeColor="text1" w:themeTint="BF"/>
          <w:szCs w:val="20"/>
        </w:rPr>
        <w:t>contracts are in place, HAND’s Capital Planning staff are</w:t>
      </w:r>
      <w:r w:rsidRPr="0095002E">
        <w:rPr>
          <w:rFonts w:asciiTheme="minorHAnsi" w:hAnsiTheme="minorHAnsi" w:cstheme="minorHAnsi"/>
          <w:color w:val="404040" w:themeColor="text1" w:themeTint="BF"/>
          <w:szCs w:val="20"/>
        </w:rPr>
        <w:t xml:space="preserve"> responsible for monitoring the agencies through the life of the contract. The agencies are monitored for compliance with the program regulations as well as the content found in the City contracts.</w:t>
      </w:r>
    </w:p>
    <w:p w14:paraId="2477C7FF" w14:textId="77777777" w:rsidR="00C91F30" w:rsidRPr="0095002E" w:rsidRDefault="00C91F30" w:rsidP="00C91F30">
      <w:pPr>
        <w:spacing w:line="360" w:lineRule="auto"/>
        <w:ind w:left="360"/>
        <w:rPr>
          <w:rFonts w:asciiTheme="minorHAnsi" w:hAnsiTheme="minorHAnsi" w:cstheme="minorHAnsi"/>
          <w:color w:val="404040" w:themeColor="text1" w:themeTint="BF"/>
          <w:szCs w:val="20"/>
        </w:rPr>
      </w:pPr>
    </w:p>
    <w:p w14:paraId="22404154" w14:textId="77777777" w:rsidR="00C91F30" w:rsidRPr="0095002E" w:rsidRDefault="00C91F30" w:rsidP="00C91F30">
      <w:pPr>
        <w:spacing w:line="360" w:lineRule="auto"/>
        <w:rPr>
          <w:rFonts w:asciiTheme="minorHAnsi" w:hAnsiTheme="minorHAnsi" w:cstheme="minorHAnsi"/>
          <w:color w:val="404040" w:themeColor="text1" w:themeTint="BF"/>
          <w:szCs w:val="20"/>
        </w:rPr>
      </w:pPr>
      <w:r w:rsidRPr="0095002E">
        <w:rPr>
          <w:rFonts w:asciiTheme="minorHAnsi" w:hAnsiTheme="minorHAnsi" w:cstheme="minorHAnsi"/>
          <w:color w:val="404040" w:themeColor="text1" w:themeTint="BF"/>
          <w:szCs w:val="20"/>
        </w:rPr>
        <w:t>To ensure Sub-grantees are aware of program requirements, each agency that was awarded funds received an invitation to attend a</w:t>
      </w:r>
      <w:r>
        <w:rPr>
          <w:rFonts w:asciiTheme="minorHAnsi" w:hAnsiTheme="minorHAnsi" w:cstheme="minorHAnsi"/>
          <w:color w:val="404040" w:themeColor="text1" w:themeTint="BF"/>
          <w:szCs w:val="20"/>
        </w:rPr>
        <w:t xml:space="preserve"> mandatory</w:t>
      </w:r>
      <w:r w:rsidRPr="0095002E">
        <w:rPr>
          <w:rFonts w:asciiTheme="minorHAnsi" w:hAnsiTheme="minorHAnsi" w:cstheme="minorHAnsi"/>
          <w:color w:val="404040" w:themeColor="text1" w:themeTint="BF"/>
          <w:szCs w:val="20"/>
        </w:rPr>
        <w:t xml:space="preserve"> grant training seminar. This seminar allows HAND staff to reiterate Federal regulations, provide guidance on changes for the upcoming grant year, identify Federal funding concerns, and review expectations of the agencies. The City </w:t>
      </w:r>
      <w:r>
        <w:rPr>
          <w:rFonts w:asciiTheme="minorHAnsi" w:hAnsiTheme="minorHAnsi" w:cstheme="minorHAnsi"/>
          <w:color w:val="404040" w:themeColor="text1" w:themeTint="BF"/>
          <w:szCs w:val="20"/>
        </w:rPr>
        <w:t>requires</w:t>
      </w:r>
      <w:r w:rsidRPr="0095002E">
        <w:rPr>
          <w:rFonts w:asciiTheme="minorHAnsi" w:hAnsiTheme="minorHAnsi" w:cstheme="minorHAnsi"/>
          <w:color w:val="404040" w:themeColor="text1" w:themeTint="BF"/>
          <w:szCs w:val="20"/>
        </w:rPr>
        <w:t xml:space="preserve"> at least one attendee from each agency come to the training. Each person attending the training seminar receives a handbook that contains important information including contacts, website links, timelines, and a list of documents that are required to be submitted to the City annually. Agencies that were unable to attend do have the ability to receive training documents if they contact the City.</w:t>
      </w:r>
    </w:p>
    <w:p w14:paraId="1616F621" w14:textId="77777777" w:rsidR="00C91F30" w:rsidRPr="0095002E" w:rsidRDefault="00C91F30" w:rsidP="00C91F30">
      <w:pPr>
        <w:spacing w:line="360" w:lineRule="auto"/>
        <w:ind w:left="360"/>
        <w:rPr>
          <w:rFonts w:asciiTheme="minorHAnsi" w:hAnsiTheme="minorHAnsi" w:cstheme="minorHAnsi"/>
          <w:color w:val="404040" w:themeColor="text1" w:themeTint="BF"/>
          <w:szCs w:val="20"/>
        </w:rPr>
      </w:pPr>
    </w:p>
    <w:p w14:paraId="09ED15D3" w14:textId="77777777" w:rsidR="00C91F30" w:rsidRPr="0095002E" w:rsidRDefault="00C91F30" w:rsidP="00C91F30">
      <w:pPr>
        <w:spacing w:line="360" w:lineRule="auto"/>
        <w:rPr>
          <w:rFonts w:asciiTheme="minorHAnsi" w:hAnsiTheme="minorHAnsi" w:cstheme="minorHAnsi"/>
          <w:color w:val="404040" w:themeColor="text1" w:themeTint="BF"/>
          <w:szCs w:val="20"/>
        </w:rPr>
      </w:pPr>
      <w:r w:rsidRPr="0095002E">
        <w:rPr>
          <w:rFonts w:asciiTheme="minorHAnsi" w:hAnsiTheme="minorHAnsi" w:cstheme="minorHAnsi"/>
          <w:color w:val="404040" w:themeColor="text1" w:themeTint="BF"/>
          <w:szCs w:val="20"/>
        </w:rPr>
        <w:t>The City operates all CDBG, ESG, HOME and HOPWA grants on a reimbursement basis. This ensures that desk reviews, an important part of monitoring, can be completed before Federal funds are utilized for any program or project. A desk review was completed for every reimb</w:t>
      </w:r>
      <w:r>
        <w:rPr>
          <w:rFonts w:asciiTheme="minorHAnsi" w:hAnsiTheme="minorHAnsi" w:cstheme="minorHAnsi"/>
          <w:color w:val="404040" w:themeColor="text1" w:themeTint="BF"/>
          <w:szCs w:val="20"/>
        </w:rPr>
        <w:t>ursement request. This allowed HAND staff</w:t>
      </w:r>
      <w:r w:rsidRPr="0095002E">
        <w:rPr>
          <w:rFonts w:asciiTheme="minorHAnsi" w:hAnsiTheme="minorHAnsi" w:cstheme="minorHAnsi"/>
          <w:color w:val="404040" w:themeColor="text1" w:themeTint="BF"/>
          <w:szCs w:val="20"/>
        </w:rPr>
        <w:t xml:space="preserve"> to ensure that all requirements of the contract and federal regulations were actively being met prior to disbursing any funds or drawing funds from HUD’s Integrated Disbursement and Information System (IDIS).  The IDIS system also helps assist with program/project eligibility requirements, track spending rates and report performance measurements.</w:t>
      </w:r>
    </w:p>
    <w:p w14:paraId="676AFE37" w14:textId="77777777" w:rsidR="00C91F30" w:rsidRPr="0095002E" w:rsidRDefault="00C91F30" w:rsidP="00C91F30">
      <w:pPr>
        <w:spacing w:line="360" w:lineRule="auto"/>
        <w:ind w:left="360"/>
        <w:rPr>
          <w:rFonts w:asciiTheme="minorHAnsi" w:hAnsiTheme="minorHAnsi" w:cstheme="minorHAnsi"/>
          <w:color w:val="404040" w:themeColor="text1" w:themeTint="BF"/>
          <w:szCs w:val="20"/>
        </w:rPr>
      </w:pPr>
      <w:r w:rsidRPr="0095002E">
        <w:rPr>
          <w:rFonts w:asciiTheme="minorHAnsi" w:hAnsiTheme="minorHAnsi" w:cstheme="minorHAnsi"/>
          <w:color w:val="404040" w:themeColor="text1" w:themeTint="BF"/>
          <w:szCs w:val="20"/>
        </w:rPr>
        <w:t xml:space="preserve"> </w:t>
      </w:r>
    </w:p>
    <w:p w14:paraId="0EA77786" w14:textId="4DCE91E8" w:rsidR="00C91F30" w:rsidRPr="0095002E" w:rsidRDefault="00C91F30" w:rsidP="00C91F30">
      <w:pPr>
        <w:spacing w:line="360" w:lineRule="auto"/>
        <w:rPr>
          <w:rFonts w:asciiTheme="minorHAnsi" w:hAnsiTheme="minorHAnsi" w:cstheme="minorHAnsi"/>
          <w:color w:val="404040" w:themeColor="text1" w:themeTint="BF"/>
          <w:szCs w:val="20"/>
        </w:rPr>
      </w:pPr>
      <w:r w:rsidRPr="0095002E">
        <w:rPr>
          <w:rFonts w:asciiTheme="minorHAnsi" w:hAnsiTheme="minorHAnsi" w:cstheme="minorHAnsi"/>
          <w:color w:val="404040" w:themeColor="text1" w:themeTint="BF"/>
          <w:szCs w:val="20"/>
        </w:rPr>
        <w:t>During the program year, the HAND staff works together to ensure Federal regulations are followed. This ensures consistent communication between staff and agencies and reduces confusion. Additionally, agencies receiving Tenant Based Rental Assistance funding are highly encouraged to place clients in multi-family units that meet the City Housing Code standards. It is the City’s requirement that all residential rental units must have a current City business license. These units are regularly inspected as per City Ordinance. However, it is also our understanding that some clients may not be housed in multi-family units for one reason or another. In an effort to ensure safe, decent housing, a pro</w:t>
      </w:r>
      <w:r>
        <w:rPr>
          <w:rFonts w:asciiTheme="minorHAnsi" w:hAnsiTheme="minorHAnsi" w:cstheme="minorHAnsi"/>
          <w:color w:val="404040" w:themeColor="text1" w:themeTint="BF"/>
          <w:szCs w:val="20"/>
        </w:rPr>
        <w:t>cess exists a Landlord may self-</w:t>
      </w:r>
      <w:r w:rsidRPr="0095002E">
        <w:rPr>
          <w:rFonts w:asciiTheme="minorHAnsi" w:hAnsiTheme="minorHAnsi" w:cstheme="minorHAnsi"/>
          <w:color w:val="404040" w:themeColor="text1" w:themeTint="BF"/>
          <w:szCs w:val="20"/>
        </w:rPr>
        <w:t>certify that the</w:t>
      </w:r>
      <w:r>
        <w:rPr>
          <w:rFonts w:asciiTheme="minorHAnsi" w:hAnsiTheme="minorHAnsi" w:cstheme="minorHAnsi"/>
          <w:color w:val="404040" w:themeColor="text1" w:themeTint="BF"/>
          <w:szCs w:val="20"/>
        </w:rPr>
        <w:t xml:space="preserve"> unit meets City Housing Code.</w:t>
      </w:r>
      <w:r w:rsidRPr="0095002E">
        <w:rPr>
          <w:rFonts w:asciiTheme="minorHAnsi" w:hAnsiTheme="minorHAnsi" w:cstheme="minorHAnsi"/>
          <w:color w:val="404040" w:themeColor="text1" w:themeTint="BF"/>
          <w:szCs w:val="20"/>
        </w:rPr>
        <w:t xml:space="preserve"> Outside of the City’s incorporated boundaries, agencies must follow </w:t>
      </w:r>
      <w:r w:rsidR="002105DB">
        <w:rPr>
          <w:rFonts w:asciiTheme="minorHAnsi" w:hAnsiTheme="minorHAnsi" w:cstheme="minorHAnsi"/>
          <w:color w:val="404040" w:themeColor="text1" w:themeTint="BF"/>
          <w:szCs w:val="20"/>
        </w:rPr>
        <w:t>local housing ordinances. In these</w:t>
      </w:r>
      <w:r w:rsidRPr="0095002E">
        <w:rPr>
          <w:rFonts w:asciiTheme="minorHAnsi" w:hAnsiTheme="minorHAnsi" w:cstheme="minorHAnsi"/>
          <w:color w:val="404040" w:themeColor="text1" w:themeTint="BF"/>
          <w:szCs w:val="20"/>
        </w:rPr>
        <w:t xml:space="preserve"> instance</w:t>
      </w:r>
      <w:r w:rsidR="002105DB">
        <w:rPr>
          <w:rFonts w:asciiTheme="minorHAnsi" w:hAnsiTheme="minorHAnsi" w:cstheme="minorHAnsi"/>
          <w:color w:val="404040" w:themeColor="text1" w:themeTint="BF"/>
          <w:szCs w:val="20"/>
        </w:rPr>
        <w:t>s</w:t>
      </w:r>
      <w:r w:rsidRPr="0095002E">
        <w:rPr>
          <w:rFonts w:asciiTheme="minorHAnsi" w:hAnsiTheme="minorHAnsi" w:cstheme="minorHAnsi"/>
          <w:color w:val="404040" w:themeColor="text1" w:themeTint="BF"/>
          <w:szCs w:val="20"/>
        </w:rPr>
        <w:t>, a Housing Quality Standard Inspection form must be in the client’s</w:t>
      </w:r>
      <w:r w:rsidR="002105DB">
        <w:rPr>
          <w:rFonts w:asciiTheme="minorHAnsi" w:hAnsiTheme="minorHAnsi" w:cstheme="minorHAnsi"/>
          <w:color w:val="404040" w:themeColor="text1" w:themeTint="BF"/>
          <w:szCs w:val="20"/>
        </w:rPr>
        <w:t xml:space="preserve"> file</w:t>
      </w:r>
      <w:r w:rsidRPr="0095002E">
        <w:rPr>
          <w:rFonts w:asciiTheme="minorHAnsi" w:hAnsiTheme="minorHAnsi" w:cstheme="minorHAnsi"/>
          <w:color w:val="404040" w:themeColor="text1" w:themeTint="BF"/>
          <w:szCs w:val="20"/>
        </w:rPr>
        <w:t xml:space="preserve">. All inspections and housing standards must be met prior to the clients moving into their units. </w:t>
      </w:r>
    </w:p>
    <w:p w14:paraId="49A1069A" w14:textId="77777777" w:rsidR="00C91F30" w:rsidRPr="0095002E" w:rsidRDefault="00C91F30" w:rsidP="00C91F30">
      <w:pPr>
        <w:spacing w:line="360" w:lineRule="auto"/>
        <w:ind w:left="360"/>
        <w:rPr>
          <w:rFonts w:asciiTheme="minorHAnsi" w:hAnsiTheme="minorHAnsi" w:cstheme="minorHAnsi"/>
          <w:color w:val="404040" w:themeColor="text1" w:themeTint="BF"/>
          <w:szCs w:val="20"/>
        </w:rPr>
      </w:pPr>
    </w:p>
    <w:p w14:paraId="41872141" w14:textId="77777777" w:rsidR="00C91F30" w:rsidRPr="0095002E" w:rsidRDefault="00C91F30" w:rsidP="00C91F30">
      <w:pPr>
        <w:spacing w:line="360" w:lineRule="auto"/>
        <w:rPr>
          <w:rFonts w:asciiTheme="minorHAnsi" w:hAnsiTheme="minorHAnsi" w:cstheme="minorHAnsi"/>
          <w:color w:val="404040" w:themeColor="text1" w:themeTint="BF"/>
          <w:szCs w:val="20"/>
        </w:rPr>
      </w:pPr>
      <w:r w:rsidRPr="0095002E">
        <w:rPr>
          <w:rFonts w:asciiTheme="minorHAnsi" w:hAnsiTheme="minorHAnsi" w:cstheme="minorHAnsi"/>
          <w:color w:val="404040" w:themeColor="text1" w:themeTint="BF"/>
          <w:szCs w:val="20"/>
        </w:rPr>
        <w:t>Through the use of a Risk Analysis, coupled with reporting mechanisms</w:t>
      </w:r>
      <w:r>
        <w:rPr>
          <w:rFonts w:asciiTheme="minorHAnsi" w:hAnsiTheme="minorHAnsi" w:cstheme="minorHAnsi"/>
          <w:color w:val="404040" w:themeColor="text1" w:themeTint="BF"/>
          <w:szCs w:val="20"/>
        </w:rPr>
        <w:t>, the Division Director and HAND staff</w:t>
      </w:r>
      <w:r w:rsidRPr="0095002E">
        <w:rPr>
          <w:rFonts w:asciiTheme="minorHAnsi" w:hAnsiTheme="minorHAnsi" w:cstheme="minorHAnsi"/>
          <w:color w:val="404040" w:themeColor="text1" w:themeTint="BF"/>
          <w:szCs w:val="20"/>
        </w:rPr>
        <w:t xml:space="preserve"> are able to determine which agencies would benefit from a technical training session, and which agencies need to have an on-site monitoring visit. The agencies that score highest typically have a monitoring visit during the following program year. As per Federal regulations, select agencies from each program (CDBG, ESG, HOME &amp; HOPWA) are monitored on an annual basis. </w:t>
      </w:r>
    </w:p>
    <w:p w14:paraId="7813963F" w14:textId="77777777" w:rsidR="00C91F30" w:rsidRPr="0095002E" w:rsidRDefault="00C91F30" w:rsidP="00C91F30">
      <w:pPr>
        <w:spacing w:line="360" w:lineRule="auto"/>
        <w:rPr>
          <w:rFonts w:asciiTheme="minorHAnsi" w:hAnsiTheme="minorHAnsi" w:cstheme="minorHAnsi"/>
          <w:color w:val="404040" w:themeColor="text1" w:themeTint="BF"/>
          <w:szCs w:val="20"/>
        </w:rPr>
      </w:pPr>
    </w:p>
    <w:p w14:paraId="2277F4B6" w14:textId="77777777" w:rsidR="00C91F30" w:rsidRPr="0095002E" w:rsidRDefault="00C91F30" w:rsidP="00C91F30">
      <w:pPr>
        <w:spacing w:line="360" w:lineRule="auto"/>
        <w:rPr>
          <w:rFonts w:asciiTheme="minorHAnsi" w:hAnsiTheme="minorHAnsi" w:cstheme="minorHAnsi"/>
          <w:color w:val="404040" w:themeColor="text1" w:themeTint="BF"/>
          <w:szCs w:val="20"/>
        </w:rPr>
      </w:pPr>
      <w:r w:rsidRPr="0095002E">
        <w:rPr>
          <w:rFonts w:asciiTheme="minorHAnsi" w:hAnsiTheme="minorHAnsi" w:cstheme="minorHAnsi"/>
          <w:color w:val="404040" w:themeColor="text1" w:themeTint="BF"/>
          <w:szCs w:val="20"/>
        </w:rPr>
        <w:t xml:space="preserve">Because it is a HAND policy that each reimbursement request receives a desk review prior to funds being disbursed, it is a straightforward process to monitor compliance throughout the term of the contract. In addition to desk reviews, tailored guidance is given throughout the year via telephone and email conversations. Many of the agencies receiving funding were for programs that have received grant funds over a long period of time, and had no substantial changes to their programs. As such, the City focused its efforts on new agencies needing technical assistance, and working with veteran agencies on their performance measurements to ensure better data quality for outcomes. </w:t>
      </w:r>
    </w:p>
    <w:p w14:paraId="6EF3AD7A" w14:textId="77777777" w:rsidR="00C91F30" w:rsidRDefault="00C91F30" w:rsidP="00C91F30">
      <w:pPr>
        <w:spacing w:line="360" w:lineRule="auto"/>
        <w:rPr>
          <w:rFonts w:asciiTheme="minorHAnsi" w:hAnsiTheme="minorHAnsi" w:cstheme="minorHAnsi"/>
          <w:color w:val="404040" w:themeColor="text1" w:themeTint="BF"/>
          <w:szCs w:val="20"/>
        </w:rPr>
      </w:pPr>
    </w:p>
    <w:p w14:paraId="1553067A" w14:textId="77777777" w:rsidR="00C91F30" w:rsidRDefault="00C91F30" w:rsidP="00C91F30">
      <w:pPr>
        <w:spacing w:line="360" w:lineRule="auto"/>
        <w:rPr>
          <w:rFonts w:asciiTheme="minorHAnsi" w:hAnsiTheme="minorHAnsi" w:cstheme="minorHAnsi"/>
          <w:color w:val="404040" w:themeColor="text1" w:themeTint="BF"/>
          <w:szCs w:val="20"/>
        </w:rPr>
      </w:pPr>
      <w:r w:rsidRPr="001A0C33">
        <w:rPr>
          <w:rFonts w:asciiTheme="minorHAnsi" w:hAnsiTheme="minorHAnsi" w:cstheme="minorHAnsi"/>
          <w:color w:val="404040" w:themeColor="text1" w:themeTint="BF"/>
          <w:szCs w:val="20"/>
        </w:rPr>
        <w:t xml:space="preserve">The on-site technical assistance and monitoring visits for CDBG, ESG, HOME, and HOPWA all went well. The technical assistance visits were critical so that new agencies understand the full requirements of the grant programs; this was especially helpful for construction projects funded through the CDBG program. </w:t>
      </w:r>
      <w:r>
        <w:rPr>
          <w:rFonts w:asciiTheme="minorHAnsi" w:hAnsiTheme="minorHAnsi" w:cstheme="minorHAnsi"/>
          <w:color w:val="404040" w:themeColor="text1" w:themeTint="BF"/>
          <w:szCs w:val="20"/>
        </w:rPr>
        <w:t xml:space="preserve">HAND found several concerns during our 17-18 monitoring visits. All agencies that received a concern were required to provide documentation of follow-up action taken to address the noted deficiencies. All required agencies provided documentation which was reviewed and approved by HAND staff. </w:t>
      </w:r>
    </w:p>
    <w:p w14:paraId="2D2C3231" w14:textId="77777777" w:rsidR="00C91F30" w:rsidRPr="001A0C33" w:rsidRDefault="00C91F30" w:rsidP="00C91F30">
      <w:pPr>
        <w:spacing w:line="360" w:lineRule="auto"/>
        <w:rPr>
          <w:rFonts w:asciiTheme="minorHAnsi" w:hAnsiTheme="minorHAnsi" w:cstheme="minorHAnsi"/>
          <w:color w:val="404040" w:themeColor="text1" w:themeTint="BF"/>
          <w:szCs w:val="20"/>
        </w:rPr>
      </w:pPr>
    </w:p>
    <w:p w14:paraId="138E3A4D" w14:textId="7FC9E14F" w:rsidR="00C91F30" w:rsidRPr="0095002E" w:rsidRDefault="00FE0F88" w:rsidP="00C91F30">
      <w:pPr>
        <w:spacing w:line="360" w:lineRule="auto"/>
        <w:rPr>
          <w:rFonts w:asciiTheme="minorHAnsi" w:hAnsiTheme="minorHAnsi" w:cstheme="minorHAnsi"/>
          <w:color w:val="404040" w:themeColor="text1" w:themeTint="BF"/>
          <w:szCs w:val="20"/>
        </w:rPr>
      </w:pPr>
      <w:r>
        <w:rPr>
          <w:rFonts w:asciiTheme="minorHAnsi" w:hAnsiTheme="minorHAnsi" w:cstheme="minorHAnsi"/>
          <w:color w:val="404040" w:themeColor="text1" w:themeTint="BF"/>
          <w:szCs w:val="20"/>
        </w:rPr>
        <w:t xml:space="preserve">For each applicable construction project, </w:t>
      </w:r>
      <w:r w:rsidR="00C91F30" w:rsidRPr="001A0C33">
        <w:rPr>
          <w:rFonts w:asciiTheme="minorHAnsi" w:hAnsiTheme="minorHAnsi" w:cstheme="minorHAnsi"/>
          <w:color w:val="404040" w:themeColor="text1" w:themeTint="BF"/>
          <w:szCs w:val="20"/>
        </w:rPr>
        <w:t>additional technical assistance from HAND’s Section 3/Labor Compliance staff person</w:t>
      </w:r>
      <w:r>
        <w:rPr>
          <w:rFonts w:asciiTheme="minorHAnsi" w:hAnsiTheme="minorHAnsi" w:cstheme="minorHAnsi"/>
          <w:color w:val="404040" w:themeColor="text1" w:themeTint="BF"/>
          <w:szCs w:val="20"/>
        </w:rPr>
        <w:t xml:space="preserve"> is provided to ensure compliance.</w:t>
      </w:r>
    </w:p>
    <w:p w14:paraId="525F4DCD" w14:textId="77777777" w:rsidR="00C91F30" w:rsidRPr="0095002E" w:rsidRDefault="00C91F30" w:rsidP="00C91F30">
      <w:pPr>
        <w:spacing w:line="360" w:lineRule="auto"/>
        <w:rPr>
          <w:rFonts w:asciiTheme="minorHAnsi" w:hAnsiTheme="minorHAnsi" w:cstheme="minorHAnsi"/>
          <w:color w:val="404040" w:themeColor="text1" w:themeTint="BF"/>
          <w:szCs w:val="20"/>
        </w:rPr>
      </w:pPr>
    </w:p>
    <w:p w14:paraId="1728EE9F" w14:textId="7ED59D1D" w:rsidR="00C91F30" w:rsidRPr="00FE0F88" w:rsidRDefault="00C91F30" w:rsidP="00FE0F88">
      <w:pPr>
        <w:spacing w:line="360" w:lineRule="auto"/>
        <w:rPr>
          <w:rFonts w:asciiTheme="minorHAnsi" w:hAnsiTheme="minorHAnsi" w:cstheme="minorHAnsi"/>
          <w:color w:val="404040" w:themeColor="text1" w:themeTint="BF"/>
          <w:szCs w:val="20"/>
        </w:rPr>
      </w:pPr>
      <w:r w:rsidRPr="0095002E">
        <w:rPr>
          <w:rFonts w:asciiTheme="minorHAnsi" w:hAnsiTheme="minorHAnsi" w:cstheme="minorHAnsi"/>
          <w:color w:val="404040" w:themeColor="text1" w:themeTint="BF"/>
          <w:szCs w:val="20"/>
        </w:rPr>
        <w:t>Technical assistance and monitoring visits revealed that in general, our agencies have well documented processes and are quick to contact the City when questions arise. Minor deficiencies were identified and agencies have worked quickly to adjust processes as necessary and move forward with stronger programs. These monitoring efforts wer</w:t>
      </w:r>
      <w:r>
        <w:rPr>
          <w:rFonts w:asciiTheme="minorHAnsi" w:hAnsiTheme="minorHAnsi" w:cstheme="minorHAnsi"/>
          <w:color w:val="404040" w:themeColor="text1" w:themeTint="BF"/>
          <w:szCs w:val="20"/>
        </w:rPr>
        <w:t>e done in such a manner that HAND staff</w:t>
      </w:r>
      <w:r w:rsidRPr="0095002E">
        <w:rPr>
          <w:rFonts w:asciiTheme="minorHAnsi" w:hAnsiTheme="minorHAnsi" w:cstheme="minorHAnsi"/>
          <w:color w:val="404040" w:themeColor="text1" w:themeTint="BF"/>
          <w:szCs w:val="20"/>
        </w:rPr>
        <w:t xml:space="preserve"> went on site to meet staff, review processes and make recommendations. This is done to assist the agency with meeting the Federal requirements. Any findings or concerns are included in the next risk assessment and are addressed at the next scheduled on-site monitoring review.</w:t>
      </w:r>
    </w:p>
    <w:p w14:paraId="1856F659" w14:textId="77777777" w:rsidR="00C91F30" w:rsidRPr="0095002E" w:rsidRDefault="00C91F30" w:rsidP="00C91F30">
      <w:pPr>
        <w:spacing w:line="276" w:lineRule="auto"/>
        <w:ind w:right="360"/>
        <w:rPr>
          <w:rFonts w:asciiTheme="minorHAnsi" w:hAnsiTheme="minorHAnsi" w:cstheme="minorHAnsi"/>
          <w:b/>
          <w:color w:val="404040" w:themeColor="text1" w:themeTint="BF"/>
          <w:szCs w:val="20"/>
        </w:rPr>
      </w:pPr>
      <w:r w:rsidRPr="0095002E">
        <w:rPr>
          <w:rFonts w:asciiTheme="minorHAnsi" w:hAnsiTheme="minorHAnsi" w:cstheme="minorHAnsi"/>
          <w:b/>
          <w:color w:val="404040" w:themeColor="text1" w:themeTint="BF"/>
          <w:szCs w:val="20"/>
        </w:rPr>
        <w:t>CITIZEN PARTICIPATION PLAN – 91.105(d); 91.115(d)</w:t>
      </w:r>
    </w:p>
    <w:p w14:paraId="5B356ABB" w14:textId="77777777" w:rsidR="00C91F30" w:rsidRPr="0095002E" w:rsidRDefault="00C91F30" w:rsidP="00C91F30">
      <w:pPr>
        <w:spacing w:line="276" w:lineRule="auto"/>
        <w:ind w:right="360"/>
        <w:rPr>
          <w:rFonts w:asciiTheme="minorHAnsi" w:hAnsiTheme="minorHAnsi" w:cstheme="minorHAnsi"/>
          <w:b/>
          <w:color w:val="404040" w:themeColor="text1" w:themeTint="BF"/>
          <w:szCs w:val="20"/>
        </w:rPr>
      </w:pPr>
      <w:r w:rsidRPr="0095002E">
        <w:rPr>
          <w:rFonts w:asciiTheme="minorHAnsi" w:hAnsiTheme="minorHAnsi" w:cstheme="minorHAnsi"/>
          <w:b/>
          <w:color w:val="404040" w:themeColor="text1" w:themeTint="BF"/>
          <w:szCs w:val="20"/>
        </w:rPr>
        <w:t>Describe the efforts to provide citizens with reasonable notice and an opportunity to comment on performance reports.</w:t>
      </w:r>
    </w:p>
    <w:p w14:paraId="2B4C5CD4" w14:textId="77777777" w:rsidR="00C91F30" w:rsidRPr="0095002E" w:rsidRDefault="00C91F30" w:rsidP="00C91F30">
      <w:pPr>
        <w:spacing w:line="276" w:lineRule="auto"/>
        <w:ind w:right="360"/>
        <w:rPr>
          <w:rFonts w:asciiTheme="minorHAnsi" w:hAnsiTheme="minorHAnsi" w:cstheme="minorHAnsi"/>
          <w:b/>
          <w:color w:val="404040" w:themeColor="text1" w:themeTint="BF"/>
          <w:szCs w:val="20"/>
        </w:rPr>
      </w:pPr>
    </w:p>
    <w:p w14:paraId="2B920323" w14:textId="77777777" w:rsidR="00C91F30" w:rsidRPr="0095002E" w:rsidRDefault="00C91F30" w:rsidP="00C91F30">
      <w:pPr>
        <w:spacing w:line="360" w:lineRule="auto"/>
        <w:rPr>
          <w:rFonts w:asciiTheme="minorHAnsi" w:hAnsiTheme="minorHAnsi" w:cstheme="minorHAnsi"/>
          <w:color w:val="404040" w:themeColor="text1" w:themeTint="BF"/>
          <w:szCs w:val="20"/>
        </w:rPr>
      </w:pPr>
      <w:r w:rsidRPr="0095002E">
        <w:rPr>
          <w:rFonts w:asciiTheme="minorHAnsi" w:hAnsiTheme="minorHAnsi" w:cstheme="minorHAnsi"/>
          <w:color w:val="404040" w:themeColor="text1" w:themeTint="BF"/>
          <w:szCs w:val="20"/>
        </w:rPr>
        <w:t xml:space="preserve">The City encourages citizens to become active in their communities, providing feedback to the City about how their neighborhoods could be improved, how funding should be prioritized, and address safety concerns.  </w:t>
      </w:r>
    </w:p>
    <w:p w14:paraId="1B8F328E" w14:textId="77777777" w:rsidR="00C91F30" w:rsidRPr="0095002E" w:rsidRDefault="00C91F30" w:rsidP="00C91F30">
      <w:pPr>
        <w:spacing w:line="360" w:lineRule="auto"/>
        <w:rPr>
          <w:rFonts w:asciiTheme="minorHAnsi" w:hAnsiTheme="minorHAnsi" w:cstheme="minorHAnsi"/>
          <w:color w:val="404040" w:themeColor="text1" w:themeTint="BF"/>
          <w:szCs w:val="20"/>
        </w:rPr>
      </w:pPr>
    </w:p>
    <w:p w14:paraId="5F932715" w14:textId="77777777" w:rsidR="00C91F30" w:rsidRPr="009D610A" w:rsidRDefault="00C91F30" w:rsidP="00C91F30">
      <w:pPr>
        <w:spacing w:line="360" w:lineRule="auto"/>
        <w:rPr>
          <w:rFonts w:asciiTheme="minorHAnsi" w:hAnsiTheme="minorHAnsi" w:cstheme="minorHAnsi"/>
          <w:i/>
          <w:color w:val="404040" w:themeColor="text1" w:themeTint="BF"/>
          <w:szCs w:val="20"/>
        </w:rPr>
      </w:pPr>
      <w:r w:rsidRPr="009D610A">
        <w:rPr>
          <w:rFonts w:asciiTheme="minorHAnsi" w:hAnsiTheme="minorHAnsi" w:cstheme="minorHAnsi"/>
          <w:i/>
          <w:color w:val="404040" w:themeColor="text1" w:themeTint="BF"/>
          <w:szCs w:val="20"/>
        </w:rPr>
        <w:t>Community Development General Needs Hearing:</w:t>
      </w:r>
    </w:p>
    <w:p w14:paraId="2B4F44FE" w14:textId="77777777" w:rsidR="00C91F30" w:rsidRPr="009F182D" w:rsidRDefault="00C91F30" w:rsidP="00C91F30">
      <w:pPr>
        <w:spacing w:line="360" w:lineRule="auto"/>
        <w:rPr>
          <w:rFonts w:asciiTheme="minorHAnsi" w:hAnsiTheme="minorHAnsi"/>
          <w:color w:val="404040" w:themeColor="text1" w:themeTint="BF"/>
          <w:szCs w:val="20"/>
        </w:rPr>
      </w:pPr>
      <w:r>
        <w:rPr>
          <w:rFonts w:asciiTheme="minorHAnsi" w:hAnsiTheme="minorHAnsi"/>
          <w:color w:val="404040" w:themeColor="text1" w:themeTint="BF"/>
          <w:szCs w:val="20"/>
        </w:rPr>
        <w:t>On December 4, 2016</w:t>
      </w:r>
      <w:r w:rsidRPr="0095002E">
        <w:rPr>
          <w:rFonts w:asciiTheme="minorHAnsi" w:hAnsiTheme="minorHAnsi"/>
          <w:color w:val="404040" w:themeColor="text1" w:themeTint="BF"/>
          <w:szCs w:val="20"/>
        </w:rPr>
        <w:t xml:space="preserve">, HAND invited residents to participate in a General Needs Hearing to gather public comments on housing and community development needs as they relate to low and moderate-income residents. Over </w:t>
      </w:r>
      <w:r>
        <w:rPr>
          <w:rFonts w:asciiTheme="minorHAnsi" w:hAnsiTheme="minorHAnsi"/>
          <w:color w:val="404040" w:themeColor="text1" w:themeTint="BF"/>
          <w:szCs w:val="20"/>
        </w:rPr>
        <w:t>thirty individuals</w:t>
      </w:r>
      <w:r w:rsidRPr="0095002E">
        <w:rPr>
          <w:rFonts w:asciiTheme="minorHAnsi" w:hAnsiTheme="minorHAnsi"/>
          <w:color w:val="404040" w:themeColor="text1" w:themeTint="BF"/>
          <w:szCs w:val="20"/>
        </w:rPr>
        <w:t xml:space="preserve"> attended the hearing. Comments related to the need for affordable and accessible housing; housing rehabilitation; street and neighborhood improvements</w:t>
      </w:r>
      <w:r>
        <w:rPr>
          <w:rFonts w:asciiTheme="minorHAnsi" w:hAnsiTheme="minorHAnsi"/>
          <w:color w:val="404040" w:themeColor="text1" w:themeTint="BF"/>
          <w:szCs w:val="20"/>
        </w:rPr>
        <w:t xml:space="preserve">; substance use disorder services, public services for homeless, </w:t>
      </w:r>
      <w:r w:rsidRPr="0095002E">
        <w:rPr>
          <w:rFonts w:asciiTheme="minorHAnsi" w:hAnsiTheme="minorHAnsi"/>
          <w:color w:val="404040" w:themeColor="text1" w:themeTint="BF"/>
          <w:szCs w:val="20"/>
        </w:rPr>
        <w:t>low-income residents</w:t>
      </w:r>
      <w:r>
        <w:rPr>
          <w:rFonts w:asciiTheme="minorHAnsi" w:hAnsiTheme="minorHAnsi"/>
          <w:color w:val="404040" w:themeColor="text1" w:themeTint="BF"/>
          <w:szCs w:val="20"/>
        </w:rPr>
        <w:t>, and other vulnerable residents</w:t>
      </w:r>
      <w:r w:rsidRPr="0095002E">
        <w:rPr>
          <w:rFonts w:asciiTheme="minorHAnsi" w:hAnsiTheme="minorHAnsi"/>
          <w:color w:val="404040" w:themeColor="text1" w:themeTint="BF"/>
          <w:szCs w:val="20"/>
        </w:rPr>
        <w:t>; early childhood education; job training programs; increased opportunity within concentrated areas of poverty</w:t>
      </w:r>
      <w:r>
        <w:rPr>
          <w:rFonts w:asciiTheme="minorHAnsi" w:hAnsiTheme="minorHAnsi"/>
          <w:color w:val="404040" w:themeColor="text1" w:themeTint="BF"/>
          <w:szCs w:val="20"/>
        </w:rPr>
        <w:t>; parks; bike and pedestrian improvements; and the need for more affordable transportation options throughout the city</w:t>
      </w:r>
      <w:r w:rsidRPr="0095002E">
        <w:rPr>
          <w:rFonts w:asciiTheme="minorHAnsi" w:hAnsiTheme="minorHAnsi"/>
          <w:color w:val="404040" w:themeColor="text1" w:themeTint="BF"/>
          <w:szCs w:val="20"/>
        </w:rPr>
        <w:t>. Information gathered at the public hearing was utilized to priorit</w:t>
      </w:r>
      <w:r>
        <w:rPr>
          <w:rFonts w:asciiTheme="minorHAnsi" w:hAnsiTheme="minorHAnsi"/>
          <w:color w:val="404040" w:themeColor="text1" w:themeTint="BF"/>
          <w:szCs w:val="20"/>
        </w:rPr>
        <w:t>ize needs within the community.</w:t>
      </w:r>
    </w:p>
    <w:p w14:paraId="1B16A17D" w14:textId="77777777" w:rsidR="00C91F30" w:rsidRPr="0095002E" w:rsidRDefault="00C91F30" w:rsidP="00C91F30">
      <w:pPr>
        <w:tabs>
          <w:tab w:val="left" w:pos="1656"/>
          <w:tab w:val="left" w:pos="2160"/>
          <w:tab w:val="left" w:pos="8280"/>
        </w:tabs>
        <w:rPr>
          <w:rFonts w:asciiTheme="minorHAnsi" w:hAnsiTheme="minorHAnsi" w:cstheme="minorHAnsi"/>
          <w:color w:val="404040" w:themeColor="text1" w:themeTint="BF"/>
          <w:szCs w:val="20"/>
        </w:rPr>
      </w:pPr>
    </w:p>
    <w:p w14:paraId="4E3DEA63" w14:textId="77777777" w:rsidR="00C91F30" w:rsidRPr="009D610A" w:rsidRDefault="00C91F30" w:rsidP="00C91F30">
      <w:pPr>
        <w:tabs>
          <w:tab w:val="left" w:pos="1656"/>
          <w:tab w:val="left" w:pos="2160"/>
          <w:tab w:val="left" w:pos="8280"/>
        </w:tabs>
        <w:spacing w:line="360" w:lineRule="auto"/>
        <w:rPr>
          <w:rFonts w:asciiTheme="minorHAnsi" w:hAnsiTheme="minorHAnsi" w:cstheme="minorHAnsi"/>
          <w:i/>
          <w:color w:val="404040" w:themeColor="text1" w:themeTint="BF"/>
          <w:szCs w:val="20"/>
        </w:rPr>
      </w:pPr>
      <w:r w:rsidRPr="009D610A">
        <w:rPr>
          <w:rFonts w:asciiTheme="minorHAnsi" w:hAnsiTheme="minorHAnsi" w:cstheme="minorHAnsi"/>
          <w:i/>
          <w:color w:val="404040" w:themeColor="text1" w:themeTint="BF"/>
          <w:szCs w:val="20"/>
        </w:rPr>
        <w:t>City Council Public Hearing</w:t>
      </w:r>
      <w:r>
        <w:rPr>
          <w:rFonts w:asciiTheme="minorHAnsi" w:hAnsiTheme="minorHAnsi" w:cstheme="minorHAnsi"/>
          <w:i/>
          <w:color w:val="404040" w:themeColor="text1" w:themeTint="BF"/>
          <w:szCs w:val="20"/>
        </w:rPr>
        <w:t>:</w:t>
      </w:r>
      <w:r w:rsidRPr="009D610A">
        <w:rPr>
          <w:rFonts w:asciiTheme="minorHAnsi" w:hAnsiTheme="minorHAnsi" w:cstheme="minorHAnsi"/>
          <w:i/>
          <w:color w:val="404040" w:themeColor="text1" w:themeTint="BF"/>
          <w:szCs w:val="20"/>
        </w:rPr>
        <w:t xml:space="preserve">  </w:t>
      </w:r>
    </w:p>
    <w:p w14:paraId="3855B7B9" w14:textId="77777777" w:rsidR="00C91F30" w:rsidRPr="0095002E" w:rsidRDefault="00C91F30" w:rsidP="00C91F30">
      <w:pPr>
        <w:spacing w:line="360" w:lineRule="auto"/>
        <w:rPr>
          <w:rFonts w:asciiTheme="minorHAnsi" w:hAnsiTheme="minorHAnsi" w:cstheme="minorHAnsi"/>
          <w:color w:val="404040" w:themeColor="text1" w:themeTint="BF"/>
          <w:szCs w:val="20"/>
        </w:rPr>
      </w:pPr>
      <w:r w:rsidRPr="0095002E">
        <w:rPr>
          <w:rFonts w:asciiTheme="minorHAnsi" w:hAnsiTheme="minorHAnsi" w:cstheme="minorHAnsi"/>
          <w:color w:val="404040" w:themeColor="text1" w:themeTint="BF"/>
          <w:szCs w:val="20"/>
        </w:rPr>
        <w:t xml:space="preserve">The Salt Lake City Council held a public hearing </w:t>
      </w:r>
      <w:r>
        <w:rPr>
          <w:rFonts w:asciiTheme="minorHAnsi" w:hAnsiTheme="minorHAnsi" w:cstheme="minorHAnsi"/>
          <w:color w:val="404040" w:themeColor="text1" w:themeTint="BF"/>
          <w:szCs w:val="20"/>
        </w:rPr>
        <w:t>on March 7, 2017</w:t>
      </w:r>
      <w:r w:rsidRPr="0095002E">
        <w:rPr>
          <w:rFonts w:asciiTheme="minorHAnsi" w:hAnsiTheme="minorHAnsi" w:cstheme="minorHAnsi"/>
          <w:color w:val="404040" w:themeColor="text1" w:themeTint="BF"/>
          <w:szCs w:val="20"/>
        </w:rPr>
        <w:t xml:space="preserve"> to accept comment on proposed activities to be supported with CDBG, ESG, HOME, and HOPWA</w:t>
      </w:r>
      <w:r>
        <w:rPr>
          <w:rFonts w:asciiTheme="minorHAnsi" w:hAnsiTheme="minorHAnsi" w:cstheme="minorHAnsi"/>
          <w:color w:val="404040" w:themeColor="text1" w:themeTint="BF"/>
          <w:szCs w:val="20"/>
        </w:rPr>
        <w:t xml:space="preserve"> funding during the 17-18 funding year</w:t>
      </w:r>
      <w:r w:rsidRPr="0095002E">
        <w:rPr>
          <w:rFonts w:asciiTheme="minorHAnsi" w:hAnsiTheme="minorHAnsi" w:cstheme="minorHAnsi"/>
          <w:color w:val="404040" w:themeColor="text1" w:themeTint="BF"/>
          <w:szCs w:val="20"/>
        </w:rPr>
        <w:t xml:space="preserve">. The City Council accepted public input from those who attended the public hearing and through written comments for those unable to attend in person.  The City Council made its final funding decisions following review of the recommendations made by the citizen review boards and the Mayor, as well as the public hearing comments.  </w:t>
      </w:r>
    </w:p>
    <w:p w14:paraId="4B76134A" w14:textId="77777777" w:rsidR="00C91F30" w:rsidRPr="0095002E" w:rsidRDefault="00C91F30" w:rsidP="00C91F30">
      <w:pPr>
        <w:spacing w:line="360" w:lineRule="auto"/>
        <w:rPr>
          <w:rFonts w:asciiTheme="minorHAnsi" w:hAnsiTheme="minorHAnsi" w:cstheme="minorHAnsi"/>
          <w:color w:val="404040" w:themeColor="text1" w:themeTint="BF"/>
          <w:szCs w:val="20"/>
        </w:rPr>
      </w:pPr>
    </w:p>
    <w:p w14:paraId="0BCEEAFB" w14:textId="77777777" w:rsidR="00C91F30" w:rsidRPr="0095002E" w:rsidRDefault="00C91F30" w:rsidP="00C91F30">
      <w:pPr>
        <w:spacing w:line="360" w:lineRule="auto"/>
        <w:rPr>
          <w:rFonts w:asciiTheme="minorHAnsi" w:hAnsiTheme="minorHAnsi" w:cstheme="minorHAnsi"/>
          <w:color w:val="404040" w:themeColor="text1" w:themeTint="BF"/>
          <w:szCs w:val="20"/>
        </w:rPr>
      </w:pPr>
      <w:r w:rsidRPr="0095002E">
        <w:rPr>
          <w:rFonts w:asciiTheme="minorHAnsi" w:hAnsiTheme="minorHAnsi" w:cstheme="minorHAnsi"/>
          <w:color w:val="404040" w:themeColor="text1" w:themeTint="BF"/>
          <w:szCs w:val="20"/>
        </w:rPr>
        <w:t>Funding recommendations by the citizen review boards, the Mayor and the Council took into account the ability of the applicants to meet th</w:t>
      </w:r>
      <w:r>
        <w:rPr>
          <w:rFonts w:asciiTheme="minorHAnsi" w:hAnsiTheme="minorHAnsi" w:cstheme="minorHAnsi"/>
          <w:color w:val="404040" w:themeColor="text1" w:themeTint="BF"/>
          <w:szCs w:val="20"/>
        </w:rPr>
        <w:t>e needs of the low and moderate-</w:t>
      </w:r>
      <w:r w:rsidRPr="0095002E">
        <w:rPr>
          <w:rFonts w:asciiTheme="minorHAnsi" w:hAnsiTheme="minorHAnsi" w:cstheme="minorHAnsi"/>
          <w:color w:val="404040" w:themeColor="text1" w:themeTint="BF"/>
          <w:szCs w:val="20"/>
        </w:rPr>
        <w:t xml:space="preserve">income residents of the City, the amount of funds available for each of the federal grant programs, and the ability of proposed activities to meet the goals and objectives outlined in the City’s 2015-2019 Consolidated Plan.  </w:t>
      </w:r>
    </w:p>
    <w:p w14:paraId="1C1964A5" w14:textId="77777777" w:rsidR="00C91F30" w:rsidRPr="0095002E" w:rsidRDefault="00C91F30" w:rsidP="00C91F30">
      <w:pPr>
        <w:keepLines/>
        <w:widowControl w:val="0"/>
        <w:suppressAutoHyphens/>
        <w:overflowPunct w:val="0"/>
        <w:autoSpaceDE w:val="0"/>
        <w:autoSpaceDN w:val="0"/>
        <w:adjustRightInd w:val="0"/>
        <w:rPr>
          <w:rFonts w:asciiTheme="minorHAnsi" w:hAnsiTheme="minorHAnsi" w:cstheme="minorHAnsi"/>
          <w:b/>
          <w:color w:val="404040" w:themeColor="text1" w:themeTint="BF"/>
          <w:szCs w:val="20"/>
        </w:rPr>
      </w:pPr>
    </w:p>
    <w:p w14:paraId="1536D008" w14:textId="77777777" w:rsidR="00C91F30" w:rsidRPr="009D610A" w:rsidRDefault="00C91F30" w:rsidP="00C91F30">
      <w:pPr>
        <w:keepLines/>
        <w:widowControl w:val="0"/>
        <w:suppressAutoHyphens/>
        <w:overflowPunct w:val="0"/>
        <w:autoSpaceDE w:val="0"/>
        <w:autoSpaceDN w:val="0"/>
        <w:adjustRightInd w:val="0"/>
        <w:spacing w:line="360" w:lineRule="auto"/>
        <w:rPr>
          <w:rFonts w:asciiTheme="minorHAnsi" w:hAnsiTheme="minorHAnsi" w:cstheme="minorHAnsi"/>
          <w:i/>
          <w:color w:val="404040" w:themeColor="text1" w:themeTint="BF"/>
          <w:szCs w:val="20"/>
        </w:rPr>
      </w:pPr>
      <w:r w:rsidRPr="009D610A">
        <w:rPr>
          <w:rFonts w:asciiTheme="minorHAnsi" w:hAnsiTheme="minorHAnsi" w:cstheme="minorHAnsi"/>
          <w:i/>
          <w:color w:val="404040" w:themeColor="text1" w:themeTint="BF"/>
          <w:szCs w:val="20"/>
        </w:rPr>
        <w:t xml:space="preserve">Limited English Proficiency Outreach and Community Invitation:  </w:t>
      </w:r>
    </w:p>
    <w:p w14:paraId="72D77E52" w14:textId="2DCAC26D" w:rsidR="00C91F30" w:rsidRPr="0095002E" w:rsidRDefault="00C91F30" w:rsidP="00C91F30">
      <w:pPr>
        <w:tabs>
          <w:tab w:val="left" w:pos="-720"/>
        </w:tabs>
        <w:suppressAutoHyphens/>
        <w:spacing w:line="360" w:lineRule="auto"/>
        <w:rPr>
          <w:rFonts w:asciiTheme="minorHAnsi" w:hAnsiTheme="minorHAnsi" w:cstheme="minorHAnsi"/>
          <w:color w:val="404040" w:themeColor="text1" w:themeTint="BF"/>
          <w:szCs w:val="20"/>
        </w:rPr>
      </w:pPr>
      <w:r w:rsidRPr="00FE0F88">
        <w:rPr>
          <w:rFonts w:asciiTheme="minorHAnsi" w:hAnsiTheme="minorHAnsi" w:cstheme="minorHAnsi"/>
          <w:color w:val="404040" w:themeColor="text1" w:themeTint="BF"/>
          <w:szCs w:val="20"/>
        </w:rPr>
        <w:t xml:space="preserve">In an effort to broaden public participation and provide outreach to non-English speaking and very low-income residents in the preparation and development of these Plans and Reports, </w:t>
      </w:r>
      <w:r w:rsidR="00FE0F88" w:rsidRPr="00FE0F88">
        <w:rPr>
          <w:rFonts w:asciiTheme="minorHAnsi" w:hAnsiTheme="minorHAnsi" w:cstheme="minorHAnsi"/>
          <w:color w:val="404040" w:themeColor="text1" w:themeTint="BF"/>
          <w:szCs w:val="20"/>
        </w:rPr>
        <w:t>Salt Lake City engages</w:t>
      </w:r>
      <w:r w:rsidRPr="00FE0F88">
        <w:rPr>
          <w:rFonts w:asciiTheme="minorHAnsi" w:hAnsiTheme="minorHAnsi" w:cstheme="minorHAnsi"/>
          <w:color w:val="404040" w:themeColor="text1" w:themeTint="BF"/>
          <w:szCs w:val="20"/>
        </w:rPr>
        <w:t xml:space="preserve"> </w:t>
      </w:r>
      <w:r w:rsidR="00FE0F88" w:rsidRPr="00FE0F88">
        <w:rPr>
          <w:rFonts w:asciiTheme="minorHAnsi" w:hAnsiTheme="minorHAnsi" w:cstheme="minorHAnsi"/>
          <w:color w:val="404040" w:themeColor="text1" w:themeTint="BF"/>
          <w:szCs w:val="20"/>
        </w:rPr>
        <w:t xml:space="preserve">with </w:t>
      </w:r>
      <w:r w:rsidRPr="00FE0F88">
        <w:rPr>
          <w:rFonts w:asciiTheme="minorHAnsi" w:hAnsiTheme="minorHAnsi" w:cstheme="minorHAnsi"/>
          <w:color w:val="404040" w:themeColor="text1" w:themeTint="BF"/>
          <w:szCs w:val="20"/>
        </w:rPr>
        <w:t>the Utah Housing Coalition and the Long Range Planning Committee.  The Utah Housing Coalition is a state-wide organization created to address affordable housing issues comprised of members from local governments, lending institutions, housing developers, faith-based organizations, housing advocates, real estate entities, public housing authorities, and community service organizations.  The Long Range Planning Committee is a county-wide organization created to address the County's homeless issues and responsible for implementing the ten year plan to end chronic homelessness.</w:t>
      </w:r>
    </w:p>
    <w:p w14:paraId="50161190" w14:textId="77777777" w:rsidR="00C91F30" w:rsidRPr="0095002E" w:rsidRDefault="00C91F30" w:rsidP="00C91F30">
      <w:pPr>
        <w:keepLines/>
        <w:widowControl w:val="0"/>
        <w:suppressAutoHyphens/>
        <w:overflowPunct w:val="0"/>
        <w:autoSpaceDE w:val="0"/>
        <w:autoSpaceDN w:val="0"/>
        <w:adjustRightInd w:val="0"/>
        <w:spacing w:line="360" w:lineRule="auto"/>
        <w:rPr>
          <w:rFonts w:asciiTheme="minorHAnsi" w:hAnsiTheme="minorHAnsi" w:cstheme="minorHAnsi"/>
          <w:color w:val="404040" w:themeColor="text1" w:themeTint="BF"/>
          <w:szCs w:val="20"/>
        </w:rPr>
      </w:pPr>
    </w:p>
    <w:p w14:paraId="79ACB23A" w14:textId="5984D3B4" w:rsidR="00C91F30" w:rsidRPr="0095002E" w:rsidRDefault="00C91F30" w:rsidP="00C91F30">
      <w:pPr>
        <w:keepLines/>
        <w:widowControl w:val="0"/>
        <w:suppressAutoHyphens/>
        <w:overflowPunct w:val="0"/>
        <w:autoSpaceDE w:val="0"/>
        <w:autoSpaceDN w:val="0"/>
        <w:adjustRightInd w:val="0"/>
        <w:spacing w:line="360" w:lineRule="auto"/>
        <w:rPr>
          <w:rFonts w:asciiTheme="minorHAnsi" w:hAnsiTheme="minorHAnsi" w:cstheme="minorHAnsi"/>
          <w:color w:val="404040" w:themeColor="text1" w:themeTint="BF"/>
          <w:szCs w:val="20"/>
        </w:rPr>
      </w:pPr>
      <w:r w:rsidRPr="0095002E">
        <w:rPr>
          <w:rFonts w:asciiTheme="minorHAnsi" w:hAnsiTheme="minorHAnsi" w:cstheme="minorHAnsi"/>
          <w:color w:val="404040" w:themeColor="text1" w:themeTint="BF"/>
          <w:szCs w:val="20"/>
        </w:rPr>
        <w:t>Notices are sent out on the Housing and Neighborhood Development’s public distribution list, as well as posted on various City website pages, sent out as press rele</w:t>
      </w:r>
      <w:r w:rsidR="00FE0F88">
        <w:rPr>
          <w:rFonts w:asciiTheme="minorHAnsi" w:hAnsiTheme="minorHAnsi" w:cstheme="minorHAnsi"/>
          <w:color w:val="404040" w:themeColor="text1" w:themeTint="BF"/>
          <w:szCs w:val="20"/>
        </w:rPr>
        <w:t>ases through the Mayor’s Office.</w:t>
      </w:r>
    </w:p>
    <w:p w14:paraId="713E5101" w14:textId="77777777" w:rsidR="00C91F30" w:rsidRPr="0095002E" w:rsidRDefault="00C91F30" w:rsidP="00C91F30">
      <w:pPr>
        <w:keepLines/>
        <w:widowControl w:val="0"/>
        <w:suppressAutoHyphens/>
        <w:overflowPunct w:val="0"/>
        <w:autoSpaceDE w:val="0"/>
        <w:autoSpaceDN w:val="0"/>
        <w:adjustRightInd w:val="0"/>
        <w:spacing w:line="360" w:lineRule="auto"/>
        <w:rPr>
          <w:rFonts w:asciiTheme="minorHAnsi" w:hAnsiTheme="minorHAnsi" w:cstheme="minorHAnsi"/>
          <w:color w:val="404040" w:themeColor="text1" w:themeTint="BF"/>
          <w:szCs w:val="20"/>
        </w:rPr>
      </w:pPr>
    </w:p>
    <w:p w14:paraId="7EB68FF7" w14:textId="77777777" w:rsidR="00C91F30" w:rsidRPr="0095002E" w:rsidRDefault="00C91F30" w:rsidP="00C91F30">
      <w:pPr>
        <w:keepLines/>
        <w:widowControl w:val="0"/>
        <w:suppressAutoHyphens/>
        <w:overflowPunct w:val="0"/>
        <w:autoSpaceDE w:val="0"/>
        <w:autoSpaceDN w:val="0"/>
        <w:adjustRightInd w:val="0"/>
        <w:spacing w:line="360" w:lineRule="auto"/>
        <w:rPr>
          <w:rFonts w:asciiTheme="minorHAnsi" w:hAnsiTheme="minorHAnsi" w:cstheme="minorHAnsi"/>
          <w:color w:val="404040" w:themeColor="text1" w:themeTint="BF"/>
          <w:szCs w:val="20"/>
        </w:rPr>
      </w:pPr>
      <w:r w:rsidRPr="0095002E">
        <w:rPr>
          <w:rFonts w:asciiTheme="minorHAnsi" w:hAnsiTheme="minorHAnsi" w:cstheme="minorHAnsi"/>
          <w:color w:val="404040" w:themeColor="text1" w:themeTint="BF"/>
          <w:szCs w:val="20"/>
        </w:rPr>
        <w:t>Citizens are notified of accessible parking spaces and building entrances. They are also made aware that reasonable accommodations for individuals with disabilities or those in need of language interpretation services can be provided if 48 hours notice is given by contacting Housing and Neighborhood Development, and a TDD service number is available for the hearing impaired.</w:t>
      </w:r>
    </w:p>
    <w:p w14:paraId="3CBDF9A1" w14:textId="77777777" w:rsidR="00C91F30" w:rsidRPr="0095002E" w:rsidRDefault="00C91F30" w:rsidP="00C91F30">
      <w:pPr>
        <w:spacing w:line="360" w:lineRule="auto"/>
        <w:rPr>
          <w:rFonts w:asciiTheme="minorHAnsi" w:hAnsiTheme="minorHAnsi" w:cstheme="minorHAnsi"/>
          <w:b/>
          <w:color w:val="404040" w:themeColor="text1" w:themeTint="BF"/>
          <w:szCs w:val="20"/>
        </w:rPr>
      </w:pPr>
    </w:p>
    <w:p w14:paraId="5F1E7BEA" w14:textId="77777777" w:rsidR="00C91F30" w:rsidRPr="009D610A" w:rsidRDefault="00C91F30" w:rsidP="00C91F30">
      <w:pPr>
        <w:spacing w:line="360" w:lineRule="auto"/>
        <w:rPr>
          <w:rFonts w:asciiTheme="minorHAnsi" w:hAnsiTheme="minorHAnsi" w:cstheme="minorHAnsi"/>
          <w:i/>
          <w:color w:val="404040" w:themeColor="text1" w:themeTint="BF"/>
          <w:szCs w:val="20"/>
        </w:rPr>
      </w:pPr>
      <w:r w:rsidRPr="009D610A">
        <w:rPr>
          <w:rFonts w:asciiTheme="minorHAnsi" w:hAnsiTheme="minorHAnsi" w:cstheme="minorHAnsi"/>
          <w:i/>
          <w:color w:val="404040" w:themeColor="text1" w:themeTint="BF"/>
          <w:szCs w:val="20"/>
        </w:rPr>
        <w:t>Performance reports provided to the public</w:t>
      </w:r>
      <w:r>
        <w:rPr>
          <w:rFonts w:asciiTheme="minorHAnsi" w:hAnsiTheme="minorHAnsi" w:cstheme="minorHAnsi"/>
          <w:i/>
          <w:color w:val="404040" w:themeColor="text1" w:themeTint="BF"/>
          <w:szCs w:val="20"/>
        </w:rPr>
        <w:t>:</w:t>
      </w:r>
      <w:r w:rsidRPr="009D610A">
        <w:rPr>
          <w:rFonts w:asciiTheme="minorHAnsi" w:hAnsiTheme="minorHAnsi" w:cstheme="minorHAnsi"/>
          <w:i/>
          <w:color w:val="404040" w:themeColor="text1" w:themeTint="BF"/>
          <w:szCs w:val="20"/>
        </w:rPr>
        <w:t xml:space="preserve">  </w:t>
      </w:r>
    </w:p>
    <w:p w14:paraId="2F84A576" w14:textId="46FF3103" w:rsidR="00C91F30" w:rsidRPr="00FE0F88" w:rsidRDefault="00C91F30" w:rsidP="00C91F30">
      <w:pPr>
        <w:spacing w:line="360" w:lineRule="auto"/>
        <w:rPr>
          <w:rFonts w:asciiTheme="minorHAnsi" w:hAnsiTheme="minorHAnsi" w:cstheme="minorHAnsi"/>
          <w:color w:val="404040" w:themeColor="text1" w:themeTint="BF"/>
          <w:szCs w:val="20"/>
        </w:rPr>
      </w:pPr>
      <w:r w:rsidRPr="00FE0F88">
        <w:rPr>
          <w:rFonts w:asciiTheme="minorHAnsi" w:hAnsiTheme="minorHAnsi" w:cstheme="minorHAnsi"/>
          <w:color w:val="404040" w:themeColor="text1" w:themeTint="BF"/>
          <w:szCs w:val="20"/>
        </w:rPr>
        <w:t xml:space="preserve">The Consolidated Annual Performance and Evaluation Report (CAPER) for 2017-18 was made available for public review and </w:t>
      </w:r>
      <w:r w:rsidRPr="00F5641C">
        <w:rPr>
          <w:rFonts w:asciiTheme="minorHAnsi" w:hAnsiTheme="minorHAnsi" w:cstheme="minorHAnsi"/>
          <w:color w:val="404040" w:themeColor="text1" w:themeTint="BF"/>
          <w:szCs w:val="20"/>
        </w:rPr>
        <w:t xml:space="preserve">comment from </w:t>
      </w:r>
      <w:r w:rsidR="000509DA">
        <w:rPr>
          <w:rFonts w:asciiTheme="minorHAnsi" w:hAnsiTheme="minorHAnsi" w:cstheme="minorHAnsi"/>
          <w:color w:val="404040" w:themeColor="text1" w:themeTint="BF"/>
          <w:szCs w:val="20"/>
        </w:rPr>
        <w:t>September 4 - September 19</w:t>
      </w:r>
      <w:r w:rsidRPr="00F5641C">
        <w:rPr>
          <w:rFonts w:asciiTheme="minorHAnsi" w:hAnsiTheme="minorHAnsi" w:cstheme="minorHAnsi"/>
          <w:color w:val="404040" w:themeColor="text1" w:themeTint="BF"/>
          <w:szCs w:val="20"/>
        </w:rPr>
        <w:t>, 2018. Copies</w:t>
      </w:r>
      <w:r w:rsidRPr="00FE0F88">
        <w:rPr>
          <w:rFonts w:asciiTheme="minorHAnsi" w:hAnsiTheme="minorHAnsi" w:cstheme="minorHAnsi"/>
          <w:color w:val="404040" w:themeColor="text1" w:themeTint="BF"/>
          <w:szCs w:val="20"/>
        </w:rPr>
        <w:t xml:space="preserve"> were located at Salt Lake City Corporation, 451 South State Street, in the Office of Community Affairs (Room 345) and in Housing and Neighborhood Development (Room 445) as well as posted on the City’s official web site.  A copy was also placed for public review at the Salt Lake City Public Library, Main Branch, located at 210 East 400 South in Salt Lake City.  </w:t>
      </w:r>
    </w:p>
    <w:p w14:paraId="0ECC7776" w14:textId="77777777" w:rsidR="00C91F30" w:rsidRPr="00FE0F88" w:rsidRDefault="00C91F30" w:rsidP="00C91F30">
      <w:pPr>
        <w:spacing w:line="360" w:lineRule="auto"/>
        <w:rPr>
          <w:rFonts w:asciiTheme="minorHAnsi" w:hAnsiTheme="minorHAnsi" w:cstheme="minorHAnsi"/>
          <w:color w:val="404040" w:themeColor="text1" w:themeTint="BF"/>
          <w:szCs w:val="20"/>
        </w:rPr>
      </w:pPr>
    </w:p>
    <w:p w14:paraId="550FAA4E" w14:textId="77777777" w:rsidR="00C91F30" w:rsidRPr="00FE0F88" w:rsidRDefault="00C91F30" w:rsidP="00C91F30">
      <w:pPr>
        <w:spacing w:line="360" w:lineRule="auto"/>
        <w:rPr>
          <w:rFonts w:asciiTheme="minorHAnsi" w:hAnsiTheme="minorHAnsi" w:cstheme="minorHAnsi"/>
          <w:color w:val="404040" w:themeColor="text1" w:themeTint="BF"/>
          <w:szCs w:val="20"/>
        </w:rPr>
      </w:pPr>
      <w:r w:rsidRPr="00FE0F88">
        <w:rPr>
          <w:rFonts w:asciiTheme="minorHAnsi" w:hAnsiTheme="minorHAnsi" w:cstheme="minorHAnsi"/>
          <w:color w:val="404040" w:themeColor="text1" w:themeTint="BF"/>
          <w:szCs w:val="20"/>
        </w:rPr>
        <w:t>The following IDIS reports (Appendix B) were made available for public review at the offices of Housing and Neighborhood Development, located at 451 South State Street, room 445:</w:t>
      </w:r>
    </w:p>
    <w:p w14:paraId="55055444" w14:textId="77777777" w:rsidR="00C91F30" w:rsidRPr="00FE0F88" w:rsidRDefault="00C91F30" w:rsidP="00C91F30">
      <w:pPr>
        <w:pStyle w:val="Default"/>
        <w:numPr>
          <w:ilvl w:val="0"/>
          <w:numId w:val="4"/>
        </w:numPr>
        <w:spacing w:line="360" w:lineRule="auto"/>
        <w:rPr>
          <w:rFonts w:asciiTheme="minorHAnsi" w:hAnsiTheme="minorHAnsi" w:cstheme="minorHAnsi"/>
          <w:color w:val="404040" w:themeColor="text1" w:themeTint="BF"/>
          <w:sz w:val="20"/>
          <w:szCs w:val="20"/>
        </w:rPr>
      </w:pPr>
      <w:r w:rsidRPr="00FE0F88">
        <w:rPr>
          <w:rFonts w:asciiTheme="minorHAnsi" w:hAnsiTheme="minorHAnsi" w:cstheme="minorHAnsi"/>
          <w:color w:val="404040" w:themeColor="text1" w:themeTint="BF"/>
          <w:sz w:val="20"/>
          <w:szCs w:val="20"/>
        </w:rPr>
        <w:t xml:space="preserve">Summary of Accomplishments Report (C04PR23) </w:t>
      </w:r>
    </w:p>
    <w:p w14:paraId="487E9E0D" w14:textId="6ACBAFB8" w:rsidR="00C91F30" w:rsidRPr="00FE0F88" w:rsidRDefault="00C91F30" w:rsidP="00C91F30">
      <w:pPr>
        <w:pStyle w:val="Default"/>
        <w:numPr>
          <w:ilvl w:val="0"/>
          <w:numId w:val="4"/>
        </w:numPr>
        <w:spacing w:line="360" w:lineRule="auto"/>
        <w:rPr>
          <w:rFonts w:asciiTheme="minorHAnsi" w:hAnsiTheme="minorHAnsi" w:cstheme="minorHAnsi"/>
          <w:color w:val="404040" w:themeColor="text1" w:themeTint="BF"/>
          <w:sz w:val="20"/>
          <w:szCs w:val="20"/>
        </w:rPr>
      </w:pPr>
      <w:r w:rsidRPr="00FE0F88">
        <w:rPr>
          <w:rFonts w:asciiTheme="minorHAnsi" w:hAnsiTheme="minorHAnsi" w:cstheme="minorHAnsi"/>
          <w:color w:val="404040" w:themeColor="text1" w:themeTint="BF"/>
          <w:sz w:val="20"/>
          <w:szCs w:val="20"/>
        </w:rPr>
        <w:t>Summary of Consolidated Plan Projects for Report Year 201</w:t>
      </w:r>
      <w:r w:rsidR="00F5641C">
        <w:rPr>
          <w:rFonts w:asciiTheme="minorHAnsi" w:hAnsiTheme="minorHAnsi" w:cstheme="minorHAnsi"/>
          <w:color w:val="404040" w:themeColor="text1" w:themeTint="BF"/>
          <w:sz w:val="20"/>
          <w:szCs w:val="20"/>
        </w:rPr>
        <w:t>7</w:t>
      </w:r>
      <w:r w:rsidRPr="00FE0F88">
        <w:rPr>
          <w:rFonts w:asciiTheme="minorHAnsi" w:hAnsiTheme="minorHAnsi" w:cstheme="minorHAnsi"/>
          <w:color w:val="404040" w:themeColor="text1" w:themeTint="BF"/>
          <w:sz w:val="20"/>
          <w:szCs w:val="20"/>
        </w:rPr>
        <w:t xml:space="preserve"> (C04PR06)</w:t>
      </w:r>
    </w:p>
    <w:p w14:paraId="3C824166" w14:textId="77777777" w:rsidR="00C91F30" w:rsidRPr="00FE0F88" w:rsidRDefault="00C91F30" w:rsidP="00C91F30">
      <w:pPr>
        <w:pStyle w:val="Default"/>
        <w:numPr>
          <w:ilvl w:val="0"/>
          <w:numId w:val="4"/>
        </w:numPr>
        <w:spacing w:line="360" w:lineRule="auto"/>
        <w:rPr>
          <w:rFonts w:asciiTheme="minorHAnsi" w:hAnsiTheme="minorHAnsi" w:cstheme="minorHAnsi"/>
          <w:color w:val="404040" w:themeColor="text1" w:themeTint="BF"/>
          <w:sz w:val="20"/>
          <w:szCs w:val="20"/>
        </w:rPr>
      </w:pPr>
      <w:r w:rsidRPr="00FE0F88">
        <w:rPr>
          <w:rFonts w:asciiTheme="minorHAnsi" w:hAnsiTheme="minorHAnsi" w:cstheme="minorHAnsi"/>
          <w:color w:val="404040" w:themeColor="text1" w:themeTint="BF"/>
          <w:sz w:val="20"/>
          <w:szCs w:val="20"/>
        </w:rPr>
        <w:t xml:space="preserve">CDBG Financial Summary Report (C04PR26) </w:t>
      </w:r>
    </w:p>
    <w:p w14:paraId="6C13B660" w14:textId="77777777" w:rsidR="00C91F30" w:rsidRPr="00FE0F88" w:rsidRDefault="00C91F30" w:rsidP="00C91F30">
      <w:pPr>
        <w:pStyle w:val="Default"/>
        <w:numPr>
          <w:ilvl w:val="0"/>
          <w:numId w:val="4"/>
        </w:numPr>
        <w:spacing w:line="360" w:lineRule="auto"/>
        <w:rPr>
          <w:rFonts w:asciiTheme="minorHAnsi" w:hAnsiTheme="minorHAnsi" w:cstheme="minorHAnsi"/>
          <w:color w:val="404040" w:themeColor="text1" w:themeTint="BF"/>
          <w:sz w:val="20"/>
          <w:szCs w:val="20"/>
        </w:rPr>
      </w:pPr>
      <w:r w:rsidRPr="00FE0F88">
        <w:rPr>
          <w:rFonts w:asciiTheme="minorHAnsi" w:hAnsiTheme="minorHAnsi" w:cstheme="minorHAnsi"/>
          <w:color w:val="404040" w:themeColor="text1" w:themeTint="BF"/>
          <w:sz w:val="20"/>
          <w:szCs w:val="20"/>
        </w:rPr>
        <w:t xml:space="preserve">CDBG Summary of Activities (C04PR03) </w:t>
      </w:r>
    </w:p>
    <w:p w14:paraId="4B48764A" w14:textId="77777777" w:rsidR="00C91F30" w:rsidRPr="00FE0F88" w:rsidRDefault="00C91F30" w:rsidP="00C91F30">
      <w:pPr>
        <w:pStyle w:val="Default"/>
        <w:numPr>
          <w:ilvl w:val="0"/>
          <w:numId w:val="4"/>
        </w:numPr>
        <w:spacing w:line="360" w:lineRule="auto"/>
        <w:rPr>
          <w:rFonts w:asciiTheme="minorHAnsi" w:hAnsiTheme="minorHAnsi" w:cstheme="minorHAnsi"/>
          <w:color w:val="404040" w:themeColor="text1" w:themeTint="BF"/>
          <w:sz w:val="20"/>
          <w:szCs w:val="20"/>
        </w:rPr>
      </w:pPr>
      <w:r w:rsidRPr="00FE0F88">
        <w:rPr>
          <w:rFonts w:asciiTheme="minorHAnsi" w:hAnsiTheme="minorHAnsi" w:cstheme="minorHAnsi"/>
          <w:color w:val="404040" w:themeColor="text1" w:themeTint="BF"/>
          <w:sz w:val="20"/>
          <w:szCs w:val="20"/>
        </w:rPr>
        <w:t xml:space="preserve">CDBG Performance Measures Report (C04PR83) </w:t>
      </w:r>
    </w:p>
    <w:p w14:paraId="35EEC0A3" w14:textId="77777777" w:rsidR="00C91F30" w:rsidRPr="00FE0F88" w:rsidRDefault="00C91F30" w:rsidP="00C91F30">
      <w:pPr>
        <w:pStyle w:val="Default"/>
        <w:numPr>
          <w:ilvl w:val="0"/>
          <w:numId w:val="4"/>
        </w:numPr>
        <w:spacing w:line="360" w:lineRule="auto"/>
        <w:rPr>
          <w:rFonts w:asciiTheme="minorHAnsi" w:hAnsiTheme="minorHAnsi" w:cstheme="minorHAnsi"/>
          <w:color w:val="404040" w:themeColor="text1" w:themeTint="BF"/>
          <w:sz w:val="20"/>
          <w:szCs w:val="20"/>
        </w:rPr>
      </w:pPr>
      <w:r w:rsidRPr="00FE0F88">
        <w:rPr>
          <w:rFonts w:asciiTheme="minorHAnsi" w:hAnsiTheme="minorHAnsi" w:cstheme="minorHAnsi"/>
          <w:color w:val="404040" w:themeColor="text1" w:themeTint="BF"/>
          <w:sz w:val="20"/>
          <w:szCs w:val="20"/>
        </w:rPr>
        <w:t xml:space="preserve">HOME Housing Performance Report (Grantee/PJ) (C04PR85) </w:t>
      </w:r>
    </w:p>
    <w:p w14:paraId="2360F932" w14:textId="77777777" w:rsidR="00C91F30" w:rsidRPr="00D967BE" w:rsidRDefault="00C91F30" w:rsidP="00C91F30">
      <w:pPr>
        <w:spacing w:line="276" w:lineRule="auto"/>
        <w:rPr>
          <w:rFonts w:asciiTheme="minorHAnsi" w:hAnsiTheme="minorHAnsi" w:cstheme="minorHAnsi"/>
          <w:b/>
          <w:color w:val="404040" w:themeColor="text1" w:themeTint="BF"/>
          <w:szCs w:val="20"/>
        </w:rPr>
      </w:pPr>
    </w:p>
    <w:p w14:paraId="17C7E719" w14:textId="77777777" w:rsidR="00C91F30" w:rsidRDefault="00C91F30" w:rsidP="00C91F30">
      <w:pPr>
        <w:spacing w:line="276" w:lineRule="auto"/>
        <w:ind w:right="360"/>
        <w:rPr>
          <w:rFonts w:asciiTheme="minorHAnsi" w:hAnsiTheme="minorHAnsi" w:cstheme="minorHAnsi"/>
          <w:b/>
          <w:color w:val="FF0000"/>
          <w:szCs w:val="20"/>
        </w:rPr>
      </w:pPr>
    </w:p>
    <w:p w14:paraId="7AE60FDC" w14:textId="77777777" w:rsidR="00C91F30" w:rsidRPr="00F7751B" w:rsidRDefault="00C91F30" w:rsidP="00C91F30">
      <w:pPr>
        <w:spacing w:line="276" w:lineRule="auto"/>
        <w:ind w:right="360"/>
        <w:rPr>
          <w:rFonts w:asciiTheme="minorHAnsi" w:hAnsiTheme="minorHAnsi" w:cstheme="minorHAnsi"/>
          <w:i/>
          <w:color w:val="1F497D" w:themeColor="text2"/>
          <w:sz w:val="18"/>
          <w:szCs w:val="18"/>
        </w:rPr>
      </w:pPr>
      <w:r w:rsidRPr="0095002E">
        <w:rPr>
          <w:rFonts w:asciiTheme="minorHAnsi" w:hAnsiTheme="minorHAnsi" w:cstheme="minorHAnsi"/>
          <w:szCs w:val="20"/>
        </w:rPr>
        <w:br w:type="page"/>
      </w:r>
      <w:r w:rsidRPr="009629AD">
        <w:rPr>
          <w:rFonts w:asciiTheme="minorHAnsi" w:hAnsiTheme="minorHAnsi" w:cstheme="minorHAnsi"/>
          <w:noProof/>
          <w:color w:val="1F497D" w:themeColor="text2"/>
          <w:sz w:val="24"/>
        </w:rPr>
        <mc:AlternateContent>
          <mc:Choice Requires="wps">
            <w:drawing>
              <wp:anchor distT="0" distB="0" distL="114300" distR="114300" simplePos="0" relativeHeight="251776000" behindDoc="0" locked="0" layoutInCell="1" allowOverlap="1" wp14:anchorId="0D78B16E" wp14:editId="6A3B7517">
                <wp:simplePos x="0" y="0"/>
                <wp:positionH relativeFrom="column">
                  <wp:posOffset>-190500</wp:posOffset>
                </wp:positionH>
                <wp:positionV relativeFrom="paragraph">
                  <wp:posOffset>-38100</wp:posOffset>
                </wp:positionV>
                <wp:extent cx="6779895" cy="635"/>
                <wp:effectExtent l="9525" t="9525" r="11430" b="889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989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138E04" id="AutoShape 15" o:spid="_x0000_s1026" type="#_x0000_t32" style="position:absolute;margin-left:-15pt;margin-top:-3pt;width:533.85pt;height:.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" strokecolor="#548dd4"/>
            </w:pict>
          </mc:Fallback>
        </mc:AlternateContent>
      </w:r>
      <w:r w:rsidRPr="009629AD">
        <w:rPr>
          <w:rFonts w:asciiTheme="minorHAnsi" w:hAnsiTheme="minorHAnsi" w:cstheme="minorHAnsi"/>
          <w:b/>
          <w:color w:val="1F497D" w:themeColor="text2"/>
          <w:sz w:val="24"/>
        </w:rPr>
        <w:t>CR-</w:t>
      </w:r>
      <w:r>
        <w:rPr>
          <w:rFonts w:asciiTheme="minorHAnsi" w:hAnsiTheme="minorHAnsi" w:cstheme="minorHAnsi"/>
          <w:b/>
          <w:color w:val="1F497D" w:themeColor="text2"/>
          <w:sz w:val="24"/>
        </w:rPr>
        <w:t xml:space="preserve">45 CDBG </w:t>
      </w:r>
      <w:r>
        <w:rPr>
          <w:rFonts w:asciiTheme="minorHAnsi" w:hAnsiTheme="minorHAnsi" w:cstheme="minorHAnsi"/>
          <w:i/>
          <w:color w:val="1F497D" w:themeColor="text2"/>
          <w:sz w:val="18"/>
          <w:szCs w:val="18"/>
        </w:rPr>
        <w:t xml:space="preserve">– 91.520 (c) </w:t>
      </w:r>
    </w:p>
    <w:p w14:paraId="66FB6B6C" w14:textId="77777777" w:rsidR="00C91F30" w:rsidRDefault="00C91F30" w:rsidP="00C91F30">
      <w:pPr>
        <w:spacing w:line="276" w:lineRule="auto"/>
        <w:ind w:right="360"/>
        <w:rPr>
          <w:rFonts w:asciiTheme="minorHAnsi" w:hAnsiTheme="minorHAnsi" w:cstheme="minorHAnsi"/>
          <w:b/>
          <w:color w:val="FF0000"/>
          <w:szCs w:val="20"/>
        </w:rPr>
      </w:pPr>
    </w:p>
    <w:p w14:paraId="5654FBDA" w14:textId="77777777" w:rsidR="00C91F30" w:rsidRPr="00D55BD7" w:rsidRDefault="00C91F30" w:rsidP="00C91F30">
      <w:pPr>
        <w:spacing w:line="360" w:lineRule="auto"/>
        <w:ind w:right="360"/>
        <w:rPr>
          <w:rFonts w:asciiTheme="minorHAnsi" w:hAnsiTheme="minorHAnsi" w:cstheme="minorHAnsi"/>
          <w:b/>
          <w:color w:val="404040" w:themeColor="text1" w:themeTint="BF"/>
          <w:szCs w:val="20"/>
        </w:rPr>
      </w:pPr>
      <w:r w:rsidRPr="00D55BD7">
        <w:rPr>
          <w:rFonts w:asciiTheme="minorHAnsi" w:hAnsiTheme="minorHAnsi" w:cstheme="minorHAnsi"/>
          <w:b/>
          <w:color w:val="404040" w:themeColor="text1" w:themeTint="BF"/>
          <w:szCs w:val="20"/>
        </w:rPr>
        <w:t>Specify the nature of, and reasons for, any changes in the City’s program objectives and indications of how the City would change its program as a result of its experiences.</w:t>
      </w:r>
    </w:p>
    <w:p w14:paraId="154ED06F" w14:textId="77777777" w:rsidR="00C91F30" w:rsidRPr="00D55BD7" w:rsidRDefault="00C91F30" w:rsidP="00C91F30">
      <w:pPr>
        <w:spacing w:line="360" w:lineRule="auto"/>
        <w:ind w:right="360"/>
        <w:rPr>
          <w:rFonts w:asciiTheme="minorHAnsi" w:hAnsiTheme="minorHAnsi" w:cstheme="minorHAnsi"/>
          <w:b/>
          <w:color w:val="404040" w:themeColor="text1" w:themeTint="BF"/>
          <w:szCs w:val="20"/>
        </w:rPr>
      </w:pPr>
    </w:p>
    <w:p w14:paraId="0B9EFDEE" w14:textId="77777777" w:rsidR="00C91F30" w:rsidRPr="00D55BD7" w:rsidRDefault="00C91F30" w:rsidP="00C91F30">
      <w:pPr>
        <w:spacing w:line="360" w:lineRule="auto"/>
        <w:ind w:right="360"/>
        <w:rPr>
          <w:rFonts w:asciiTheme="minorHAnsi" w:hAnsiTheme="minorHAnsi" w:cstheme="minorHAnsi"/>
          <w:color w:val="404040" w:themeColor="text1" w:themeTint="BF"/>
          <w:szCs w:val="20"/>
        </w:rPr>
      </w:pPr>
      <w:r w:rsidRPr="00D55BD7">
        <w:rPr>
          <w:rFonts w:asciiTheme="minorHAnsi" w:hAnsiTheme="minorHAnsi" w:cstheme="minorHAnsi"/>
          <w:color w:val="404040" w:themeColor="text1" w:themeTint="BF"/>
          <w:szCs w:val="20"/>
        </w:rPr>
        <w:t xml:space="preserve">This CAPER report closes out the </w:t>
      </w:r>
      <w:r>
        <w:rPr>
          <w:rFonts w:asciiTheme="minorHAnsi" w:hAnsiTheme="minorHAnsi" w:cstheme="minorHAnsi"/>
          <w:color w:val="404040" w:themeColor="text1" w:themeTint="BF"/>
          <w:szCs w:val="20"/>
        </w:rPr>
        <w:t>third</w:t>
      </w:r>
      <w:r w:rsidRPr="00D55BD7">
        <w:rPr>
          <w:rFonts w:asciiTheme="minorHAnsi" w:hAnsiTheme="minorHAnsi" w:cstheme="minorHAnsi"/>
          <w:color w:val="404040" w:themeColor="text1" w:themeTint="BF"/>
          <w:szCs w:val="20"/>
        </w:rPr>
        <w:t xml:space="preserve"> year of a five year consolidated plan period. It is clear that the goals and objectives of the plan are still relevant and should not be changed at this time. </w:t>
      </w:r>
    </w:p>
    <w:p w14:paraId="6D805180" w14:textId="77777777" w:rsidR="00C91F30" w:rsidRPr="00D55BD7" w:rsidRDefault="00C91F30" w:rsidP="00C91F30">
      <w:pPr>
        <w:spacing w:line="360" w:lineRule="auto"/>
        <w:ind w:right="360"/>
        <w:rPr>
          <w:rFonts w:asciiTheme="minorHAnsi" w:hAnsiTheme="minorHAnsi" w:cstheme="minorHAnsi"/>
          <w:color w:val="404040" w:themeColor="text1" w:themeTint="BF"/>
          <w:szCs w:val="20"/>
        </w:rPr>
      </w:pPr>
    </w:p>
    <w:p w14:paraId="6EC3849F" w14:textId="77777777" w:rsidR="00C91F30" w:rsidRPr="00D55BD7" w:rsidRDefault="00C91F30" w:rsidP="00C91F30">
      <w:pPr>
        <w:spacing w:line="360" w:lineRule="auto"/>
        <w:ind w:right="360"/>
        <w:rPr>
          <w:rFonts w:asciiTheme="minorHAnsi" w:hAnsiTheme="minorHAnsi" w:cstheme="minorHAnsi"/>
          <w:color w:val="404040" w:themeColor="text1" w:themeTint="BF"/>
          <w:szCs w:val="20"/>
        </w:rPr>
      </w:pPr>
      <w:r>
        <w:rPr>
          <w:rFonts w:asciiTheme="minorHAnsi" w:hAnsiTheme="minorHAnsi" w:cstheme="minorHAnsi"/>
          <w:color w:val="404040" w:themeColor="text1" w:themeTint="BF"/>
          <w:szCs w:val="20"/>
        </w:rPr>
        <w:t xml:space="preserve">The City will continue to monitor and evaluate the goals in the Consolidated Plan. Much of this will be in relation to the new housing plan, </w:t>
      </w:r>
      <w:r w:rsidRPr="00D92FCD">
        <w:rPr>
          <w:rFonts w:asciiTheme="minorHAnsi" w:hAnsiTheme="minorHAnsi" w:cstheme="minorHAnsi"/>
          <w:i/>
          <w:color w:val="404040" w:themeColor="text1" w:themeTint="BF"/>
          <w:szCs w:val="20"/>
        </w:rPr>
        <w:t>Growing SLC</w:t>
      </w:r>
      <w:r>
        <w:rPr>
          <w:rFonts w:asciiTheme="minorHAnsi" w:hAnsiTheme="minorHAnsi" w:cstheme="minorHAnsi"/>
          <w:color w:val="404040" w:themeColor="text1" w:themeTint="BF"/>
          <w:szCs w:val="20"/>
        </w:rPr>
        <w:t xml:space="preserve">. Salt Lake City will use the information collected as part of the process to provide guidance and leverage CDBG funding to achieve the goals of both the Consolidated Plan and </w:t>
      </w:r>
      <w:r w:rsidRPr="00D92FCD">
        <w:rPr>
          <w:rFonts w:asciiTheme="minorHAnsi" w:hAnsiTheme="minorHAnsi" w:cstheme="minorHAnsi"/>
          <w:i/>
          <w:color w:val="404040" w:themeColor="text1" w:themeTint="BF"/>
          <w:szCs w:val="20"/>
        </w:rPr>
        <w:t>Growing SLC</w:t>
      </w:r>
      <w:r>
        <w:rPr>
          <w:rFonts w:asciiTheme="minorHAnsi" w:hAnsiTheme="minorHAnsi" w:cstheme="minorHAnsi"/>
          <w:color w:val="404040" w:themeColor="text1" w:themeTint="BF"/>
          <w:szCs w:val="20"/>
        </w:rPr>
        <w:t xml:space="preserve">.  </w:t>
      </w:r>
    </w:p>
    <w:p w14:paraId="5DC3C1F8" w14:textId="77777777" w:rsidR="00C91F30" w:rsidRPr="000F79D2" w:rsidRDefault="00C91F30" w:rsidP="00C91F30">
      <w:pPr>
        <w:spacing w:line="276" w:lineRule="auto"/>
        <w:ind w:right="360"/>
        <w:rPr>
          <w:rFonts w:asciiTheme="minorHAnsi" w:hAnsiTheme="minorHAnsi" w:cstheme="minorHAnsi"/>
          <w:color w:val="FF0000"/>
          <w:szCs w:val="20"/>
        </w:rPr>
      </w:pPr>
    </w:p>
    <w:p w14:paraId="39F52AD3" w14:textId="77777777" w:rsidR="00C91F30" w:rsidRDefault="00C91F30" w:rsidP="00C91F30">
      <w:pPr>
        <w:spacing w:line="276" w:lineRule="auto"/>
        <w:ind w:right="360"/>
        <w:rPr>
          <w:rFonts w:asciiTheme="minorHAnsi" w:hAnsiTheme="minorHAnsi" w:cstheme="minorHAnsi"/>
          <w:b/>
          <w:color w:val="FF0000"/>
          <w:szCs w:val="20"/>
        </w:rPr>
      </w:pPr>
    </w:p>
    <w:p w14:paraId="3E097E32" w14:textId="77777777" w:rsidR="000F79D2" w:rsidRPr="000F79D2" w:rsidRDefault="000F79D2" w:rsidP="00DA09CA">
      <w:pPr>
        <w:spacing w:line="276" w:lineRule="auto"/>
        <w:ind w:right="360"/>
        <w:rPr>
          <w:rFonts w:asciiTheme="minorHAnsi" w:hAnsiTheme="minorHAnsi" w:cstheme="minorHAnsi"/>
          <w:color w:val="FF0000"/>
          <w:szCs w:val="20"/>
        </w:rPr>
      </w:pPr>
    </w:p>
    <w:p w14:paraId="0D3B2C9E" w14:textId="77777777" w:rsidR="00F7751B" w:rsidRDefault="00F7751B" w:rsidP="00DA09CA">
      <w:pPr>
        <w:spacing w:line="276" w:lineRule="auto"/>
        <w:ind w:right="360"/>
        <w:rPr>
          <w:rFonts w:asciiTheme="minorHAnsi" w:hAnsiTheme="minorHAnsi" w:cstheme="minorHAnsi"/>
          <w:b/>
          <w:color w:val="FF0000"/>
          <w:szCs w:val="20"/>
        </w:rPr>
      </w:pPr>
    </w:p>
    <w:p w14:paraId="322B64D1" w14:textId="77777777" w:rsidR="00F7751B" w:rsidRDefault="00F7751B" w:rsidP="00DA09CA">
      <w:pPr>
        <w:spacing w:line="276" w:lineRule="auto"/>
        <w:ind w:right="360"/>
        <w:rPr>
          <w:rFonts w:asciiTheme="minorHAnsi" w:hAnsiTheme="minorHAnsi" w:cstheme="minorHAnsi"/>
          <w:b/>
          <w:color w:val="FF0000"/>
          <w:szCs w:val="20"/>
        </w:rPr>
      </w:pPr>
    </w:p>
    <w:p w14:paraId="45C78157" w14:textId="77777777" w:rsidR="00F7751B" w:rsidRDefault="00F7751B" w:rsidP="00DA09CA">
      <w:pPr>
        <w:spacing w:line="276" w:lineRule="auto"/>
        <w:ind w:right="360"/>
        <w:rPr>
          <w:rFonts w:asciiTheme="minorHAnsi" w:hAnsiTheme="minorHAnsi" w:cstheme="minorHAnsi"/>
          <w:b/>
          <w:color w:val="FF0000"/>
          <w:szCs w:val="20"/>
        </w:rPr>
      </w:pPr>
    </w:p>
    <w:p w14:paraId="11B9B12A" w14:textId="77777777" w:rsidR="00F7751B" w:rsidRDefault="00F7751B" w:rsidP="00DA09CA">
      <w:pPr>
        <w:spacing w:line="276" w:lineRule="auto"/>
        <w:ind w:right="360"/>
        <w:rPr>
          <w:rFonts w:asciiTheme="minorHAnsi" w:hAnsiTheme="minorHAnsi" w:cstheme="minorHAnsi"/>
          <w:b/>
          <w:color w:val="FF0000"/>
          <w:szCs w:val="20"/>
        </w:rPr>
      </w:pPr>
    </w:p>
    <w:p w14:paraId="1BCE4179" w14:textId="77777777" w:rsidR="00F7751B" w:rsidRDefault="00F7751B" w:rsidP="00DA09CA">
      <w:pPr>
        <w:spacing w:line="276" w:lineRule="auto"/>
        <w:ind w:right="360"/>
        <w:rPr>
          <w:rFonts w:asciiTheme="minorHAnsi" w:hAnsiTheme="minorHAnsi" w:cstheme="minorHAnsi"/>
          <w:b/>
          <w:color w:val="FF0000"/>
          <w:szCs w:val="20"/>
        </w:rPr>
      </w:pPr>
    </w:p>
    <w:p w14:paraId="52B26EAF" w14:textId="77777777" w:rsidR="000B6DFA" w:rsidRPr="00F7751B" w:rsidRDefault="000B6DFA" w:rsidP="000B6DFA">
      <w:pPr>
        <w:spacing w:line="276" w:lineRule="auto"/>
        <w:ind w:right="360"/>
        <w:rPr>
          <w:rFonts w:asciiTheme="minorHAnsi" w:hAnsiTheme="minorHAnsi" w:cstheme="minorHAnsi"/>
          <w:i/>
          <w:color w:val="1F497D" w:themeColor="text2"/>
          <w:sz w:val="18"/>
          <w:szCs w:val="18"/>
        </w:rPr>
      </w:pPr>
      <w:r>
        <w:rPr>
          <w:rFonts w:asciiTheme="minorHAnsi" w:hAnsiTheme="minorHAnsi" w:cstheme="minorHAnsi"/>
          <w:b/>
          <w:color w:val="FF0000"/>
          <w:szCs w:val="20"/>
        </w:rPr>
        <w:br w:type="page"/>
      </w:r>
      <w:r w:rsidRPr="009629AD">
        <w:rPr>
          <w:rFonts w:asciiTheme="minorHAnsi" w:hAnsiTheme="minorHAnsi" w:cstheme="minorHAnsi"/>
          <w:noProof/>
          <w:color w:val="1F497D" w:themeColor="text2"/>
          <w:sz w:val="24"/>
        </w:rPr>
        <mc:AlternateContent>
          <mc:Choice Requires="wps">
            <w:drawing>
              <wp:anchor distT="0" distB="0" distL="114300" distR="114300" simplePos="0" relativeHeight="251749376" behindDoc="0" locked="0" layoutInCell="1" allowOverlap="1" wp14:anchorId="2B8E78D9" wp14:editId="13BED867">
                <wp:simplePos x="0" y="0"/>
                <wp:positionH relativeFrom="column">
                  <wp:posOffset>-190500</wp:posOffset>
                </wp:positionH>
                <wp:positionV relativeFrom="paragraph">
                  <wp:posOffset>-38100</wp:posOffset>
                </wp:positionV>
                <wp:extent cx="6779895" cy="635"/>
                <wp:effectExtent l="9525" t="9525" r="11430" b="8890"/>
                <wp:wrapNone/>
                <wp:docPr id="4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989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BAEA26" id="AutoShape 15" o:spid="_x0000_s1026" type="#_x0000_t32" style="position:absolute;margin-left:-15pt;margin-top:-3pt;width:533.85pt;height:.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" strokecolor="#548dd4"/>
            </w:pict>
          </mc:Fallback>
        </mc:AlternateContent>
      </w:r>
      <w:r w:rsidRPr="009629AD">
        <w:rPr>
          <w:rFonts w:asciiTheme="minorHAnsi" w:hAnsiTheme="minorHAnsi" w:cstheme="minorHAnsi"/>
          <w:b/>
          <w:color w:val="1F497D" w:themeColor="text2"/>
          <w:sz w:val="24"/>
        </w:rPr>
        <w:t>CR-</w:t>
      </w:r>
      <w:r>
        <w:rPr>
          <w:rFonts w:asciiTheme="minorHAnsi" w:hAnsiTheme="minorHAnsi" w:cstheme="minorHAnsi"/>
          <w:b/>
          <w:color w:val="1F497D" w:themeColor="text2"/>
          <w:sz w:val="24"/>
        </w:rPr>
        <w:t xml:space="preserve">50 HOME </w:t>
      </w:r>
      <w:r>
        <w:rPr>
          <w:rFonts w:asciiTheme="minorHAnsi" w:hAnsiTheme="minorHAnsi" w:cstheme="minorHAnsi"/>
          <w:i/>
          <w:color w:val="1F497D" w:themeColor="text2"/>
          <w:sz w:val="18"/>
          <w:szCs w:val="18"/>
        </w:rPr>
        <w:t xml:space="preserve">– 91.520 (d) </w:t>
      </w:r>
    </w:p>
    <w:p w14:paraId="224D2477" w14:textId="77777777" w:rsidR="00F7751B" w:rsidRDefault="00F7751B" w:rsidP="00DA09CA">
      <w:pPr>
        <w:spacing w:line="276" w:lineRule="auto"/>
        <w:ind w:right="360"/>
        <w:rPr>
          <w:rFonts w:asciiTheme="minorHAnsi" w:hAnsiTheme="minorHAnsi" w:cstheme="minorHAnsi"/>
          <w:b/>
          <w:color w:val="FF0000"/>
          <w:szCs w:val="20"/>
        </w:rPr>
      </w:pPr>
    </w:p>
    <w:p w14:paraId="12B48656" w14:textId="77777777" w:rsidR="00C91F30" w:rsidRPr="00735B21" w:rsidRDefault="00C91F30" w:rsidP="00C91F30">
      <w:pPr>
        <w:spacing w:line="276" w:lineRule="auto"/>
        <w:ind w:right="360"/>
        <w:rPr>
          <w:rFonts w:asciiTheme="minorHAnsi" w:hAnsiTheme="minorHAnsi" w:cstheme="minorHAnsi"/>
          <w:b/>
          <w:color w:val="404040" w:themeColor="text1" w:themeTint="BF"/>
          <w:szCs w:val="20"/>
        </w:rPr>
      </w:pPr>
      <w:r w:rsidRPr="00735B21">
        <w:rPr>
          <w:rFonts w:asciiTheme="minorHAnsi" w:hAnsiTheme="minorHAnsi" w:cstheme="minorHAnsi"/>
          <w:b/>
          <w:color w:val="404040" w:themeColor="text1" w:themeTint="BF"/>
          <w:szCs w:val="20"/>
        </w:rPr>
        <w:t>Include the results of on-site inspections of affordable rental housing assisted under the program to determine compliance with housing codes and other applicable regulations.</w:t>
      </w:r>
    </w:p>
    <w:p w14:paraId="3292531B" w14:textId="77777777" w:rsidR="00C91F30" w:rsidRPr="00735B21" w:rsidRDefault="00C91F30" w:rsidP="00C91F30">
      <w:pPr>
        <w:spacing w:line="276" w:lineRule="auto"/>
        <w:ind w:right="360"/>
        <w:rPr>
          <w:rFonts w:asciiTheme="minorHAnsi" w:hAnsiTheme="minorHAnsi" w:cstheme="minorHAnsi"/>
          <w:b/>
          <w:color w:val="404040" w:themeColor="text1" w:themeTint="BF"/>
          <w:szCs w:val="20"/>
        </w:rPr>
      </w:pPr>
    </w:p>
    <w:p w14:paraId="328AFFB0" w14:textId="77777777" w:rsidR="00C91F30" w:rsidRPr="00735B21" w:rsidRDefault="00C91F30" w:rsidP="00C91F30">
      <w:pPr>
        <w:spacing w:line="276" w:lineRule="auto"/>
        <w:ind w:right="360"/>
        <w:rPr>
          <w:rFonts w:asciiTheme="minorHAnsi" w:hAnsiTheme="minorHAnsi" w:cstheme="minorHAnsi"/>
          <w:b/>
          <w:i/>
          <w:color w:val="404040" w:themeColor="text1" w:themeTint="BF"/>
          <w:szCs w:val="20"/>
        </w:rPr>
      </w:pPr>
      <w:r w:rsidRPr="00735B21">
        <w:rPr>
          <w:rFonts w:asciiTheme="minorHAnsi" w:hAnsiTheme="minorHAnsi" w:cstheme="minorHAnsi"/>
          <w:b/>
          <w:i/>
          <w:color w:val="404040" w:themeColor="text1" w:themeTint="BF"/>
          <w:szCs w:val="20"/>
        </w:rPr>
        <w:t>List those projects that should have been inspected on-site this program year based upon the schedule in 92.504(d). Indicate which of these were inspected and a summary of issues that were detected during the inspection. For those that were not inspected, please indicate the reason and how the City will remedy the situation.</w:t>
      </w:r>
    </w:p>
    <w:p w14:paraId="197FC45A" w14:textId="77777777" w:rsidR="00C91F30" w:rsidRPr="00735B21" w:rsidRDefault="00C91F30" w:rsidP="00C91F30">
      <w:pPr>
        <w:spacing w:line="360" w:lineRule="auto"/>
        <w:ind w:right="360"/>
        <w:rPr>
          <w:rFonts w:asciiTheme="minorHAnsi" w:hAnsiTheme="minorHAnsi" w:cstheme="minorHAnsi"/>
          <w:b/>
          <w:color w:val="404040" w:themeColor="text1" w:themeTint="BF"/>
          <w:szCs w:val="20"/>
        </w:rPr>
      </w:pPr>
    </w:p>
    <w:p w14:paraId="559C7A20" w14:textId="77777777" w:rsidR="00C91F30" w:rsidRPr="00735B21" w:rsidRDefault="00C91F30" w:rsidP="00C91F30">
      <w:pPr>
        <w:spacing w:line="360" w:lineRule="auto"/>
        <w:ind w:right="360"/>
        <w:rPr>
          <w:rFonts w:asciiTheme="minorHAnsi" w:hAnsiTheme="minorHAnsi"/>
          <w:bCs/>
          <w:color w:val="404040" w:themeColor="text1" w:themeTint="BF"/>
          <w:szCs w:val="20"/>
        </w:rPr>
      </w:pPr>
      <w:r w:rsidRPr="00735B21">
        <w:rPr>
          <w:rFonts w:asciiTheme="minorHAnsi" w:hAnsiTheme="minorHAnsi"/>
          <w:bCs/>
          <w:color w:val="404040" w:themeColor="text1" w:themeTint="BF"/>
          <w:szCs w:val="20"/>
        </w:rPr>
        <w:t>Each year, Salt Lake City arranges to do a file review and a physical onsite inspection of affordable rental housing. The property visited is determined by the HOME regulations in terms of affordability period and the funds invested in each property. For the 2017-2018 year, the City was required to conduct on-site inspections of three properties. The City conducted an assessment of three properties, listed below. The on-site inspection and monitoring included a review of how residents are selected, affirmative marketing plans, accessibility, lease agreements; client files for income certification, visual inspections, as well a review of the interior and exterior physical conditions, maintenance and upkeep of the premises.</w:t>
      </w:r>
    </w:p>
    <w:p w14:paraId="6F05F7C3" w14:textId="77777777" w:rsidR="00C91F30" w:rsidRPr="00735B21" w:rsidRDefault="00C91F30" w:rsidP="00C91F30">
      <w:pPr>
        <w:spacing w:line="360" w:lineRule="auto"/>
        <w:ind w:right="360"/>
        <w:rPr>
          <w:rFonts w:asciiTheme="minorHAnsi" w:hAnsiTheme="minorHAnsi"/>
          <w:b/>
          <w:bCs/>
          <w:color w:val="404040" w:themeColor="text1" w:themeTint="BF"/>
          <w:szCs w:val="20"/>
        </w:rPr>
      </w:pPr>
    </w:p>
    <w:p w14:paraId="52FEE162" w14:textId="77777777" w:rsidR="00C91F30" w:rsidRPr="00735B21" w:rsidRDefault="00C91F30" w:rsidP="00C91F30">
      <w:pPr>
        <w:spacing w:line="360" w:lineRule="auto"/>
        <w:ind w:right="360"/>
        <w:rPr>
          <w:rFonts w:asciiTheme="minorHAnsi" w:hAnsiTheme="minorHAnsi"/>
          <w:bCs/>
          <w:color w:val="404040" w:themeColor="text1" w:themeTint="BF"/>
          <w:szCs w:val="20"/>
        </w:rPr>
      </w:pPr>
      <w:r w:rsidRPr="00735B21">
        <w:rPr>
          <w:rFonts w:asciiTheme="minorHAnsi" w:hAnsiTheme="minorHAnsi"/>
          <w:bCs/>
          <w:color w:val="404040" w:themeColor="text1" w:themeTint="BF"/>
          <w:szCs w:val="20"/>
        </w:rPr>
        <w:t>Typically a minimum of ten percent of the files were monitored and inspected for each project. The properties that were monitored and inspected are as follows:</w:t>
      </w:r>
    </w:p>
    <w:p w14:paraId="17195C06" w14:textId="77777777" w:rsidR="00C91F30" w:rsidRPr="00735B21" w:rsidRDefault="00C91F30" w:rsidP="00C91F30">
      <w:pPr>
        <w:spacing w:line="360" w:lineRule="auto"/>
        <w:ind w:right="360"/>
        <w:rPr>
          <w:rFonts w:asciiTheme="minorHAnsi" w:hAnsiTheme="minorHAnsi"/>
          <w:b/>
          <w:bCs/>
          <w:color w:val="404040" w:themeColor="text1" w:themeTint="BF"/>
          <w:szCs w:val="20"/>
        </w:rPr>
      </w:pPr>
    </w:p>
    <w:p w14:paraId="42EC097A" w14:textId="77777777" w:rsidR="00C91F30" w:rsidRPr="00735B21" w:rsidRDefault="00C91F30" w:rsidP="00C91F30">
      <w:pPr>
        <w:numPr>
          <w:ilvl w:val="0"/>
          <w:numId w:val="21"/>
        </w:numPr>
        <w:spacing w:line="360" w:lineRule="auto"/>
        <w:ind w:right="360"/>
        <w:contextualSpacing/>
        <w:rPr>
          <w:rFonts w:asciiTheme="minorHAnsi" w:hAnsiTheme="minorHAnsi"/>
          <w:bCs/>
          <w:color w:val="404040" w:themeColor="text1" w:themeTint="BF"/>
          <w:szCs w:val="20"/>
        </w:rPr>
      </w:pPr>
      <w:r w:rsidRPr="00735B21">
        <w:rPr>
          <w:rFonts w:asciiTheme="minorHAnsi" w:hAnsiTheme="minorHAnsi"/>
          <w:bCs/>
          <w:color w:val="404040" w:themeColor="text1" w:themeTint="BF"/>
          <w:szCs w:val="20"/>
        </w:rPr>
        <w:t>Lowell Apartments</w:t>
      </w:r>
      <w:r w:rsidRPr="00735B21">
        <w:rPr>
          <w:rFonts w:asciiTheme="minorHAnsi" w:hAnsiTheme="minorHAnsi"/>
          <w:bCs/>
          <w:color w:val="404040" w:themeColor="text1" w:themeTint="BF"/>
          <w:szCs w:val="20"/>
        </w:rPr>
        <w:tab/>
      </w:r>
      <w:r w:rsidRPr="00735B21">
        <w:rPr>
          <w:rFonts w:asciiTheme="minorHAnsi" w:hAnsiTheme="minorHAnsi"/>
          <w:bCs/>
          <w:color w:val="404040" w:themeColor="text1" w:themeTint="BF"/>
          <w:szCs w:val="20"/>
        </w:rPr>
        <w:tab/>
      </w:r>
      <w:r w:rsidRPr="00735B21">
        <w:rPr>
          <w:rFonts w:asciiTheme="minorHAnsi" w:hAnsiTheme="minorHAnsi"/>
          <w:bCs/>
          <w:color w:val="404040" w:themeColor="text1" w:themeTint="BF"/>
          <w:szCs w:val="20"/>
        </w:rPr>
        <w:tab/>
        <w:t>746 South 200 East</w:t>
      </w:r>
    </w:p>
    <w:p w14:paraId="7434691B" w14:textId="77777777" w:rsidR="00C91F30" w:rsidRPr="00735B21" w:rsidRDefault="00C91F30" w:rsidP="00C91F30">
      <w:pPr>
        <w:numPr>
          <w:ilvl w:val="0"/>
          <w:numId w:val="21"/>
        </w:numPr>
        <w:spacing w:line="360" w:lineRule="auto"/>
        <w:ind w:right="360"/>
        <w:contextualSpacing/>
        <w:rPr>
          <w:rFonts w:asciiTheme="minorHAnsi" w:hAnsiTheme="minorHAnsi"/>
          <w:bCs/>
          <w:color w:val="404040" w:themeColor="text1" w:themeTint="BF"/>
          <w:szCs w:val="20"/>
        </w:rPr>
      </w:pPr>
      <w:r w:rsidRPr="00735B21">
        <w:rPr>
          <w:rFonts w:asciiTheme="minorHAnsi" w:hAnsiTheme="minorHAnsi"/>
          <w:bCs/>
          <w:color w:val="404040" w:themeColor="text1" w:themeTint="BF"/>
          <w:szCs w:val="20"/>
        </w:rPr>
        <w:t>Sedona Apartments</w:t>
      </w:r>
      <w:r w:rsidRPr="00735B21">
        <w:rPr>
          <w:rFonts w:asciiTheme="minorHAnsi" w:hAnsiTheme="minorHAnsi"/>
          <w:bCs/>
          <w:color w:val="404040" w:themeColor="text1" w:themeTint="BF"/>
          <w:szCs w:val="20"/>
        </w:rPr>
        <w:tab/>
      </w:r>
      <w:r w:rsidRPr="00735B21">
        <w:rPr>
          <w:rFonts w:asciiTheme="minorHAnsi" w:hAnsiTheme="minorHAnsi"/>
          <w:bCs/>
          <w:color w:val="404040" w:themeColor="text1" w:themeTint="BF"/>
          <w:szCs w:val="20"/>
        </w:rPr>
        <w:tab/>
      </w:r>
      <w:r w:rsidRPr="00735B21">
        <w:rPr>
          <w:rFonts w:asciiTheme="minorHAnsi" w:hAnsiTheme="minorHAnsi"/>
          <w:bCs/>
          <w:color w:val="404040" w:themeColor="text1" w:themeTint="BF"/>
          <w:szCs w:val="20"/>
        </w:rPr>
        <w:tab/>
        <w:t>562 West 200 North</w:t>
      </w:r>
    </w:p>
    <w:p w14:paraId="19B11E35" w14:textId="77777777" w:rsidR="00C91F30" w:rsidRPr="00735B21" w:rsidRDefault="00C91F30" w:rsidP="00C91F30">
      <w:pPr>
        <w:numPr>
          <w:ilvl w:val="0"/>
          <w:numId w:val="21"/>
        </w:numPr>
        <w:spacing w:line="360" w:lineRule="auto"/>
        <w:ind w:right="360"/>
        <w:contextualSpacing/>
        <w:rPr>
          <w:rFonts w:asciiTheme="minorHAnsi" w:hAnsiTheme="minorHAnsi"/>
          <w:bCs/>
          <w:color w:val="404040" w:themeColor="text1" w:themeTint="BF"/>
          <w:szCs w:val="20"/>
        </w:rPr>
      </w:pPr>
      <w:r w:rsidRPr="00735B21">
        <w:rPr>
          <w:rFonts w:asciiTheme="minorHAnsi" w:hAnsiTheme="minorHAnsi"/>
          <w:bCs/>
          <w:color w:val="404040" w:themeColor="text1" w:themeTint="BF"/>
          <w:szCs w:val="20"/>
        </w:rPr>
        <w:t>Young Men’s Transitional House</w:t>
      </w:r>
      <w:r w:rsidRPr="00735B21">
        <w:rPr>
          <w:rFonts w:asciiTheme="minorHAnsi" w:hAnsiTheme="minorHAnsi"/>
          <w:bCs/>
          <w:color w:val="404040" w:themeColor="text1" w:themeTint="BF"/>
          <w:szCs w:val="20"/>
        </w:rPr>
        <w:tab/>
      </w:r>
      <w:r w:rsidRPr="00735B21">
        <w:rPr>
          <w:rFonts w:asciiTheme="minorHAnsi" w:hAnsiTheme="minorHAnsi"/>
          <w:bCs/>
          <w:color w:val="404040" w:themeColor="text1" w:themeTint="BF"/>
          <w:szCs w:val="20"/>
        </w:rPr>
        <w:tab/>
        <w:t>556 South 500 East</w:t>
      </w:r>
    </w:p>
    <w:p w14:paraId="3AE09239" w14:textId="77777777" w:rsidR="00C91F30" w:rsidRPr="00735B21" w:rsidRDefault="00C91F30" w:rsidP="00C91F30">
      <w:pPr>
        <w:spacing w:line="360" w:lineRule="auto"/>
        <w:ind w:right="360"/>
        <w:rPr>
          <w:rFonts w:asciiTheme="minorHAnsi" w:hAnsiTheme="minorHAnsi"/>
          <w:b/>
          <w:bCs/>
          <w:color w:val="404040" w:themeColor="text1" w:themeTint="BF"/>
          <w:szCs w:val="20"/>
        </w:rPr>
      </w:pPr>
    </w:p>
    <w:p w14:paraId="54566CAC" w14:textId="77777777" w:rsidR="00C91F30" w:rsidRPr="00735B21" w:rsidRDefault="00C91F30" w:rsidP="00C91F30">
      <w:pPr>
        <w:spacing w:line="360" w:lineRule="auto"/>
        <w:ind w:right="360"/>
        <w:rPr>
          <w:rFonts w:asciiTheme="minorHAnsi" w:hAnsiTheme="minorHAnsi"/>
          <w:color w:val="404040" w:themeColor="text1" w:themeTint="BF"/>
          <w:szCs w:val="20"/>
        </w:rPr>
      </w:pPr>
      <w:r w:rsidRPr="00735B21">
        <w:rPr>
          <w:rFonts w:asciiTheme="minorHAnsi" w:hAnsiTheme="minorHAnsi"/>
          <w:color w:val="404040" w:themeColor="text1" w:themeTint="BF"/>
          <w:szCs w:val="20"/>
        </w:rPr>
        <w:t>The primary purpose of reviewing the tenant files was to ensure that both the tenant and property owner sign all required documents and to verify that income certifications are being done annually. Lease agreements were reviewed for compliance with HOME requirements, to ensure that tenants are income-eligible, and that income is properly documented. Finally, the City looks to ensure that rents being charged do not exceed program guidelines.</w:t>
      </w:r>
    </w:p>
    <w:p w14:paraId="1293E5C4" w14:textId="77777777" w:rsidR="00C91F30" w:rsidRPr="00735B21" w:rsidRDefault="00C91F30" w:rsidP="00C91F30">
      <w:pPr>
        <w:spacing w:line="360" w:lineRule="auto"/>
        <w:ind w:right="360"/>
        <w:rPr>
          <w:rFonts w:asciiTheme="minorHAnsi" w:hAnsiTheme="minorHAnsi"/>
          <w:b/>
          <w:bCs/>
          <w:color w:val="404040" w:themeColor="text1" w:themeTint="BF"/>
          <w:szCs w:val="20"/>
        </w:rPr>
      </w:pPr>
    </w:p>
    <w:p w14:paraId="4EE25D87" w14:textId="77777777" w:rsidR="00C91F30" w:rsidRPr="00735B21" w:rsidRDefault="00C91F30" w:rsidP="00C91F30">
      <w:pPr>
        <w:spacing w:line="360" w:lineRule="auto"/>
        <w:ind w:right="360"/>
        <w:rPr>
          <w:rFonts w:asciiTheme="minorHAnsi" w:hAnsiTheme="minorHAnsi"/>
          <w:color w:val="404040" w:themeColor="text1" w:themeTint="BF"/>
          <w:szCs w:val="20"/>
        </w:rPr>
      </w:pPr>
      <w:r w:rsidRPr="00735B21">
        <w:rPr>
          <w:rFonts w:asciiTheme="minorHAnsi" w:hAnsiTheme="minorHAnsi"/>
          <w:color w:val="404040" w:themeColor="text1" w:themeTint="BF"/>
          <w:szCs w:val="20"/>
        </w:rPr>
        <w:t>City staff also reviewed Fair Housing Marketing Plans that include all efforts for outreach with other nonprofit organizations, housing authorities and social service agencies to fill vacancies. Because the housing projects may serve special populations, the majority of prospective tenants are referred by agencies that provide case management for their clientele. Contact with referring agencies is done on a regular basis, or whenever a unit/apartment becomes vacant. On-site signage is also used for advertising and City staff ensures that signs include the Fair Housing and Equal Opportunity logos.</w:t>
      </w:r>
    </w:p>
    <w:p w14:paraId="5D2AEF44" w14:textId="77777777" w:rsidR="00C91F30" w:rsidRPr="00735B21" w:rsidRDefault="00C91F30" w:rsidP="00C91F30">
      <w:pPr>
        <w:spacing w:line="360" w:lineRule="auto"/>
        <w:ind w:right="360"/>
        <w:rPr>
          <w:rFonts w:asciiTheme="minorHAnsi" w:hAnsiTheme="minorHAnsi"/>
          <w:b/>
          <w:bCs/>
          <w:color w:val="404040" w:themeColor="text1" w:themeTint="BF"/>
          <w:szCs w:val="20"/>
        </w:rPr>
      </w:pPr>
    </w:p>
    <w:p w14:paraId="5329DAC5" w14:textId="77777777" w:rsidR="00C91F30" w:rsidRPr="00735B21" w:rsidRDefault="00C91F30" w:rsidP="00C91F30">
      <w:pPr>
        <w:spacing w:line="360" w:lineRule="auto"/>
        <w:ind w:right="360"/>
        <w:rPr>
          <w:rFonts w:asciiTheme="minorHAnsi" w:hAnsiTheme="minorHAnsi"/>
          <w:b/>
          <w:bCs/>
          <w:color w:val="404040" w:themeColor="text1" w:themeTint="BF"/>
          <w:szCs w:val="20"/>
        </w:rPr>
      </w:pPr>
      <w:r w:rsidRPr="00735B21">
        <w:rPr>
          <w:rFonts w:asciiTheme="minorHAnsi" w:hAnsiTheme="minorHAnsi"/>
          <w:color w:val="404040" w:themeColor="text1" w:themeTint="BF"/>
          <w:szCs w:val="20"/>
        </w:rPr>
        <w:t>The primary purpose of doing an on-site inspection is to ensure that the physical property, including the buildings and rental units, is maintained according to Salt Lake City Residential Building Code and that the property is free of hazards. All of this is in an effort to ensure that those residents living on these premises are housed in a clean, safe and decent living environment.</w:t>
      </w:r>
    </w:p>
    <w:p w14:paraId="07BA93F5" w14:textId="77777777" w:rsidR="00C91F30" w:rsidRPr="00735B21" w:rsidRDefault="00C91F30" w:rsidP="00C91F30">
      <w:pPr>
        <w:spacing w:line="360" w:lineRule="auto"/>
        <w:ind w:right="360"/>
        <w:rPr>
          <w:rFonts w:asciiTheme="minorHAnsi" w:hAnsiTheme="minorHAnsi"/>
          <w:color w:val="404040" w:themeColor="text1" w:themeTint="BF"/>
          <w:szCs w:val="20"/>
        </w:rPr>
      </w:pPr>
    </w:p>
    <w:p w14:paraId="1BCAD00F" w14:textId="77777777" w:rsidR="00C91F30" w:rsidRPr="00735B21" w:rsidRDefault="00C91F30" w:rsidP="00C91F30">
      <w:pPr>
        <w:spacing w:line="360" w:lineRule="auto"/>
        <w:ind w:right="360"/>
        <w:rPr>
          <w:rFonts w:asciiTheme="minorHAnsi" w:hAnsiTheme="minorHAnsi"/>
          <w:color w:val="404040" w:themeColor="text1" w:themeTint="BF"/>
          <w:szCs w:val="20"/>
        </w:rPr>
      </w:pPr>
      <w:r w:rsidRPr="00735B21">
        <w:rPr>
          <w:rFonts w:asciiTheme="minorHAnsi" w:hAnsiTheme="minorHAnsi"/>
          <w:color w:val="404040" w:themeColor="text1" w:themeTint="BF"/>
          <w:szCs w:val="20"/>
        </w:rPr>
        <w:t xml:space="preserve">The City sends monitoring results within sixty days of the audit to the project owner. If issues arise that need to be addressed, the apartment owner is provided up to 30 days to bring the units into compliance. The length of time is dependent upon the severity of the issues identified. The City requires that the property owner submit a letter indicating that all findings have been addressed with proof of work completed. This may be in the form of maintenance work orders, invoices, payments, </w:t>
      </w:r>
      <w:r>
        <w:rPr>
          <w:rFonts w:asciiTheme="minorHAnsi" w:hAnsiTheme="minorHAnsi"/>
          <w:color w:val="404040" w:themeColor="text1" w:themeTint="BF"/>
          <w:szCs w:val="20"/>
        </w:rPr>
        <w:t>or photographs of corrected deficiencies approved by a member of the City’s inspection team.</w:t>
      </w:r>
    </w:p>
    <w:p w14:paraId="4E9C8FD0" w14:textId="77777777" w:rsidR="00C91F30" w:rsidRPr="00735B21" w:rsidRDefault="00C91F30" w:rsidP="00C91F30">
      <w:pPr>
        <w:spacing w:line="360" w:lineRule="auto"/>
        <w:ind w:right="360"/>
        <w:rPr>
          <w:rFonts w:asciiTheme="minorHAnsi" w:hAnsiTheme="minorHAnsi"/>
          <w:color w:val="404040" w:themeColor="text1" w:themeTint="BF"/>
          <w:szCs w:val="20"/>
        </w:rPr>
      </w:pPr>
    </w:p>
    <w:p w14:paraId="6745F986" w14:textId="77777777" w:rsidR="00C91F30" w:rsidRPr="00735B21" w:rsidRDefault="00C91F30" w:rsidP="00C91F30">
      <w:pPr>
        <w:autoSpaceDE w:val="0"/>
        <w:autoSpaceDN w:val="0"/>
        <w:adjustRightInd w:val="0"/>
        <w:spacing w:line="360" w:lineRule="auto"/>
        <w:rPr>
          <w:rFonts w:asciiTheme="minorHAnsi" w:hAnsiTheme="minorHAnsi"/>
          <w:bCs/>
          <w:i/>
          <w:color w:val="404040" w:themeColor="text1" w:themeTint="BF"/>
          <w:szCs w:val="20"/>
          <w:u w:val="single"/>
        </w:rPr>
      </w:pPr>
      <w:r w:rsidRPr="00735B21">
        <w:rPr>
          <w:rFonts w:asciiTheme="minorHAnsi" w:hAnsiTheme="minorHAnsi"/>
          <w:bCs/>
          <w:i/>
          <w:color w:val="404040" w:themeColor="text1" w:themeTint="BF"/>
          <w:szCs w:val="20"/>
          <w:u w:val="single"/>
        </w:rPr>
        <w:t xml:space="preserve">Utah Nonprofit Housing Corporation (UNPHC) </w:t>
      </w:r>
    </w:p>
    <w:p w14:paraId="02827727" w14:textId="77777777" w:rsidR="00C91F30" w:rsidRPr="00735B21" w:rsidRDefault="00C91F30" w:rsidP="00C91F30">
      <w:pPr>
        <w:spacing w:line="360" w:lineRule="auto"/>
        <w:ind w:right="360"/>
        <w:rPr>
          <w:rFonts w:asciiTheme="minorHAnsi" w:hAnsiTheme="minorHAnsi"/>
          <w:color w:val="404040" w:themeColor="text1" w:themeTint="BF"/>
          <w:szCs w:val="20"/>
        </w:rPr>
      </w:pPr>
      <w:r w:rsidRPr="00735B21">
        <w:rPr>
          <w:rFonts w:asciiTheme="minorHAnsi" w:hAnsiTheme="minorHAnsi"/>
          <w:color w:val="404040" w:themeColor="text1" w:themeTint="BF"/>
          <w:szCs w:val="20"/>
        </w:rPr>
        <w:t>UNPHC owns and manages the following properties: Lowell Apartments and Sedona Apartments. All properties have access to the same computer programs and forms are uniform at each property. As in years past, UNPHC holds training meetings on a regular basis for their property managers. They also ensure that appropriate personnel attend federal award training to ensure compliance throughout their properties.</w:t>
      </w:r>
    </w:p>
    <w:p w14:paraId="6221D51A" w14:textId="77777777" w:rsidR="00C91F30" w:rsidRPr="00735B21" w:rsidRDefault="00C91F30" w:rsidP="00C91F30">
      <w:pPr>
        <w:spacing w:line="360" w:lineRule="auto"/>
        <w:ind w:right="360"/>
        <w:rPr>
          <w:rFonts w:asciiTheme="minorHAnsi" w:hAnsiTheme="minorHAnsi"/>
          <w:color w:val="404040" w:themeColor="text1" w:themeTint="BF"/>
          <w:szCs w:val="20"/>
        </w:rPr>
      </w:pPr>
    </w:p>
    <w:p w14:paraId="46F940A8" w14:textId="77777777" w:rsidR="00C91F30" w:rsidRPr="00735B21" w:rsidRDefault="00C91F30" w:rsidP="00C91F30">
      <w:pPr>
        <w:spacing w:line="360" w:lineRule="auto"/>
        <w:ind w:left="720" w:right="360"/>
        <w:rPr>
          <w:rFonts w:asciiTheme="minorHAnsi" w:hAnsiTheme="minorHAnsi"/>
          <w:i/>
          <w:color w:val="404040" w:themeColor="text1" w:themeTint="BF"/>
          <w:szCs w:val="20"/>
          <w:u w:val="single"/>
        </w:rPr>
      </w:pPr>
      <w:r w:rsidRPr="00735B21">
        <w:rPr>
          <w:rFonts w:asciiTheme="minorHAnsi" w:hAnsiTheme="minorHAnsi"/>
          <w:i/>
          <w:color w:val="404040" w:themeColor="text1" w:themeTint="BF"/>
          <w:szCs w:val="20"/>
          <w:u w:val="single"/>
        </w:rPr>
        <w:t>Lowell Tenant Files:</w:t>
      </w:r>
    </w:p>
    <w:p w14:paraId="63324153" w14:textId="77777777" w:rsidR="00C91F30" w:rsidRPr="00735B21" w:rsidRDefault="00C91F30" w:rsidP="00C91F30">
      <w:pPr>
        <w:spacing w:line="360" w:lineRule="auto"/>
        <w:ind w:left="720" w:right="360"/>
        <w:rPr>
          <w:rFonts w:asciiTheme="minorHAnsi" w:hAnsiTheme="minorHAnsi"/>
          <w:i/>
          <w:color w:val="404040" w:themeColor="text1" w:themeTint="BF"/>
          <w:szCs w:val="20"/>
          <w:u w:val="single"/>
        </w:rPr>
      </w:pPr>
      <w:r w:rsidRPr="00735B21">
        <w:rPr>
          <w:rFonts w:asciiTheme="minorHAnsi" w:hAnsiTheme="minorHAnsi"/>
          <w:color w:val="404040" w:themeColor="text1" w:themeTint="BF"/>
          <w:szCs w:val="20"/>
        </w:rPr>
        <w:t xml:space="preserve">This property has eighty-one units. Of these units, eighty-one fixed units include HOME funding.  During the previous year’s monitoring, Salt Lake City and UNPHC determined that future monitoring visits would focus on files created within the last two years; this was due to the extensive file issues from previous property management that could not be feasibly corrected. A total of eight files were selected to be monitored and reviewed for consistency and accuracy with three of the files exhibiting compliance issues. Three files were missing signed HOME addendums. The three files missing signed HOME addendums were files from May 2016 or earlier. All files reviewed created after June 2016 contained signed HOME addendums. After discussing current policies and procedures with the current property management team, Salt Lake City is satisfied that all prior year file issues have been addressed and will not reoccur moving forward. </w:t>
      </w:r>
    </w:p>
    <w:p w14:paraId="1A00F442" w14:textId="77777777" w:rsidR="00C91F30" w:rsidRPr="00735B21" w:rsidRDefault="00C91F30" w:rsidP="00C91F30">
      <w:pPr>
        <w:spacing w:line="360" w:lineRule="auto"/>
        <w:ind w:left="720" w:right="360"/>
        <w:rPr>
          <w:rFonts w:asciiTheme="minorHAnsi" w:hAnsiTheme="minorHAnsi"/>
          <w:i/>
          <w:color w:val="404040" w:themeColor="text1" w:themeTint="BF"/>
          <w:szCs w:val="20"/>
          <w:u w:val="single"/>
        </w:rPr>
      </w:pPr>
    </w:p>
    <w:p w14:paraId="31A7390E" w14:textId="77777777" w:rsidR="00C91F30" w:rsidRPr="00735B21" w:rsidRDefault="00C91F30" w:rsidP="00C91F30">
      <w:pPr>
        <w:spacing w:line="360" w:lineRule="auto"/>
        <w:ind w:left="720" w:right="360"/>
        <w:rPr>
          <w:rFonts w:asciiTheme="minorHAnsi" w:hAnsiTheme="minorHAnsi"/>
          <w:i/>
          <w:color w:val="404040" w:themeColor="text1" w:themeTint="BF"/>
          <w:szCs w:val="20"/>
          <w:u w:val="single"/>
        </w:rPr>
      </w:pPr>
      <w:r w:rsidRPr="00735B21">
        <w:rPr>
          <w:rFonts w:asciiTheme="minorHAnsi" w:hAnsiTheme="minorHAnsi"/>
          <w:i/>
          <w:color w:val="404040" w:themeColor="text1" w:themeTint="BF"/>
          <w:szCs w:val="20"/>
          <w:u w:val="single"/>
        </w:rPr>
        <w:t>Lowell On-Site Inspection:</w:t>
      </w:r>
    </w:p>
    <w:p w14:paraId="7744A6F3" w14:textId="77777777" w:rsidR="00C91F30" w:rsidRPr="00735B21" w:rsidRDefault="00C91F30" w:rsidP="00C91F30">
      <w:pPr>
        <w:spacing w:line="360" w:lineRule="auto"/>
        <w:ind w:left="720" w:right="360"/>
        <w:rPr>
          <w:rFonts w:asciiTheme="minorHAnsi" w:hAnsiTheme="minorHAnsi"/>
          <w:color w:val="404040" w:themeColor="text1" w:themeTint="BF"/>
          <w:szCs w:val="20"/>
        </w:rPr>
      </w:pPr>
      <w:r w:rsidRPr="00735B21">
        <w:rPr>
          <w:rFonts w:asciiTheme="minorHAnsi" w:hAnsiTheme="minorHAnsi"/>
          <w:color w:val="404040" w:themeColor="text1" w:themeTint="BF"/>
          <w:szCs w:val="20"/>
        </w:rPr>
        <w:t>This building was inspected by Salt Lake City Housing &amp; Neighborhood Development staff and a Building Enforcement officer. Physical inspections were completed on eight units and all common areas, with no significant deficiencies found.</w:t>
      </w:r>
    </w:p>
    <w:p w14:paraId="1FC5A274" w14:textId="77777777" w:rsidR="00C91F30" w:rsidRPr="00735B21" w:rsidRDefault="00C91F30" w:rsidP="00C91F30">
      <w:pPr>
        <w:spacing w:line="360" w:lineRule="auto"/>
        <w:ind w:left="720" w:right="360"/>
        <w:rPr>
          <w:rFonts w:asciiTheme="minorHAnsi" w:hAnsiTheme="minorHAnsi"/>
          <w:b/>
          <w:color w:val="404040" w:themeColor="text1" w:themeTint="BF"/>
          <w:szCs w:val="20"/>
          <w:u w:val="single"/>
        </w:rPr>
      </w:pPr>
    </w:p>
    <w:p w14:paraId="47081B94" w14:textId="77777777" w:rsidR="000509DA" w:rsidRDefault="000509DA" w:rsidP="00C91F30">
      <w:pPr>
        <w:spacing w:line="360" w:lineRule="auto"/>
        <w:ind w:left="720" w:right="360"/>
        <w:rPr>
          <w:rFonts w:asciiTheme="minorHAnsi" w:hAnsiTheme="minorHAnsi"/>
          <w:i/>
          <w:color w:val="404040" w:themeColor="text1" w:themeTint="BF"/>
          <w:szCs w:val="20"/>
          <w:u w:val="single"/>
        </w:rPr>
      </w:pPr>
    </w:p>
    <w:p w14:paraId="7BF5FE73" w14:textId="77777777" w:rsidR="00C91F30" w:rsidRPr="00735B21" w:rsidRDefault="00C91F30" w:rsidP="00C91F30">
      <w:pPr>
        <w:spacing w:line="360" w:lineRule="auto"/>
        <w:ind w:left="720" w:right="360"/>
        <w:rPr>
          <w:rFonts w:asciiTheme="minorHAnsi" w:hAnsiTheme="minorHAnsi"/>
          <w:i/>
          <w:color w:val="404040" w:themeColor="text1" w:themeTint="BF"/>
          <w:szCs w:val="20"/>
          <w:u w:val="single"/>
        </w:rPr>
      </w:pPr>
      <w:r w:rsidRPr="00735B21">
        <w:rPr>
          <w:rFonts w:asciiTheme="minorHAnsi" w:hAnsiTheme="minorHAnsi"/>
          <w:i/>
          <w:color w:val="404040" w:themeColor="text1" w:themeTint="BF"/>
          <w:szCs w:val="20"/>
          <w:u w:val="single"/>
        </w:rPr>
        <w:t xml:space="preserve">Sedona Tenant Files: </w:t>
      </w:r>
    </w:p>
    <w:p w14:paraId="272F7877" w14:textId="77777777" w:rsidR="00C91F30" w:rsidRPr="00735B21" w:rsidRDefault="00C91F30" w:rsidP="00C91F30">
      <w:pPr>
        <w:spacing w:line="360" w:lineRule="auto"/>
        <w:ind w:left="720" w:right="360"/>
        <w:rPr>
          <w:rFonts w:asciiTheme="minorHAnsi" w:hAnsiTheme="minorHAnsi"/>
          <w:color w:val="404040" w:themeColor="text1" w:themeTint="BF"/>
          <w:szCs w:val="20"/>
        </w:rPr>
      </w:pPr>
      <w:r w:rsidRPr="00735B21">
        <w:rPr>
          <w:rFonts w:asciiTheme="minorHAnsi" w:hAnsiTheme="minorHAnsi"/>
          <w:color w:val="404040" w:themeColor="text1" w:themeTint="BF"/>
          <w:szCs w:val="20"/>
        </w:rPr>
        <w:t>Tenant files appeared to be complete and accurate. This property has sixteen units, two of which are floating and HOME funded. Two files were randomly selected to be monitored and reviewed for consistency and accuracy. There were no identified issues with the files reviewed.</w:t>
      </w:r>
    </w:p>
    <w:p w14:paraId="632D3C47" w14:textId="77777777" w:rsidR="00C91F30" w:rsidRPr="00735B21" w:rsidRDefault="00C91F30" w:rsidP="00C91F30">
      <w:pPr>
        <w:spacing w:line="360" w:lineRule="auto"/>
        <w:ind w:left="720" w:right="360"/>
        <w:rPr>
          <w:rFonts w:asciiTheme="minorHAnsi" w:hAnsiTheme="minorHAnsi"/>
          <w:i/>
          <w:color w:val="404040" w:themeColor="text1" w:themeTint="BF"/>
          <w:szCs w:val="20"/>
          <w:u w:val="single"/>
        </w:rPr>
      </w:pPr>
    </w:p>
    <w:p w14:paraId="596E61D5" w14:textId="77777777" w:rsidR="00C91F30" w:rsidRPr="00735B21" w:rsidRDefault="00C91F30" w:rsidP="00C91F30">
      <w:pPr>
        <w:spacing w:line="360" w:lineRule="auto"/>
        <w:ind w:left="720" w:right="360"/>
        <w:rPr>
          <w:rFonts w:asciiTheme="minorHAnsi" w:hAnsiTheme="minorHAnsi"/>
          <w:i/>
          <w:color w:val="404040" w:themeColor="text1" w:themeTint="BF"/>
          <w:szCs w:val="20"/>
          <w:u w:val="single"/>
        </w:rPr>
      </w:pPr>
      <w:r w:rsidRPr="00735B21">
        <w:rPr>
          <w:rFonts w:asciiTheme="minorHAnsi" w:hAnsiTheme="minorHAnsi"/>
          <w:i/>
          <w:color w:val="404040" w:themeColor="text1" w:themeTint="BF"/>
          <w:szCs w:val="20"/>
          <w:u w:val="single"/>
        </w:rPr>
        <w:t>Sedona On-Site Inspection:</w:t>
      </w:r>
    </w:p>
    <w:p w14:paraId="7AAC13BF" w14:textId="77777777" w:rsidR="00C91F30" w:rsidRPr="00735B21" w:rsidRDefault="00C91F30" w:rsidP="00C91F30">
      <w:pPr>
        <w:spacing w:line="360" w:lineRule="auto"/>
        <w:ind w:left="720" w:right="360"/>
        <w:rPr>
          <w:rFonts w:asciiTheme="minorHAnsi" w:hAnsiTheme="minorHAnsi"/>
          <w:color w:val="404040" w:themeColor="text1" w:themeTint="BF"/>
          <w:szCs w:val="20"/>
        </w:rPr>
      </w:pPr>
      <w:r w:rsidRPr="00735B21">
        <w:rPr>
          <w:rFonts w:asciiTheme="minorHAnsi" w:hAnsiTheme="minorHAnsi"/>
          <w:color w:val="404040" w:themeColor="text1" w:themeTint="BF"/>
          <w:szCs w:val="20"/>
        </w:rPr>
        <w:t>This building was inspected by Salt Lake City Housing &amp; Neighborhood Development staff and a Building Enforcement officer. Physical inspections were completed on two units and all common areas, with no significant deficiencies found.</w:t>
      </w:r>
    </w:p>
    <w:p w14:paraId="367E91C1" w14:textId="77777777" w:rsidR="00C91F30" w:rsidRPr="00735B21" w:rsidRDefault="00C91F30" w:rsidP="00C91F30">
      <w:pPr>
        <w:spacing w:line="360" w:lineRule="auto"/>
        <w:ind w:right="360"/>
        <w:rPr>
          <w:rFonts w:asciiTheme="minorHAnsi" w:hAnsiTheme="minorHAnsi"/>
          <w:color w:val="404040" w:themeColor="text1" w:themeTint="BF"/>
          <w:szCs w:val="20"/>
        </w:rPr>
      </w:pPr>
    </w:p>
    <w:p w14:paraId="30AA6D42" w14:textId="79B4861F" w:rsidR="00C91F30" w:rsidRPr="00735B21" w:rsidRDefault="00F0490B" w:rsidP="00C91F30">
      <w:pPr>
        <w:spacing w:line="360" w:lineRule="auto"/>
        <w:ind w:right="360"/>
        <w:rPr>
          <w:rFonts w:asciiTheme="minorHAnsi" w:hAnsiTheme="minorHAnsi"/>
          <w:i/>
          <w:color w:val="404040" w:themeColor="text1" w:themeTint="BF"/>
          <w:szCs w:val="20"/>
          <w:u w:val="single"/>
        </w:rPr>
      </w:pPr>
      <w:r>
        <w:rPr>
          <w:rFonts w:asciiTheme="minorHAnsi" w:hAnsiTheme="minorHAnsi"/>
          <w:i/>
          <w:color w:val="404040" w:themeColor="text1" w:themeTint="BF"/>
          <w:szCs w:val="20"/>
          <w:u w:val="single"/>
        </w:rPr>
        <w:t xml:space="preserve">Volunteers of America, Utah: </w:t>
      </w:r>
      <w:r w:rsidR="00C91F30" w:rsidRPr="00735B21">
        <w:rPr>
          <w:rFonts w:asciiTheme="minorHAnsi" w:hAnsiTheme="minorHAnsi"/>
          <w:i/>
          <w:color w:val="404040" w:themeColor="text1" w:themeTint="BF"/>
          <w:szCs w:val="20"/>
          <w:u w:val="single"/>
        </w:rPr>
        <w:t>Young Men’s Transition House Tenant Files:</w:t>
      </w:r>
    </w:p>
    <w:p w14:paraId="152E5625" w14:textId="77777777" w:rsidR="00C91F30" w:rsidRPr="00735B21" w:rsidRDefault="00C91F30" w:rsidP="00C91F30">
      <w:pPr>
        <w:spacing w:line="360" w:lineRule="auto"/>
        <w:ind w:right="360"/>
        <w:rPr>
          <w:rFonts w:asciiTheme="minorHAnsi" w:hAnsiTheme="minorHAnsi"/>
          <w:color w:val="404040" w:themeColor="text1" w:themeTint="BF"/>
          <w:szCs w:val="20"/>
        </w:rPr>
      </w:pPr>
      <w:r w:rsidRPr="00735B21">
        <w:rPr>
          <w:rFonts w:asciiTheme="minorHAnsi" w:hAnsiTheme="minorHAnsi"/>
          <w:color w:val="404040" w:themeColor="text1" w:themeTint="BF"/>
          <w:szCs w:val="20"/>
        </w:rPr>
        <w:t xml:space="preserve">Tenant files </w:t>
      </w:r>
      <w:r>
        <w:rPr>
          <w:rFonts w:asciiTheme="minorHAnsi" w:hAnsiTheme="minorHAnsi"/>
          <w:color w:val="404040" w:themeColor="text1" w:themeTint="BF"/>
          <w:szCs w:val="20"/>
        </w:rPr>
        <w:t>were found to be missing source documentation of income</w:t>
      </w:r>
      <w:r w:rsidRPr="00735B21">
        <w:rPr>
          <w:rFonts w:asciiTheme="minorHAnsi" w:hAnsiTheme="minorHAnsi"/>
          <w:color w:val="404040" w:themeColor="text1" w:themeTint="BF"/>
          <w:szCs w:val="20"/>
        </w:rPr>
        <w:t xml:space="preserve">. This property has </w:t>
      </w:r>
      <w:r>
        <w:rPr>
          <w:rFonts w:asciiTheme="minorHAnsi" w:hAnsiTheme="minorHAnsi"/>
          <w:color w:val="404040" w:themeColor="text1" w:themeTint="BF"/>
          <w:szCs w:val="20"/>
        </w:rPr>
        <w:t>fourteen</w:t>
      </w:r>
      <w:r w:rsidRPr="00735B21">
        <w:rPr>
          <w:rFonts w:asciiTheme="minorHAnsi" w:hAnsiTheme="minorHAnsi"/>
          <w:color w:val="404040" w:themeColor="text1" w:themeTint="BF"/>
          <w:szCs w:val="20"/>
        </w:rPr>
        <w:t xml:space="preserve"> units. Of these units, </w:t>
      </w:r>
      <w:r>
        <w:rPr>
          <w:rFonts w:asciiTheme="minorHAnsi" w:hAnsiTheme="minorHAnsi"/>
          <w:color w:val="404040" w:themeColor="text1" w:themeTint="BF"/>
          <w:szCs w:val="20"/>
        </w:rPr>
        <w:t>eight</w:t>
      </w:r>
      <w:r w:rsidRPr="00735B21">
        <w:rPr>
          <w:rFonts w:asciiTheme="minorHAnsi" w:hAnsiTheme="minorHAnsi"/>
          <w:color w:val="404040" w:themeColor="text1" w:themeTint="BF"/>
          <w:szCs w:val="20"/>
        </w:rPr>
        <w:t xml:space="preserve"> units include HOME funding.  Five files were reviewed and determined to be</w:t>
      </w:r>
      <w:r>
        <w:rPr>
          <w:rFonts w:asciiTheme="minorHAnsi" w:hAnsiTheme="minorHAnsi"/>
          <w:color w:val="404040" w:themeColor="text1" w:themeTint="BF"/>
          <w:szCs w:val="20"/>
        </w:rPr>
        <w:t xml:space="preserve"> non-</w:t>
      </w:r>
      <w:r w:rsidRPr="00735B21">
        <w:rPr>
          <w:rFonts w:asciiTheme="minorHAnsi" w:hAnsiTheme="minorHAnsi"/>
          <w:color w:val="404040" w:themeColor="text1" w:themeTint="BF"/>
          <w:szCs w:val="20"/>
        </w:rPr>
        <w:t xml:space="preserve">compliant. </w:t>
      </w:r>
      <w:r>
        <w:rPr>
          <w:rFonts w:asciiTheme="minorHAnsi" w:hAnsiTheme="minorHAnsi"/>
          <w:color w:val="404040" w:themeColor="text1" w:themeTint="BF"/>
          <w:szCs w:val="20"/>
        </w:rPr>
        <w:t>Files for clients who had zero income at entry did not have source documentation, self-certification, or budget worksheets completed by clients or staff to meet the requirements laid out in 24 CFR 92. In response, VOA updated their internal policies and procedures to include guidance on gathering source documentation and, when necessary, completing budgets and self-certifications to ensure income verification is sufficiently documented.</w:t>
      </w:r>
    </w:p>
    <w:p w14:paraId="2DAB82C3" w14:textId="77777777" w:rsidR="00C91F30" w:rsidRPr="00735B21" w:rsidRDefault="00C91F30" w:rsidP="00C91F30">
      <w:pPr>
        <w:spacing w:line="360" w:lineRule="auto"/>
        <w:ind w:right="360"/>
        <w:rPr>
          <w:rFonts w:asciiTheme="minorHAnsi" w:hAnsiTheme="minorHAnsi"/>
          <w:b/>
          <w:color w:val="404040" w:themeColor="text1" w:themeTint="BF"/>
          <w:szCs w:val="20"/>
          <w:u w:val="single"/>
        </w:rPr>
      </w:pPr>
    </w:p>
    <w:p w14:paraId="27C44AF5" w14:textId="77777777" w:rsidR="00C91F30" w:rsidRPr="00735B21" w:rsidRDefault="00C91F30" w:rsidP="00C91F30">
      <w:pPr>
        <w:spacing w:line="360" w:lineRule="auto"/>
        <w:ind w:right="360"/>
        <w:rPr>
          <w:rFonts w:asciiTheme="minorHAnsi" w:hAnsiTheme="minorHAnsi"/>
          <w:i/>
          <w:color w:val="404040" w:themeColor="text1" w:themeTint="BF"/>
          <w:szCs w:val="20"/>
          <w:u w:val="single"/>
        </w:rPr>
      </w:pPr>
      <w:r w:rsidRPr="00735B21">
        <w:rPr>
          <w:rFonts w:asciiTheme="minorHAnsi" w:hAnsiTheme="minorHAnsi"/>
          <w:i/>
          <w:color w:val="404040" w:themeColor="text1" w:themeTint="BF"/>
          <w:szCs w:val="20"/>
          <w:u w:val="single"/>
        </w:rPr>
        <w:t>Young Men’s Transition House On-Site Inspection:</w:t>
      </w:r>
    </w:p>
    <w:p w14:paraId="307C63DC" w14:textId="77777777" w:rsidR="00C91F30" w:rsidRPr="00735B21" w:rsidRDefault="00C91F30" w:rsidP="00C91F30">
      <w:pPr>
        <w:spacing w:line="360" w:lineRule="auto"/>
        <w:ind w:right="360"/>
        <w:rPr>
          <w:rFonts w:asciiTheme="minorHAnsi" w:hAnsiTheme="minorHAnsi"/>
          <w:color w:val="404040" w:themeColor="text1" w:themeTint="BF"/>
          <w:szCs w:val="20"/>
        </w:rPr>
      </w:pPr>
      <w:r w:rsidRPr="00735B21">
        <w:rPr>
          <w:rFonts w:asciiTheme="minorHAnsi" w:hAnsiTheme="minorHAnsi"/>
          <w:color w:val="404040" w:themeColor="text1" w:themeTint="BF"/>
          <w:szCs w:val="20"/>
        </w:rPr>
        <w:t>This building was inspected by Salt Lake City Housing &amp; Neighborhood Development staff and a Building Enforcement officer. Physical inspections were completed on five units and all common areas, with one significant deficiency identified. The deficienc</w:t>
      </w:r>
      <w:r>
        <w:rPr>
          <w:rFonts w:asciiTheme="minorHAnsi" w:hAnsiTheme="minorHAnsi"/>
          <w:color w:val="404040" w:themeColor="text1" w:themeTint="BF"/>
          <w:szCs w:val="20"/>
        </w:rPr>
        <w:t>y was addressed within two days and proof of correction via photograph and re-inspection was submitted.</w:t>
      </w:r>
    </w:p>
    <w:p w14:paraId="2F0FB402" w14:textId="77777777" w:rsidR="00C91F30" w:rsidRPr="00735B21" w:rsidRDefault="00C91F30" w:rsidP="00C91F30">
      <w:pPr>
        <w:spacing w:line="276" w:lineRule="auto"/>
        <w:ind w:right="360"/>
        <w:rPr>
          <w:rFonts w:asciiTheme="minorHAnsi" w:hAnsiTheme="minorHAnsi" w:cstheme="minorHAnsi"/>
          <w:b/>
          <w:color w:val="FF0000"/>
          <w:szCs w:val="20"/>
        </w:rPr>
      </w:pPr>
    </w:p>
    <w:p w14:paraId="08797657" w14:textId="77777777" w:rsidR="00C91F30" w:rsidRPr="00735B21" w:rsidRDefault="00C91F30" w:rsidP="00C91F30">
      <w:pPr>
        <w:spacing w:line="360" w:lineRule="auto"/>
        <w:ind w:right="360"/>
        <w:rPr>
          <w:rFonts w:asciiTheme="minorHAnsi" w:hAnsiTheme="minorHAnsi" w:cstheme="minorHAnsi"/>
          <w:b/>
          <w:color w:val="404040" w:themeColor="text1" w:themeTint="BF"/>
          <w:szCs w:val="20"/>
        </w:rPr>
      </w:pPr>
      <w:r w:rsidRPr="00735B21">
        <w:rPr>
          <w:rFonts w:asciiTheme="minorHAnsi" w:hAnsiTheme="minorHAnsi" w:cstheme="minorHAnsi"/>
          <w:b/>
          <w:color w:val="404040" w:themeColor="text1" w:themeTint="BF"/>
          <w:szCs w:val="20"/>
        </w:rPr>
        <w:t>Provide an assessment of the City’s affirmative marketing actions for HOME units. 92.351(b)</w:t>
      </w:r>
    </w:p>
    <w:p w14:paraId="36BD9144" w14:textId="77777777" w:rsidR="00C91F30" w:rsidRPr="00735B21" w:rsidRDefault="00C91F30" w:rsidP="00C91F30">
      <w:pPr>
        <w:spacing w:line="360" w:lineRule="auto"/>
        <w:ind w:right="360"/>
        <w:rPr>
          <w:rFonts w:asciiTheme="minorHAnsi" w:hAnsiTheme="minorHAnsi"/>
          <w:color w:val="404040" w:themeColor="text1" w:themeTint="BF"/>
          <w:szCs w:val="20"/>
        </w:rPr>
      </w:pPr>
      <w:r w:rsidRPr="00735B21">
        <w:rPr>
          <w:rFonts w:asciiTheme="minorHAnsi" w:hAnsiTheme="minorHAnsi"/>
          <w:color w:val="404040" w:themeColor="text1" w:themeTint="BF"/>
          <w:szCs w:val="20"/>
        </w:rPr>
        <w:t>The City’s affirmative marketing actions for informing the public, project owners and potential tenants about Federal fair housing laws include the following:</w:t>
      </w:r>
    </w:p>
    <w:p w14:paraId="217AB73F" w14:textId="77777777" w:rsidR="00C91F30" w:rsidRPr="00735B21" w:rsidRDefault="00C91F30" w:rsidP="00C91F30">
      <w:pPr>
        <w:spacing w:line="360" w:lineRule="auto"/>
        <w:ind w:right="360"/>
        <w:rPr>
          <w:rFonts w:asciiTheme="minorHAnsi" w:hAnsiTheme="minorHAnsi"/>
          <w:color w:val="404040" w:themeColor="text1" w:themeTint="BF"/>
          <w:szCs w:val="20"/>
        </w:rPr>
      </w:pPr>
    </w:p>
    <w:p w14:paraId="7BD4A1AF" w14:textId="77777777" w:rsidR="00C91F30" w:rsidRPr="00735B21" w:rsidRDefault="00C91F30" w:rsidP="00C91F30">
      <w:pPr>
        <w:spacing w:line="360" w:lineRule="auto"/>
        <w:ind w:right="360"/>
        <w:rPr>
          <w:rFonts w:asciiTheme="minorHAnsi" w:hAnsiTheme="minorHAnsi"/>
          <w:color w:val="404040" w:themeColor="text1" w:themeTint="BF"/>
          <w:szCs w:val="20"/>
        </w:rPr>
      </w:pPr>
      <w:r w:rsidRPr="00735B21">
        <w:rPr>
          <w:rFonts w:asciiTheme="minorHAnsi" w:hAnsiTheme="minorHAnsi"/>
          <w:color w:val="404040" w:themeColor="text1" w:themeTint="BF"/>
          <w:szCs w:val="20"/>
        </w:rPr>
        <w:t>Salt Lake City is a member of the Utah Fair Housing Forum through which it coordinates activities with HUD’s Regional Office of Fair Housing and Equal Opportunity and the Utah Antidiscrimination and Labor Division. To promote knowledge of fair housing laws among landlords and tenants, the City also supports and participates in the annual Education Conference and Trade Show sponsored by the Utah Fair Housing Forum and Utah Apartment Association. This is been an excellent opportunity for individuals, realtors, apartment owners, property managers, landlords and tenants to learn about Federal Fair Housing Laws.</w:t>
      </w:r>
    </w:p>
    <w:p w14:paraId="274BA073" w14:textId="77777777" w:rsidR="00C91F30" w:rsidRPr="00735B21" w:rsidRDefault="00C91F30" w:rsidP="00C91F30">
      <w:pPr>
        <w:spacing w:line="360" w:lineRule="auto"/>
        <w:ind w:right="360"/>
        <w:rPr>
          <w:rFonts w:asciiTheme="minorHAnsi" w:hAnsiTheme="minorHAnsi"/>
          <w:color w:val="404040" w:themeColor="text1" w:themeTint="BF"/>
          <w:szCs w:val="20"/>
        </w:rPr>
      </w:pPr>
    </w:p>
    <w:p w14:paraId="1B572895" w14:textId="77777777" w:rsidR="00C91F30" w:rsidRPr="00735B21" w:rsidRDefault="00C91F30" w:rsidP="00C91F30">
      <w:pPr>
        <w:spacing w:line="360" w:lineRule="auto"/>
        <w:ind w:right="360"/>
        <w:rPr>
          <w:rFonts w:asciiTheme="minorHAnsi" w:hAnsiTheme="minorHAnsi"/>
          <w:b/>
          <w:bCs/>
          <w:color w:val="404040" w:themeColor="text1" w:themeTint="BF"/>
          <w:szCs w:val="20"/>
        </w:rPr>
      </w:pPr>
      <w:r w:rsidRPr="00735B21">
        <w:rPr>
          <w:rFonts w:asciiTheme="minorHAnsi" w:hAnsiTheme="minorHAnsi"/>
          <w:color w:val="404040" w:themeColor="text1" w:themeTint="BF"/>
          <w:szCs w:val="20"/>
        </w:rPr>
        <w:t>The City’s Housing and Neighborhood Development Division continues to be proactive in affirmative marketing actions by providing information and training at its annual workshop for sub-recipients to help them increase the awareness of their clients—many of whom are immigrants, minorities, and tenants—about fair housing laws.</w:t>
      </w:r>
    </w:p>
    <w:p w14:paraId="79BC9692" w14:textId="77777777" w:rsidR="00C91F30" w:rsidRPr="00735B21" w:rsidRDefault="00C91F30" w:rsidP="00C91F30">
      <w:pPr>
        <w:spacing w:line="360" w:lineRule="auto"/>
        <w:ind w:right="360"/>
        <w:rPr>
          <w:rFonts w:asciiTheme="minorHAnsi" w:hAnsiTheme="minorHAnsi"/>
          <w:b/>
          <w:bCs/>
          <w:color w:val="404040" w:themeColor="text1" w:themeTint="BF"/>
          <w:szCs w:val="20"/>
        </w:rPr>
      </w:pPr>
    </w:p>
    <w:p w14:paraId="52E952F4" w14:textId="77777777" w:rsidR="00C91F30" w:rsidRPr="00735B21" w:rsidRDefault="00C91F30" w:rsidP="00C91F30">
      <w:pPr>
        <w:spacing w:line="360" w:lineRule="auto"/>
        <w:ind w:right="360"/>
        <w:rPr>
          <w:rFonts w:asciiTheme="minorHAnsi" w:hAnsiTheme="minorHAnsi"/>
          <w:color w:val="404040" w:themeColor="text1" w:themeTint="BF"/>
          <w:szCs w:val="20"/>
        </w:rPr>
      </w:pPr>
      <w:r w:rsidRPr="00735B21">
        <w:rPr>
          <w:rFonts w:asciiTheme="minorHAnsi" w:hAnsiTheme="minorHAnsi"/>
          <w:color w:val="404040" w:themeColor="text1" w:themeTint="BF"/>
          <w:szCs w:val="20"/>
        </w:rPr>
        <w:t>Housing and Neighborhood Development’s website also includes a fair housing page with a link to HUD’s Housing Discrimination and Complaints website. This link provides citizens with the ability to file fair housing discrimination complaints on-line.</w:t>
      </w:r>
    </w:p>
    <w:p w14:paraId="5C20347A" w14:textId="77777777" w:rsidR="00C91F30" w:rsidRPr="00735B21" w:rsidRDefault="00C91F30" w:rsidP="00C91F30">
      <w:pPr>
        <w:spacing w:line="360" w:lineRule="auto"/>
        <w:ind w:right="360"/>
        <w:rPr>
          <w:rFonts w:asciiTheme="minorHAnsi" w:hAnsiTheme="minorHAnsi"/>
          <w:color w:val="404040" w:themeColor="text1" w:themeTint="BF"/>
          <w:szCs w:val="20"/>
        </w:rPr>
      </w:pPr>
    </w:p>
    <w:p w14:paraId="5A8A245B" w14:textId="77777777" w:rsidR="00C91F30" w:rsidRPr="00735B21" w:rsidRDefault="00C91F30" w:rsidP="00C91F30">
      <w:pPr>
        <w:spacing w:line="360" w:lineRule="auto"/>
        <w:ind w:right="360"/>
        <w:rPr>
          <w:rFonts w:asciiTheme="minorHAnsi" w:hAnsiTheme="minorHAnsi"/>
          <w:color w:val="404040" w:themeColor="text1" w:themeTint="BF"/>
          <w:szCs w:val="20"/>
        </w:rPr>
      </w:pPr>
      <w:r w:rsidRPr="00735B21">
        <w:rPr>
          <w:rFonts w:asciiTheme="minorHAnsi" w:hAnsiTheme="minorHAnsi"/>
          <w:color w:val="404040" w:themeColor="text1" w:themeTint="BF"/>
          <w:szCs w:val="20"/>
        </w:rPr>
        <w:t xml:space="preserve">In recent months, Salt Lake City has been actively working with the local field office to remain updated on the Assessment of Fair Housing process. To date, this has included reviewing mapping data, evaluating AFH guidebook, and discussing the AFH community participation process. </w:t>
      </w:r>
      <w:r>
        <w:rPr>
          <w:rFonts w:asciiTheme="minorHAnsi" w:hAnsiTheme="minorHAnsi"/>
          <w:color w:val="404040" w:themeColor="text1" w:themeTint="BF"/>
          <w:szCs w:val="20"/>
        </w:rPr>
        <w:t>While the guidance on utilizing the AFH was rescinded and the requirement for completing the Assessment of Fair Housing has been delayed, City staff continue to assess impediments to fair housing and coordinate with other community providers on fair housing issues as they arise.</w:t>
      </w:r>
    </w:p>
    <w:p w14:paraId="00A19074" w14:textId="77777777" w:rsidR="00C91F30" w:rsidRPr="00735B21" w:rsidRDefault="00C91F30" w:rsidP="00C91F30">
      <w:pPr>
        <w:spacing w:line="360" w:lineRule="auto"/>
        <w:ind w:right="360"/>
        <w:rPr>
          <w:rFonts w:asciiTheme="minorHAnsi" w:hAnsiTheme="minorHAnsi" w:cstheme="minorHAnsi"/>
          <w:b/>
          <w:color w:val="404040" w:themeColor="text1" w:themeTint="BF"/>
          <w:szCs w:val="20"/>
        </w:rPr>
      </w:pPr>
    </w:p>
    <w:p w14:paraId="512F5A00" w14:textId="77777777" w:rsidR="00C91F30" w:rsidRPr="00735B21" w:rsidRDefault="00C91F30" w:rsidP="00C91F30">
      <w:pPr>
        <w:spacing w:line="360" w:lineRule="auto"/>
        <w:ind w:right="360"/>
        <w:rPr>
          <w:rFonts w:asciiTheme="minorHAnsi" w:hAnsiTheme="minorHAnsi" w:cstheme="minorHAnsi"/>
          <w:b/>
          <w:color w:val="404040" w:themeColor="text1" w:themeTint="BF"/>
          <w:szCs w:val="20"/>
        </w:rPr>
      </w:pPr>
      <w:r w:rsidRPr="00735B21">
        <w:rPr>
          <w:rFonts w:asciiTheme="minorHAnsi" w:hAnsiTheme="minorHAnsi" w:cstheme="minorHAnsi"/>
          <w:b/>
          <w:color w:val="404040" w:themeColor="text1" w:themeTint="BF"/>
          <w:szCs w:val="20"/>
        </w:rPr>
        <w:t>Refer to IDIS reports to describe the amount and use of program income for projects, including the number of projects and owner and tenant characteristics.</w:t>
      </w:r>
    </w:p>
    <w:p w14:paraId="209CA41F" w14:textId="77777777" w:rsidR="00C91F30" w:rsidRPr="00735B21" w:rsidRDefault="00C91F30" w:rsidP="00C91F30">
      <w:pPr>
        <w:spacing w:line="360" w:lineRule="auto"/>
        <w:ind w:right="360"/>
        <w:rPr>
          <w:rFonts w:asciiTheme="minorHAnsi" w:hAnsiTheme="minorHAnsi"/>
          <w:color w:val="404040" w:themeColor="text1" w:themeTint="BF"/>
          <w:szCs w:val="20"/>
        </w:rPr>
      </w:pPr>
      <w:r w:rsidRPr="00735B21">
        <w:rPr>
          <w:rFonts w:asciiTheme="minorHAnsi" w:hAnsiTheme="minorHAnsi"/>
          <w:color w:val="404040" w:themeColor="text1" w:themeTint="BF"/>
          <w:szCs w:val="20"/>
        </w:rPr>
        <w:t>In program year 1</w:t>
      </w:r>
      <w:r>
        <w:rPr>
          <w:rFonts w:asciiTheme="minorHAnsi" w:hAnsiTheme="minorHAnsi"/>
          <w:color w:val="404040" w:themeColor="text1" w:themeTint="BF"/>
          <w:szCs w:val="20"/>
        </w:rPr>
        <w:t>7</w:t>
      </w:r>
      <w:r w:rsidRPr="00735B21">
        <w:rPr>
          <w:rFonts w:asciiTheme="minorHAnsi" w:hAnsiTheme="minorHAnsi"/>
          <w:color w:val="404040" w:themeColor="text1" w:themeTint="BF"/>
          <w:szCs w:val="20"/>
        </w:rPr>
        <w:t>-1</w:t>
      </w:r>
      <w:r>
        <w:rPr>
          <w:rFonts w:asciiTheme="minorHAnsi" w:hAnsiTheme="minorHAnsi"/>
          <w:color w:val="404040" w:themeColor="text1" w:themeTint="BF"/>
          <w:szCs w:val="20"/>
        </w:rPr>
        <w:t>8</w:t>
      </w:r>
      <w:r w:rsidRPr="00735B21">
        <w:rPr>
          <w:rFonts w:asciiTheme="minorHAnsi" w:hAnsiTheme="minorHAnsi"/>
          <w:color w:val="404040" w:themeColor="text1" w:themeTint="BF"/>
          <w:szCs w:val="20"/>
        </w:rPr>
        <w:t>, Salt Lake City brought in a total of $</w:t>
      </w:r>
      <w:r>
        <w:rPr>
          <w:rFonts w:asciiTheme="minorHAnsi" w:hAnsiTheme="minorHAnsi"/>
          <w:color w:val="404040" w:themeColor="text1" w:themeTint="BF"/>
          <w:szCs w:val="20"/>
        </w:rPr>
        <w:t>342,000</w:t>
      </w:r>
      <w:r w:rsidRPr="00735B21">
        <w:rPr>
          <w:rFonts w:asciiTheme="minorHAnsi" w:hAnsiTheme="minorHAnsi"/>
          <w:color w:val="404040" w:themeColor="text1" w:themeTint="BF"/>
          <w:szCs w:val="20"/>
        </w:rPr>
        <w:t xml:space="preserve"> in Program Income. To date, $</w:t>
      </w:r>
      <w:r>
        <w:rPr>
          <w:rFonts w:asciiTheme="minorHAnsi" w:hAnsiTheme="minorHAnsi"/>
          <w:color w:val="404040" w:themeColor="text1" w:themeTint="BF"/>
          <w:szCs w:val="20"/>
        </w:rPr>
        <w:t>342,000</w:t>
      </w:r>
      <w:r w:rsidRPr="00735B21">
        <w:rPr>
          <w:rFonts w:asciiTheme="minorHAnsi" w:hAnsiTheme="minorHAnsi"/>
          <w:color w:val="404040" w:themeColor="text1" w:themeTint="BF"/>
          <w:szCs w:val="20"/>
        </w:rPr>
        <w:t xml:space="preserve"> (including </w:t>
      </w:r>
      <w:r w:rsidRPr="00735B21">
        <w:rPr>
          <w:rFonts w:asciiTheme="minorHAnsi" w:hAnsiTheme="minorHAnsi" w:cstheme="minorHAnsi"/>
          <w:color w:val="404040" w:themeColor="text1" w:themeTint="BF"/>
          <w:szCs w:val="20"/>
        </w:rPr>
        <w:t>$</w:t>
      </w:r>
      <w:r>
        <w:rPr>
          <w:rFonts w:asciiTheme="minorHAnsi" w:hAnsiTheme="minorHAnsi" w:cstheme="minorHAnsi"/>
          <w:color w:val="404040" w:themeColor="text1" w:themeTint="BF"/>
          <w:szCs w:val="20"/>
        </w:rPr>
        <w:t>0</w:t>
      </w:r>
      <w:r w:rsidRPr="00735B21">
        <w:rPr>
          <w:rFonts w:asciiTheme="minorHAnsi" w:hAnsiTheme="minorHAnsi" w:cstheme="minorHAnsi"/>
          <w:color w:val="404040" w:themeColor="text1" w:themeTint="BF"/>
          <w:szCs w:val="20"/>
        </w:rPr>
        <w:t xml:space="preserve"> on hand from the end of the 1</w:t>
      </w:r>
      <w:r>
        <w:rPr>
          <w:rFonts w:asciiTheme="minorHAnsi" w:hAnsiTheme="minorHAnsi" w:cstheme="minorHAnsi"/>
          <w:color w:val="404040" w:themeColor="text1" w:themeTint="BF"/>
          <w:szCs w:val="20"/>
        </w:rPr>
        <w:t>6</w:t>
      </w:r>
      <w:r w:rsidRPr="00735B21">
        <w:rPr>
          <w:rFonts w:asciiTheme="minorHAnsi" w:hAnsiTheme="minorHAnsi" w:cstheme="minorHAnsi"/>
          <w:color w:val="404040" w:themeColor="text1" w:themeTint="BF"/>
          <w:szCs w:val="20"/>
        </w:rPr>
        <w:t>-1</w:t>
      </w:r>
      <w:r>
        <w:rPr>
          <w:rFonts w:asciiTheme="minorHAnsi" w:hAnsiTheme="minorHAnsi" w:cstheme="minorHAnsi"/>
          <w:color w:val="404040" w:themeColor="text1" w:themeTint="BF"/>
          <w:szCs w:val="20"/>
        </w:rPr>
        <w:t>7 reporting period</w:t>
      </w:r>
      <w:r w:rsidRPr="00735B21">
        <w:rPr>
          <w:rFonts w:asciiTheme="minorHAnsi" w:hAnsiTheme="minorHAnsi" w:cstheme="minorHAnsi"/>
          <w:color w:val="404040" w:themeColor="text1" w:themeTint="BF"/>
          <w:szCs w:val="20"/>
        </w:rPr>
        <w:t xml:space="preserve">) </w:t>
      </w:r>
      <w:r w:rsidRPr="00735B21">
        <w:rPr>
          <w:rFonts w:asciiTheme="minorHAnsi" w:hAnsiTheme="minorHAnsi"/>
          <w:color w:val="404040" w:themeColor="text1" w:themeTint="BF"/>
          <w:szCs w:val="20"/>
        </w:rPr>
        <w:t xml:space="preserve">has been drawn from Salt Lake City HOME Program Income funds to support a total of </w:t>
      </w:r>
      <w:r>
        <w:rPr>
          <w:rFonts w:asciiTheme="minorHAnsi" w:hAnsiTheme="minorHAnsi"/>
          <w:color w:val="404040" w:themeColor="text1" w:themeTint="BF"/>
          <w:szCs w:val="20"/>
        </w:rPr>
        <w:t>seven</w:t>
      </w:r>
      <w:r w:rsidRPr="00735B21">
        <w:rPr>
          <w:rFonts w:asciiTheme="minorHAnsi" w:hAnsiTheme="minorHAnsi"/>
          <w:color w:val="404040" w:themeColor="text1" w:themeTint="BF"/>
          <w:szCs w:val="20"/>
        </w:rPr>
        <w:t xml:space="preserve"> projects. These projects include: </w:t>
      </w:r>
    </w:p>
    <w:p w14:paraId="3450EA57" w14:textId="77777777" w:rsidR="00C91F30" w:rsidRPr="00735B21" w:rsidRDefault="00C91F30" w:rsidP="00C91F30">
      <w:pPr>
        <w:numPr>
          <w:ilvl w:val="0"/>
          <w:numId w:val="22"/>
        </w:numPr>
        <w:spacing w:line="360" w:lineRule="auto"/>
        <w:ind w:right="360"/>
        <w:contextualSpacing/>
        <w:rPr>
          <w:rFonts w:asciiTheme="minorHAnsi" w:hAnsiTheme="minorHAnsi"/>
          <w:color w:val="404040" w:themeColor="text1" w:themeTint="BF"/>
          <w:szCs w:val="20"/>
        </w:rPr>
      </w:pPr>
      <w:r w:rsidRPr="00735B21">
        <w:rPr>
          <w:rFonts w:asciiTheme="minorHAnsi" w:hAnsiTheme="minorHAnsi"/>
          <w:color w:val="404040" w:themeColor="text1" w:themeTint="BF"/>
          <w:szCs w:val="20"/>
        </w:rPr>
        <w:t xml:space="preserve">New Development of Affordable Housing – </w:t>
      </w:r>
      <w:r>
        <w:rPr>
          <w:rFonts w:asciiTheme="minorHAnsi" w:hAnsiTheme="minorHAnsi"/>
          <w:color w:val="404040" w:themeColor="text1" w:themeTint="BF"/>
          <w:szCs w:val="20"/>
        </w:rPr>
        <w:t>14</w:t>
      </w:r>
      <w:r w:rsidRPr="00735B21">
        <w:rPr>
          <w:rFonts w:asciiTheme="minorHAnsi" w:hAnsiTheme="minorHAnsi"/>
          <w:color w:val="404040" w:themeColor="text1" w:themeTint="BF"/>
          <w:szCs w:val="20"/>
        </w:rPr>
        <w:t>% (1 project)</w:t>
      </w:r>
    </w:p>
    <w:p w14:paraId="1F3AE479" w14:textId="77777777" w:rsidR="00C91F30" w:rsidRPr="00735B21" w:rsidRDefault="00C91F30" w:rsidP="00C91F30">
      <w:pPr>
        <w:numPr>
          <w:ilvl w:val="0"/>
          <w:numId w:val="22"/>
        </w:numPr>
        <w:spacing w:line="360" w:lineRule="auto"/>
        <w:ind w:right="360"/>
        <w:contextualSpacing/>
        <w:rPr>
          <w:rFonts w:asciiTheme="minorHAnsi" w:hAnsiTheme="minorHAnsi"/>
          <w:color w:val="404040" w:themeColor="text1" w:themeTint="BF"/>
          <w:szCs w:val="20"/>
        </w:rPr>
      </w:pPr>
      <w:r w:rsidRPr="00735B21">
        <w:rPr>
          <w:rFonts w:asciiTheme="minorHAnsi" w:hAnsiTheme="minorHAnsi"/>
          <w:color w:val="404040" w:themeColor="text1" w:themeTint="BF"/>
          <w:szCs w:val="20"/>
        </w:rPr>
        <w:t xml:space="preserve">First Time Homebuyer Assistance </w:t>
      </w:r>
      <w:r>
        <w:rPr>
          <w:rFonts w:asciiTheme="minorHAnsi" w:hAnsiTheme="minorHAnsi"/>
          <w:color w:val="404040" w:themeColor="text1" w:themeTint="BF"/>
          <w:szCs w:val="20"/>
        </w:rPr>
        <w:t>57</w:t>
      </w:r>
      <w:r w:rsidRPr="00735B21">
        <w:rPr>
          <w:rFonts w:asciiTheme="minorHAnsi" w:hAnsiTheme="minorHAnsi"/>
          <w:color w:val="404040" w:themeColor="text1" w:themeTint="BF"/>
          <w:szCs w:val="20"/>
        </w:rPr>
        <w:t>% (</w:t>
      </w:r>
      <w:r>
        <w:rPr>
          <w:rFonts w:asciiTheme="minorHAnsi" w:hAnsiTheme="minorHAnsi"/>
          <w:color w:val="404040" w:themeColor="text1" w:themeTint="BF"/>
          <w:szCs w:val="20"/>
        </w:rPr>
        <w:t>4</w:t>
      </w:r>
      <w:r w:rsidRPr="00735B21">
        <w:rPr>
          <w:rFonts w:asciiTheme="minorHAnsi" w:hAnsiTheme="minorHAnsi"/>
          <w:color w:val="404040" w:themeColor="text1" w:themeTint="BF"/>
          <w:szCs w:val="20"/>
        </w:rPr>
        <w:t xml:space="preserve"> projects)</w:t>
      </w:r>
    </w:p>
    <w:p w14:paraId="315BB9C5" w14:textId="77777777" w:rsidR="00C91F30" w:rsidRPr="00F0490B" w:rsidRDefault="00C91F30" w:rsidP="00C91F30">
      <w:pPr>
        <w:numPr>
          <w:ilvl w:val="0"/>
          <w:numId w:val="22"/>
        </w:numPr>
        <w:spacing w:line="360" w:lineRule="auto"/>
        <w:ind w:right="360"/>
        <w:contextualSpacing/>
        <w:rPr>
          <w:rFonts w:asciiTheme="minorHAnsi" w:hAnsiTheme="minorHAnsi"/>
          <w:b/>
          <w:color w:val="404040" w:themeColor="text1" w:themeTint="BF"/>
          <w:szCs w:val="20"/>
          <w:u w:val="single"/>
        </w:rPr>
      </w:pPr>
      <w:r w:rsidRPr="00735B21">
        <w:rPr>
          <w:rFonts w:asciiTheme="minorHAnsi" w:hAnsiTheme="minorHAnsi"/>
          <w:color w:val="404040" w:themeColor="text1" w:themeTint="BF"/>
          <w:szCs w:val="20"/>
        </w:rPr>
        <w:t>Tenant Based Rental Assistance 2</w:t>
      </w:r>
      <w:r>
        <w:rPr>
          <w:rFonts w:asciiTheme="minorHAnsi" w:hAnsiTheme="minorHAnsi"/>
          <w:color w:val="404040" w:themeColor="text1" w:themeTint="BF"/>
          <w:szCs w:val="20"/>
        </w:rPr>
        <w:t>9</w:t>
      </w:r>
      <w:r w:rsidRPr="00735B21">
        <w:rPr>
          <w:rFonts w:asciiTheme="minorHAnsi" w:hAnsiTheme="minorHAnsi"/>
          <w:color w:val="404040" w:themeColor="text1" w:themeTint="BF"/>
          <w:szCs w:val="20"/>
        </w:rPr>
        <w:t>% (</w:t>
      </w:r>
      <w:r>
        <w:rPr>
          <w:rFonts w:asciiTheme="minorHAnsi" w:hAnsiTheme="minorHAnsi"/>
          <w:color w:val="404040" w:themeColor="text1" w:themeTint="BF"/>
          <w:szCs w:val="20"/>
        </w:rPr>
        <w:t>2</w:t>
      </w:r>
      <w:r w:rsidRPr="00735B21">
        <w:rPr>
          <w:rFonts w:asciiTheme="minorHAnsi" w:hAnsiTheme="minorHAnsi"/>
          <w:color w:val="404040" w:themeColor="text1" w:themeTint="BF"/>
          <w:szCs w:val="20"/>
        </w:rPr>
        <w:t xml:space="preserve"> projects) </w:t>
      </w:r>
    </w:p>
    <w:p w14:paraId="1D8A398B" w14:textId="77777777" w:rsidR="00F0490B" w:rsidRPr="00735B21" w:rsidRDefault="00F0490B" w:rsidP="00F0490B">
      <w:pPr>
        <w:spacing w:line="360" w:lineRule="auto"/>
        <w:ind w:left="360" w:right="360"/>
        <w:contextualSpacing/>
        <w:rPr>
          <w:rFonts w:asciiTheme="minorHAnsi" w:hAnsiTheme="minorHAnsi"/>
          <w:b/>
          <w:color w:val="404040" w:themeColor="text1" w:themeTint="BF"/>
          <w:szCs w:val="20"/>
          <w:u w:val="single"/>
        </w:rPr>
      </w:pPr>
    </w:p>
    <w:p w14:paraId="26F27CCE" w14:textId="77777777" w:rsidR="00C91F30" w:rsidRPr="00735B21" w:rsidRDefault="00C91F30" w:rsidP="00C91F30">
      <w:pPr>
        <w:spacing w:line="360" w:lineRule="auto"/>
        <w:ind w:right="360"/>
        <w:rPr>
          <w:rFonts w:asciiTheme="minorHAnsi" w:hAnsiTheme="minorHAnsi"/>
          <w:b/>
          <w:color w:val="404040" w:themeColor="text1" w:themeTint="BF"/>
          <w:szCs w:val="20"/>
          <w:u w:val="single"/>
        </w:rPr>
      </w:pPr>
      <w:r w:rsidRPr="00735B21">
        <w:rPr>
          <w:rFonts w:asciiTheme="minorHAnsi" w:hAnsiTheme="minorHAnsi"/>
          <w:b/>
          <w:color w:val="404040" w:themeColor="text1" w:themeTint="BF"/>
          <w:szCs w:val="20"/>
          <w:u w:val="single"/>
        </w:rPr>
        <w:t>Owner and Tenant Characteristics</w:t>
      </w:r>
    </w:p>
    <w:p w14:paraId="3FAAB431" w14:textId="752BA012" w:rsidR="00C91F30" w:rsidRPr="00735B21" w:rsidRDefault="00C91F30" w:rsidP="00C91F30">
      <w:pPr>
        <w:spacing w:line="360" w:lineRule="auto"/>
        <w:ind w:right="360"/>
        <w:rPr>
          <w:rFonts w:asciiTheme="minorHAnsi" w:hAnsiTheme="minorHAnsi"/>
          <w:color w:val="404040" w:themeColor="text1" w:themeTint="BF"/>
          <w:szCs w:val="20"/>
        </w:rPr>
      </w:pPr>
      <w:r w:rsidRPr="00735B21">
        <w:rPr>
          <w:rFonts w:asciiTheme="minorHAnsi" w:hAnsiTheme="minorHAnsi"/>
          <w:color w:val="404040" w:themeColor="text1" w:themeTint="BF"/>
          <w:szCs w:val="20"/>
        </w:rPr>
        <w:t xml:space="preserve">Of the </w:t>
      </w:r>
      <w:r>
        <w:rPr>
          <w:rFonts w:asciiTheme="minorHAnsi" w:hAnsiTheme="minorHAnsi"/>
          <w:color w:val="404040" w:themeColor="text1" w:themeTint="BF"/>
          <w:szCs w:val="20"/>
        </w:rPr>
        <w:t>seven</w:t>
      </w:r>
      <w:r w:rsidRPr="00735B21">
        <w:rPr>
          <w:rFonts w:asciiTheme="minorHAnsi" w:hAnsiTheme="minorHAnsi"/>
          <w:color w:val="404040" w:themeColor="text1" w:themeTint="BF"/>
          <w:szCs w:val="20"/>
        </w:rPr>
        <w:t xml:space="preserve"> projects funded, </w:t>
      </w:r>
      <w:r>
        <w:rPr>
          <w:rFonts w:asciiTheme="minorHAnsi" w:hAnsiTheme="minorHAnsi"/>
          <w:color w:val="404040" w:themeColor="text1" w:themeTint="BF"/>
          <w:szCs w:val="20"/>
        </w:rPr>
        <w:t>14</w:t>
      </w:r>
      <w:r w:rsidRPr="00735B21">
        <w:rPr>
          <w:rFonts w:asciiTheme="minorHAnsi" w:hAnsiTheme="minorHAnsi"/>
          <w:color w:val="404040" w:themeColor="text1" w:themeTint="BF"/>
          <w:szCs w:val="20"/>
        </w:rPr>
        <w:t xml:space="preserve">% were new development and </w:t>
      </w:r>
      <w:r>
        <w:rPr>
          <w:rFonts w:asciiTheme="minorHAnsi" w:hAnsiTheme="minorHAnsi"/>
          <w:color w:val="404040" w:themeColor="text1" w:themeTint="BF"/>
          <w:szCs w:val="20"/>
        </w:rPr>
        <w:t>57</w:t>
      </w:r>
      <w:r w:rsidRPr="00735B21">
        <w:rPr>
          <w:rFonts w:asciiTheme="minorHAnsi" w:hAnsiTheme="minorHAnsi"/>
          <w:color w:val="404040" w:themeColor="text1" w:themeTint="BF"/>
          <w:szCs w:val="20"/>
        </w:rPr>
        <w:t xml:space="preserve">% were first time homebuyer assistance. All activities served (or in the case of new development, marketed toward) households of 80% AMI or below. </w:t>
      </w:r>
      <w:r>
        <w:rPr>
          <w:rFonts w:asciiTheme="minorHAnsi" w:hAnsiTheme="minorHAnsi"/>
          <w:color w:val="404040" w:themeColor="text1" w:themeTint="BF"/>
          <w:szCs w:val="20"/>
        </w:rPr>
        <w:t>Two</w:t>
      </w:r>
      <w:r w:rsidRPr="00735B21">
        <w:rPr>
          <w:rFonts w:asciiTheme="minorHAnsi" w:hAnsiTheme="minorHAnsi"/>
          <w:color w:val="404040" w:themeColor="text1" w:themeTint="BF"/>
          <w:szCs w:val="20"/>
        </w:rPr>
        <w:t xml:space="preserve"> tenant-based rental assistance projects (or 2</w:t>
      </w:r>
      <w:r>
        <w:rPr>
          <w:rFonts w:asciiTheme="minorHAnsi" w:hAnsiTheme="minorHAnsi"/>
          <w:color w:val="404040" w:themeColor="text1" w:themeTint="BF"/>
          <w:szCs w:val="20"/>
        </w:rPr>
        <w:t>9</w:t>
      </w:r>
      <w:r w:rsidRPr="00735B21">
        <w:rPr>
          <w:rFonts w:asciiTheme="minorHAnsi" w:hAnsiTheme="minorHAnsi"/>
          <w:color w:val="404040" w:themeColor="text1" w:themeTint="BF"/>
          <w:szCs w:val="20"/>
        </w:rPr>
        <w:t>% of PI funded projects) were funded in part with HOME PI funds served homeless individuals at 0-30% AMI or below.</w:t>
      </w:r>
    </w:p>
    <w:p w14:paraId="199795C0" w14:textId="6372F992" w:rsidR="00C91F30" w:rsidRPr="00F0490B" w:rsidRDefault="00C91F30" w:rsidP="00F0490B">
      <w:pPr>
        <w:spacing w:line="360" w:lineRule="auto"/>
        <w:ind w:right="360"/>
        <w:rPr>
          <w:rFonts w:asciiTheme="minorHAnsi" w:hAnsiTheme="minorHAnsi"/>
          <w:color w:val="404040" w:themeColor="text1" w:themeTint="BF"/>
          <w:szCs w:val="20"/>
        </w:rPr>
      </w:pPr>
    </w:p>
    <w:p w14:paraId="6758AB28" w14:textId="77777777" w:rsidR="00C91F30" w:rsidRPr="00735B21" w:rsidRDefault="00C91F30" w:rsidP="00C91F30">
      <w:pPr>
        <w:spacing w:line="360" w:lineRule="auto"/>
        <w:ind w:right="360"/>
        <w:rPr>
          <w:rFonts w:asciiTheme="minorHAnsi" w:hAnsiTheme="minorHAnsi" w:cstheme="minorHAnsi"/>
          <w:b/>
          <w:color w:val="404040" w:themeColor="text1" w:themeTint="BF"/>
          <w:szCs w:val="20"/>
        </w:rPr>
      </w:pPr>
      <w:r w:rsidRPr="00735B21">
        <w:rPr>
          <w:rFonts w:asciiTheme="minorHAnsi" w:hAnsiTheme="minorHAnsi" w:cstheme="minorHAnsi"/>
          <w:b/>
          <w:color w:val="404040" w:themeColor="text1" w:themeTint="BF"/>
          <w:szCs w:val="20"/>
        </w:rPr>
        <w:t>Describe other actions taken to foster and maintain affordable housing. 92.220(k)</w:t>
      </w:r>
    </w:p>
    <w:p w14:paraId="4FAB1784" w14:textId="77777777" w:rsidR="00C91F30" w:rsidRPr="00735B21" w:rsidRDefault="00C91F30" w:rsidP="00C91F30">
      <w:pPr>
        <w:spacing w:line="360" w:lineRule="auto"/>
        <w:rPr>
          <w:rFonts w:asciiTheme="minorHAnsi" w:hAnsiTheme="minorHAnsi"/>
          <w:color w:val="404040" w:themeColor="text1" w:themeTint="BF"/>
          <w:szCs w:val="20"/>
        </w:rPr>
      </w:pPr>
      <w:r w:rsidRPr="00735B21">
        <w:rPr>
          <w:rFonts w:asciiTheme="minorHAnsi" w:hAnsiTheme="minorHAnsi"/>
          <w:color w:val="404040" w:themeColor="text1" w:themeTint="BF"/>
          <w:szCs w:val="20"/>
        </w:rPr>
        <w:t xml:space="preserve">During the last year, Salt Lake City has faced significant challenges to increasing the affordable housing opportunities in our city. The City continues to see significant demand for owner and renter-occupied housing and the resulting impact on the supply of affordable housing. Salt Lake City’s Division of Housing and Neighborhood Development utilized federal funding to expand housing opportunities for low and moderate-income households, as well as vulnerable and at-risk populations. These funds were leveraged with other community resources and efforts such as Low Income Housing Tax Credits, Salt Lake City’s Housing Trust Fund, and State of Utah Olene Walker Trust Fund. </w:t>
      </w:r>
    </w:p>
    <w:p w14:paraId="71B1F1B3" w14:textId="77777777" w:rsidR="00C91F30" w:rsidRPr="00735B21" w:rsidRDefault="00C91F30" w:rsidP="00C91F30">
      <w:pPr>
        <w:spacing w:line="360" w:lineRule="auto"/>
        <w:rPr>
          <w:rFonts w:asciiTheme="minorHAnsi" w:hAnsiTheme="minorHAnsi"/>
          <w:color w:val="404040" w:themeColor="text1" w:themeTint="BF"/>
          <w:szCs w:val="20"/>
        </w:rPr>
      </w:pPr>
    </w:p>
    <w:p w14:paraId="52925C8F" w14:textId="77777777" w:rsidR="00C91F30" w:rsidRPr="003D2034" w:rsidRDefault="00C91F30" w:rsidP="00C91F30">
      <w:pPr>
        <w:spacing w:line="360" w:lineRule="auto"/>
        <w:rPr>
          <w:rFonts w:asciiTheme="minorHAnsi" w:hAnsiTheme="minorHAnsi"/>
          <w:color w:val="404040" w:themeColor="text1" w:themeTint="BF"/>
          <w:szCs w:val="20"/>
        </w:rPr>
      </w:pPr>
      <w:r w:rsidRPr="00735B21">
        <w:rPr>
          <w:rFonts w:asciiTheme="minorHAnsi" w:hAnsiTheme="minorHAnsi"/>
          <w:color w:val="404040" w:themeColor="text1" w:themeTint="BF"/>
          <w:szCs w:val="20"/>
        </w:rPr>
        <w:t>Salt Lake City utilized HOME funds to provide a wide range of activities including acquisition and rehabilitation/construction of affordable housing for homeownership, rehabilitation of existing homes, and providing direct rental assistance to low-income residents. HOME funding is targeted to households earning 0% to 80% AMI. In 201</w:t>
      </w:r>
      <w:r>
        <w:rPr>
          <w:rFonts w:asciiTheme="minorHAnsi" w:hAnsiTheme="minorHAnsi"/>
          <w:color w:val="404040" w:themeColor="text1" w:themeTint="BF"/>
          <w:szCs w:val="20"/>
        </w:rPr>
        <w:t>7</w:t>
      </w:r>
      <w:r w:rsidRPr="00735B21">
        <w:rPr>
          <w:rFonts w:asciiTheme="minorHAnsi" w:hAnsiTheme="minorHAnsi"/>
          <w:color w:val="404040" w:themeColor="text1" w:themeTint="BF"/>
          <w:szCs w:val="20"/>
        </w:rPr>
        <w:t>-1</w:t>
      </w:r>
      <w:r>
        <w:rPr>
          <w:rFonts w:asciiTheme="minorHAnsi" w:hAnsiTheme="minorHAnsi"/>
          <w:color w:val="404040" w:themeColor="text1" w:themeTint="BF"/>
          <w:szCs w:val="20"/>
        </w:rPr>
        <w:t>8</w:t>
      </w:r>
      <w:r w:rsidRPr="00735B21">
        <w:rPr>
          <w:rFonts w:asciiTheme="minorHAnsi" w:hAnsiTheme="minorHAnsi"/>
          <w:color w:val="404040" w:themeColor="text1" w:themeTint="BF"/>
          <w:szCs w:val="20"/>
        </w:rPr>
        <w:t xml:space="preserve">, </w:t>
      </w:r>
      <w:r>
        <w:rPr>
          <w:rFonts w:asciiTheme="minorHAnsi" w:hAnsiTheme="minorHAnsi"/>
          <w:color w:val="404040" w:themeColor="text1" w:themeTint="BF"/>
          <w:szCs w:val="20"/>
        </w:rPr>
        <w:t>86</w:t>
      </w:r>
      <w:r w:rsidRPr="00735B21">
        <w:rPr>
          <w:rFonts w:asciiTheme="minorHAnsi" w:hAnsiTheme="minorHAnsi"/>
          <w:color w:val="404040" w:themeColor="text1" w:themeTint="BF"/>
          <w:szCs w:val="20"/>
        </w:rPr>
        <w:t>% of the funding went directly to create or preserve affordable housing, or provide rental assistance.</w:t>
      </w:r>
    </w:p>
    <w:p w14:paraId="53CF0CDE" w14:textId="77777777" w:rsidR="00B24E8D" w:rsidRDefault="00B24E8D" w:rsidP="00B24E8D">
      <w:pPr>
        <w:spacing w:line="360" w:lineRule="auto"/>
        <w:ind w:right="360"/>
        <w:rPr>
          <w:rFonts w:asciiTheme="minorHAnsi" w:hAnsiTheme="minorHAnsi" w:cstheme="minorHAnsi"/>
          <w:b/>
          <w:color w:val="404040" w:themeColor="text1" w:themeTint="BF"/>
          <w:szCs w:val="20"/>
        </w:rPr>
      </w:pPr>
    </w:p>
    <w:p w14:paraId="492D83A1" w14:textId="77777777" w:rsidR="00B24E8D" w:rsidRDefault="00B24E8D" w:rsidP="00B24E8D">
      <w:pPr>
        <w:spacing w:line="360" w:lineRule="auto"/>
        <w:ind w:right="360"/>
        <w:rPr>
          <w:rFonts w:asciiTheme="minorHAnsi" w:hAnsiTheme="minorHAnsi" w:cstheme="minorHAnsi"/>
          <w:b/>
          <w:color w:val="404040" w:themeColor="text1" w:themeTint="BF"/>
          <w:szCs w:val="20"/>
        </w:rPr>
      </w:pPr>
    </w:p>
    <w:p w14:paraId="721F8F4D" w14:textId="77777777" w:rsidR="00B24E8D" w:rsidRDefault="00B24E8D" w:rsidP="00B24E8D">
      <w:pPr>
        <w:spacing w:line="360" w:lineRule="auto"/>
        <w:ind w:right="360"/>
        <w:rPr>
          <w:rFonts w:asciiTheme="minorHAnsi" w:hAnsiTheme="minorHAnsi" w:cstheme="minorHAnsi"/>
          <w:b/>
          <w:color w:val="404040" w:themeColor="text1" w:themeTint="BF"/>
          <w:szCs w:val="20"/>
        </w:rPr>
      </w:pPr>
    </w:p>
    <w:p w14:paraId="3FC978AE" w14:textId="77777777" w:rsidR="00B24E8D" w:rsidRDefault="00B24E8D" w:rsidP="00B24E8D">
      <w:pPr>
        <w:spacing w:line="360" w:lineRule="auto"/>
        <w:ind w:right="360"/>
        <w:rPr>
          <w:rFonts w:asciiTheme="minorHAnsi" w:hAnsiTheme="minorHAnsi" w:cstheme="minorHAnsi"/>
          <w:b/>
          <w:color w:val="404040" w:themeColor="text1" w:themeTint="BF"/>
          <w:szCs w:val="20"/>
        </w:rPr>
      </w:pPr>
    </w:p>
    <w:p w14:paraId="2F2780DB" w14:textId="77777777" w:rsidR="00B24E8D" w:rsidRDefault="00B24E8D" w:rsidP="00B24E8D">
      <w:pPr>
        <w:spacing w:line="360" w:lineRule="auto"/>
        <w:ind w:right="360"/>
        <w:rPr>
          <w:rFonts w:asciiTheme="minorHAnsi" w:hAnsiTheme="minorHAnsi" w:cstheme="minorHAnsi"/>
          <w:b/>
          <w:color w:val="404040" w:themeColor="text1" w:themeTint="BF"/>
          <w:szCs w:val="20"/>
        </w:rPr>
      </w:pPr>
    </w:p>
    <w:p w14:paraId="19871CA4" w14:textId="77777777" w:rsidR="00B24E8D" w:rsidRDefault="00B24E8D" w:rsidP="00B24E8D">
      <w:pPr>
        <w:spacing w:line="360" w:lineRule="auto"/>
        <w:ind w:right="360"/>
        <w:rPr>
          <w:rFonts w:asciiTheme="minorHAnsi" w:hAnsiTheme="minorHAnsi" w:cstheme="minorHAnsi"/>
          <w:b/>
          <w:color w:val="404040" w:themeColor="text1" w:themeTint="BF"/>
          <w:szCs w:val="20"/>
        </w:rPr>
      </w:pPr>
    </w:p>
    <w:p w14:paraId="6F627333" w14:textId="77777777" w:rsidR="00B24E8D" w:rsidRDefault="00B24E8D" w:rsidP="00B24E8D">
      <w:pPr>
        <w:spacing w:line="360" w:lineRule="auto"/>
        <w:ind w:right="360"/>
        <w:rPr>
          <w:rFonts w:asciiTheme="minorHAnsi" w:hAnsiTheme="minorHAnsi" w:cstheme="minorHAnsi"/>
          <w:b/>
          <w:color w:val="404040" w:themeColor="text1" w:themeTint="BF"/>
          <w:szCs w:val="20"/>
        </w:rPr>
      </w:pPr>
    </w:p>
    <w:p w14:paraId="2EEA7180" w14:textId="77777777" w:rsidR="00B24E8D" w:rsidRDefault="00B24E8D" w:rsidP="00B24E8D">
      <w:pPr>
        <w:spacing w:line="360" w:lineRule="auto"/>
        <w:ind w:right="360"/>
        <w:rPr>
          <w:rFonts w:asciiTheme="minorHAnsi" w:hAnsiTheme="minorHAnsi" w:cstheme="minorHAnsi"/>
          <w:b/>
          <w:color w:val="404040" w:themeColor="text1" w:themeTint="BF"/>
          <w:szCs w:val="20"/>
        </w:rPr>
      </w:pPr>
    </w:p>
    <w:p w14:paraId="73110CA5" w14:textId="77777777" w:rsidR="00B24E8D" w:rsidRDefault="00B24E8D" w:rsidP="00B24E8D">
      <w:pPr>
        <w:spacing w:line="360" w:lineRule="auto"/>
        <w:ind w:right="360"/>
        <w:rPr>
          <w:rFonts w:asciiTheme="minorHAnsi" w:hAnsiTheme="minorHAnsi" w:cstheme="minorHAnsi"/>
          <w:b/>
          <w:color w:val="404040" w:themeColor="text1" w:themeTint="BF"/>
          <w:szCs w:val="20"/>
        </w:rPr>
      </w:pPr>
    </w:p>
    <w:p w14:paraId="701F0B47" w14:textId="77777777" w:rsidR="00B24E8D" w:rsidRDefault="00B24E8D" w:rsidP="00B24E8D">
      <w:pPr>
        <w:spacing w:line="360" w:lineRule="auto"/>
        <w:ind w:right="360"/>
        <w:rPr>
          <w:rFonts w:asciiTheme="minorHAnsi" w:hAnsiTheme="minorHAnsi" w:cstheme="minorHAnsi"/>
          <w:b/>
          <w:color w:val="404040" w:themeColor="text1" w:themeTint="BF"/>
          <w:szCs w:val="20"/>
        </w:rPr>
      </w:pPr>
    </w:p>
    <w:p w14:paraId="72008E03" w14:textId="77777777" w:rsidR="00B24E8D" w:rsidRDefault="00B24E8D" w:rsidP="00B24E8D">
      <w:pPr>
        <w:spacing w:line="360" w:lineRule="auto"/>
        <w:ind w:right="360"/>
        <w:rPr>
          <w:rFonts w:asciiTheme="minorHAnsi" w:hAnsiTheme="minorHAnsi" w:cstheme="minorHAnsi"/>
          <w:b/>
          <w:color w:val="404040" w:themeColor="text1" w:themeTint="BF"/>
          <w:szCs w:val="20"/>
        </w:rPr>
      </w:pPr>
    </w:p>
    <w:p w14:paraId="1A550699" w14:textId="77777777" w:rsidR="00B24E8D" w:rsidRDefault="00B24E8D" w:rsidP="00B24E8D">
      <w:pPr>
        <w:spacing w:line="360" w:lineRule="auto"/>
        <w:ind w:right="360"/>
        <w:rPr>
          <w:rFonts w:asciiTheme="minorHAnsi" w:hAnsiTheme="minorHAnsi" w:cstheme="minorHAnsi"/>
          <w:b/>
          <w:color w:val="404040" w:themeColor="text1" w:themeTint="BF"/>
          <w:szCs w:val="20"/>
        </w:rPr>
      </w:pPr>
    </w:p>
    <w:p w14:paraId="4AEAD8A6" w14:textId="77777777" w:rsidR="00B24E8D" w:rsidRDefault="00B24E8D" w:rsidP="00B24E8D">
      <w:pPr>
        <w:spacing w:line="360" w:lineRule="auto"/>
        <w:ind w:right="360"/>
        <w:rPr>
          <w:rFonts w:asciiTheme="minorHAnsi" w:hAnsiTheme="minorHAnsi" w:cstheme="minorHAnsi"/>
          <w:b/>
          <w:color w:val="404040" w:themeColor="text1" w:themeTint="BF"/>
          <w:szCs w:val="20"/>
        </w:rPr>
      </w:pPr>
    </w:p>
    <w:p w14:paraId="2E863392" w14:textId="77777777" w:rsidR="00B24E8D" w:rsidRDefault="00B24E8D" w:rsidP="00B24E8D">
      <w:pPr>
        <w:spacing w:line="360" w:lineRule="auto"/>
        <w:ind w:right="360"/>
        <w:rPr>
          <w:rFonts w:asciiTheme="minorHAnsi" w:hAnsiTheme="minorHAnsi" w:cstheme="minorHAnsi"/>
          <w:b/>
          <w:color w:val="404040" w:themeColor="text1" w:themeTint="BF"/>
          <w:szCs w:val="20"/>
        </w:rPr>
      </w:pPr>
    </w:p>
    <w:p w14:paraId="6D7524A7" w14:textId="77777777" w:rsidR="00B24E8D" w:rsidRDefault="00B24E8D" w:rsidP="00B24E8D">
      <w:pPr>
        <w:spacing w:line="360" w:lineRule="auto"/>
        <w:ind w:right="360"/>
        <w:rPr>
          <w:rFonts w:asciiTheme="minorHAnsi" w:hAnsiTheme="minorHAnsi" w:cstheme="minorHAnsi"/>
          <w:b/>
          <w:color w:val="404040" w:themeColor="text1" w:themeTint="BF"/>
          <w:szCs w:val="20"/>
        </w:rPr>
      </w:pPr>
    </w:p>
    <w:p w14:paraId="420C18D9" w14:textId="77777777" w:rsidR="00B24E8D" w:rsidRDefault="00B24E8D" w:rsidP="00B24E8D">
      <w:pPr>
        <w:spacing w:line="360" w:lineRule="auto"/>
        <w:ind w:right="360"/>
        <w:rPr>
          <w:rFonts w:asciiTheme="minorHAnsi" w:hAnsiTheme="minorHAnsi" w:cstheme="minorHAnsi"/>
          <w:b/>
          <w:color w:val="404040" w:themeColor="text1" w:themeTint="BF"/>
          <w:szCs w:val="20"/>
        </w:rPr>
      </w:pPr>
    </w:p>
    <w:p w14:paraId="6522122C" w14:textId="77777777" w:rsidR="00B24E8D" w:rsidRDefault="00B24E8D" w:rsidP="00B24E8D">
      <w:pPr>
        <w:spacing w:line="360" w:lineRule="auto"/>
        <w:ind w:right="360"/>
        <w:rPr>
          <w:rFonts w:asciiTheme="minorHAnsi" w:hAnsiTheme="minorHAnsi" w:cstheme="minorHAnsi"/>
          <w:b/>
          <w:color w:val="404040" w:themeColor="text1" w:themeTint="BF"/>
          <w:szCs w:val="20"/>
        </w:rPr>
      </w:pPr>
    </w:p>
    <w:p w14:paraId="67201DEA" w14:textId="77777777" w:rsidR="00B24E8D" w:rsidRDefault="00B24E8D" w:rsidP="00B24E8D">
      <w:pPr>
        <w:spacing w:line="360" w:lineRule="auto"/>
        <w:ind w:right="360"/>
        <w:rPr>
          <w:rFonts w:asciiTheme="minorHAnsi" w:hAnsiTheme="minorHAnsi" w:cstheme="minorHAnsi"/>
          <w:b/>
          <w:color w:val="404040" w:themeColor="text1" w:themeTint="BF"/>
          <w:szCs w:val="20"/>
        </w:rPr>
      </w:pPr>
    </w:p>
    <w:p w14:paraId="5628847B" w14:textId="77777777" w:rsidR="00B24E8D" w:rsidRDefault="00B24E8D" w:rsidP="00B24E8D">
      <w:pPr>
        <w:spacing w:line="360" w:lineRule="auto"/>
        <w:ind w:right="360"/>
        <w:rPr>
          <w:rFonts w:asciiTheme="minorHAnsi" w:hAnsiTheme="minorHAnsi" w:cstheme="minorHAnsi"/>
          <w:b/>
          <w:color w:val="404040" w:themeColor="text1" w:themeTint="BF"/>
          <w:szCs w:val="20"/>
        </w:rPr>
      </w:pPr>
    </w:p>
    <w:p w14:paraId="53F5AF97" w14:textId="77777777" w:rsidR="00C91F30" w:rsidRDefault="00C91F30" w:rsidP="00B24E8D">
      <w:pPr>
        <w:spacing w:line="360" w:lineRule="auto"/>
        <w:ind w:right="360"/>
        <w:rPr>
          <w:rFonts w:asciiTheme="minorHAnsi" w:hAnsiTheme="minorHAnsi" w:cstheme="minorHAnsi"/>
          <w:b/>
          <w:color w:val="404040" w:themeColor="text1" w:themeTint="BF"/>
          <w:szCs w:val="20"/>
        </w:rPr>
      </w:pPr>
    </w:p>
    <w:p w14:paraId="135E254D" w14:textId="77777777" w:rsidR="00C91F30" w:rsidRDefault="00C91F30" w:rsidP="00B24E8D">
      <w:pPr>
        <w:spacing w:line="360" w:lineRule="auto"/>
        <w:ind w:right="360"/>
        <w:rPr>
          <w:rFonts w:asciiTheme="minorHAnsi" w:hAnsiTheme="minorHAnsi" w:cstheme="minorHAnsi"/>
          <w:b/>
          <w:color w:val="404040" w:themeColor="text1" w:themeTint="BF"/>
          <w:szCs w:val="20"/>
        </w:rPr>
      </w:pPr>
    </w:p>
    <w:p w14:paraId="1DC9AE9A" w14:textId="77777777" w:rsidR="00C91F30" w:rsidRDefault="00C91F30" w:rsidP="00B24E8D">
      <w:pPr>
        <w:spacing w:line="360" w:lineRule="auto"/>
        <w:ind w:right="360"/>
        <w:rPr>
          <w:rFonts w:asciiTheme="minorHAnsi" w:hAnsiTheme="minorHAnsi" w:cstheme="minorHAnsi"/>
          <w:b/>
          <w:color w:val="404040" w:themeColor="text1" w:themeTint="BF"/>
          <w:szCs w:val="20"/>
        </w:rPr>
      </w:pPr>
    </w:p>
    <w:p w14:paraId="6B6F40CB" w14:textId="77777777" w:rsidR="00B24E8D" w:rsidRDefault="00B24E8D" w:rsidP="00B24E8D">
      <w:pPr>
        <w:spacing w:line="360" w:lineRule="auto"/>
        <w:ind w:right="360"/>
        <w:rPr>
          <w:rFonts w:asciiTheme="minorHAnsi" w:hAnsiTheme="minorHAnsi" w:cstheme="minorHAnsi"/>
          <w:b/>
          <w:color w:val="404040" w:themeColor="text1" w:themeTint="BF"/>
          <w:szCs w:val="20"/>
        </w:rPr>
      </w:pPr>
    </w:p>
    <w:p w14:paraId="26158AFB" w14:textId="77777777" w:rsidR="00B24E8D" w:rsidRDefault="00B24E8D" w:rsidP="00B24E8D">
      <w:pPr>
        <w:spacing w:line="360" w:lineRule="auto"/>
        <w:ind w:right="360"/>
        <w:rPr>
          <w:rFonts w:asciiTheme="minorHAnsi" w:hAnsiTheme="minorHAnsi" w:cstheme="minorHAnsi"/>
          <w:b/>
          <w:color w:val="404040" w:themeColor="text1" w:themeTint="BF"/>
          <w:szCs w:val="20"/>
        </w:rPr>
      </w:pPr>
    </w:p>
    <w:p w14:paraId="238193EE" w14:textId="77777777" w:rsidR="00B24E8D" w:rsidRDefault="00B24E8D" w:rsidP="00B24E8D">
      <w:pPr>
        <w:spacing w:line="360" w:lineRule="auto"/>
        <w:ind w:right="360"/>
        <w:rPr>
          <w:rFonts w:asciiTheme="minorHAnsi" w:hAnsiTheme="minorHAnsi" w:cstheme="minorHAnsi"/>
          <w:b/>
          <w:color w:val="404040" w:themeColor="text1" w:themeTint="BF"/>
          <w:szCs w:val="20"/>
        </w:rPr>
      </w:pPr>
    </w:p>
    <w:p w14:paraId="4CDD4409" w14:textId="77777777" w:rsidR="00F0490B" w:rsidRDefault="00F0490B" w:rsidP="00B24E8D">
      <w:pPr>
        <w:spacing w:line="360" w:lineRule="auto"/>
        <w:ind w:right="360"/>
        <w:rPr>
          <w:rFonts w:asciiTheme="minorHAnsi" w:hAnsiTheme="minorHAnsi" w:cstheme="minorHAnsi"/>
          <w:b/>
          <w:color w:val="404040" w:themeColor="text1" w:themeTint="BF"/>
          <w:szCs w:val="20"/>
        </w:rPr>
      </w:pPr>
    </w:p>
    <w:p w14:paraId="5F87D99F" w14:textId="77777777" w:rsidR="00F0490B" w:rsidRDefault="00F0490B" w:rsidP="00B24E8D">
      <w:pPr>
        <w:spacing w:line="360" w:lineRule="auto"/>
        <w:ind w:right="360"/>
        <w:rPr>
          <w:rFonts w:asciiTheme="minorHAnsi" w:hAnsiTheme="minorHAnsi" w:cstheme="minorHAnsi"/>
          <w:b/>
          <w:color w:val="404040" w:themeColor="text1" w:themeTint="BF"/>
          <w:szCs w:val="20"/>
        </w:rPr>
      </w:pPr>
    </w:p>
    <w:p w14:paraId="53882C41" w14:textId="77777777" w:rsidR="00A60631" w:rsidRDefault="00A60631" w:rsidP="00B24E8D">
      <w:pPr>
        <w:spacing w:line="360" w:lineRule="auto"/>
        <w:ind w:right="360"/>
        <w:rPr>
          <w:rFonts w:asciiTheme="minorHAnsi" w:hAnsiTheme="minorHAnsi" w:cstheme="minorHAnsi"/>
          <w:b/>
          <w:color w:val="404040" w:themeColor="text1" w:themeTint="BF"/>
          <w:szCs w:val="20"/>
        </w:rPr>
      </w:pPr>
    </w:p>
    <w:p w14:paraId="5445CBC3" w14:textId="2F0DE656" w:rsidR="000B6DFA" w:rsidRPr="00F7751B" w:rsidRDefault="000B6DFA" w:rsidP="000B6DFA">
      <w:pPr>
        <w:spacing w:line="276" w:lineRule="auto"/>
        <w:ind w:right="360"/>
        <w:rPr>
          <w:rFonts w:asciiTheme="minorHAnsi" w:hAnsiTheme="minorHAnsi" w:cstheme="minorHAnsi"/>
          <w:i/>
          <w:color w:val="1F497D" w:themeColor="text2"/>
          <w:sz w:val="18"/>
          <w:szCs w:val="18"/>
        </w:rPr>
      </w:pPr>
      <w:r w:rsidRPr="009629AD">
        <w:rPr>
          <w:rFonts w:asciiTheme="minorHAnsi" w:hAnsiTheme="minorHAnsi" w:cstheme="minorHAnsi"/>
          <w:noProof/>
          <w:color w:val="1F497D" w:themeColor="text2"/>
          <w:sz w:val="24"/>
        </w:rPr>
        <mc:AlternateContent>
          <mc:Choice Requires="wps">
            <w:drawing>
              <wp:anchor distT="0" distB="0" distL="114300" distR="114300" simplePos="0" relativeHeight="251751424" behindDoc="0" locked="0" layoutInCell="1" allowOverlap="1" wp14:anchorId="1B80AA68" wp14:editId="32161A18">
                <wp:simplePos x="0" y="0"/>
                <wp:positionH relativeFrom="column">
                  <wp:posOffset>-190500</wp:posOffset>
                </wp:positionH>
                <wp:positionV relativeFrom="paragraph">
                  <wp:posOffset>-38100</wp:posOffset>
                </wp:positionV>
                <wp:extent cx="6779895" cy="635"/>
                <wp:effectExtent l="9525" t="9525" r="11430" b="8890"/>
                <wp:wrapNone/>
                <wp:docPr id="4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989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3B1A1" id="AutoShape 15" o:spid="_x0000_s1026" type="#_x0000_t32" style="position:absolute;margin-left:-15pt;margin-top:-3pt;width:533.85pt;height:.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" strokecolor="#548dd4"/>
            </w:pict>
          </mc:Fallback>
        </mc:AlternateContent>
      </w:r>
      <w:r w:rsidRPr="009629AD">
        <w:rPr>
          <w:rFonts w:asciiTheme="minorHAnsi" w:hAnsiTheme="minorHAnsi" w:cstheme="minorHAnsi"/>
          <w:b/>
          <w:color w:val="1F497D" w:themeColor="text2"/>
          <w:sz w:val="24"/>
        </w:rPr>
        <w:t>CR-</w:t>
      </w:r>
      <w:r>
        <w:rPr>
          <w:rFonts w:asciiTheme="minorHAnsi" w:hAnsiTheme="minorHAnsi" w:cstheme="minorHAnsi"/>
          <w:b/>
          <w:color w:val="1F497D" w:themeColor="text2"/>
          <w:sz w:val="24"/>
        </w:rPr>
        <w:t xml:space="preserve">55 HOPWA </w:t>
      </w:r>
      <w:r>
        <w:rPr>
          <w:rFonts w:asciiTheme="minorHAnsi" w:hAnsiTheme="minorHAnsi" w:cstheme="minorHAnsi"/>
          <w:i/>
          <w:color w:val="1F497D" w:themeColor="text2"/>
          <w:sz w:val="18"/>
          <w:szCs w:val="18"/>
        </w:rPr>
        <w:t xml:space="preserve">– 91.520 (e) </w:t>
      </w:r>
    </w:p>
    <w:bookmarkEnd w:id="0"/>
    <w:bookmarkEnd w:id="1"/>
    <w:p w14:paraId="56446CD6" w14:textId="77777777" w:rsidR="00C91F30" w:rsidRPr="00C91F30" w:rsidRDefault="00C91F30" w:rsidP="00C91F30">
      <w:pPr>
        <w:spacing w:line="276" w:lineRule="auto"/>
        <w:ind w:right="360"/>
        <w:rPr>
          <w:rFonts w:ascii="Calibri" w:hAnsi="Calibri" w:cs="Calibri"/>
          <w:b/>
          <w:color w:val="404040"/>
          <w:szCs w:val="20"/>
        </w:rPr>
      </w:pPr>
      <w:r w:rsidRPr="00C91F30">
        <w:rPr>
          <w:rFonts w:ascii="Calibri" w:hAnsi="Calibri" w:cs="Calibri"/>
          <w:b/>
          <w:color w:val="404040"/>
          <w:szCs w:val="20"/>
        </w:rPr>
        <w:t xml:space="preserve">IDENTIFY THE NUMBER OF INDIVIDUALS ASSISTED AND THE TYPES OF ASSISTANCE PROVIDED </w:t>
      </w:r>
    </w:p>
    <w:p w14:paraId="1A102124" w14:textId="77777777" w:rsidR="00C91F30" w:rsidRPr="00C91F30" w:rsidRDefault="00C91F30" w:rsidP="00C91F30">
      <w:pPr>
        <w:spacing w:line="276" w:lineRule="auto"/>
        <w:ind w:right="360"/>
        <w:rPr>
          <w:rFonts w:ascii="Calibri" w:hAnsi="Calibri" w:cs="Calibri"/>
          <w:b/>
          <w:i/>
          <w:color w:val="404040"/>
          <w:sz w:val="18"/>
          <w:szCs w:val="18"/>
        </w:rPr>
      </w:pPr>
    </w:p>
    <w:p w14:paraId="77D41BEB" w14:textId="77777777" w:rsidR="00C91F30" w:rsidRPr="00C91F30" w:rsidRDefault="00C91F30" w:rsidP="00C91F30">
      <w:pPr>
        <w:spacing w:line="276" w:lineRule="auto"/>
        <w:ind w:right="360"/>
        <w:rPr>
          <w:rFonts w:ascii="Calibri" w:hAnsi="Calibri" w:cs="Calibri"/>
          <w:b/>
          <w:i/>
          <w:color w:val="404040"/>
          <w:sz w:val="18"/>
          <w:szCs w:val="18"/>
        </w:rPr>
      </w:pPr>
      <w:r w:rsidRPr="00C91F30">
        <w:rPr>
          <w:rFonts w:ascii="Calibri" w:hAnsi="Calibri" w:cs="Calibri"/>
          <w:b/>
          <w:i/>
          <w:color w:val="404040"/>
          <w:sz w:val="18"/>
          <w:szCs w:val="18"/>
        </w:rPr>
        <w:t>Use the table below to report on the one-year goals for the number of households provided housing through the use of HOPWA activities for: short-term rent, mortgage, and utility assistance payments to prevent homelessness of the individual or family; tenant-based rental assistance; and units provided in housing facilities developed, leased, or operated with HOPWA funds.</w:t>
      </w:r>
    </w:p>
    <w:p w14:paraId="1F400F44" w14:textId="77777777" w:rsidR="00C91F30" w:rsidRPr="00C91F30" w:rsidRDefault="00C91F30" w:rsidP="00C91F30">
      <w:pPr>
        <w:spacing w:line="276" w:lineRule="auto"/>
        <w:ind w:right="360"/>
        <w:rPr>
          <w:rFonts w:ascii="Calibri" w:hAnsi="Calibri" w:cs="Calibri"/>
          <w:b/>
          <w:color w:val="FF0000"/>
          <w:sz w:val="18"/>
          <w:szCs w:val="18"/>
        </w:rPr>
      </w:pPr>
    </w:p>
    <w:p w14:paraId="77967825" w14:textId="77777777" w:rsidR="00C91F30" w:rsidRPr="00C91F30" w:rsidRDefault="00C91F30" w:rsidP="00C91F30">
      <w:pPr>
        <w:spacing w:line="276" w:lineRule="auto"/>
        <w:ind w:right="360"/>
        <w:rPr>
          <w:rFonts w:ascii="Calibri" w:hAnsi="Calibri" w:cs="Calibri"/>
          <w:b/>
          <w:color w:val="70AD47"/>
          <w:szCs w:val="20"/>
        </w:rPr>
      </w:pPr>
      <w:r w:rsidRPr="00C91F30">
        <w:rPr>
          <w:rFonts w:ascii="Calibri" w:hAnsi="Calibri" w:cs="Calibri"/>
          <w:b/>
          <w:color w:val="404040"/>
          <w:szCs w:val="20"/>
        </w:rPr>
        <w:t>Table 14 – HOPWA Number of Households Served</w:t>
      </w:r>
      <w:r w:rsidRPr="00C91F30">
        <w:rPr>
          <w:rFonts w:ascii="Calibri" w:hAnsi="Calibri" w:cs="Calibri"/>
          <w:b/>
          <w:color w:val="70AD47"/>
          <w:szCs w:val="20"/>
        </w:rPr>
        <w:t xml:space="preserve"> </w:t>
      </w:r>
    </w:p>
    <w:tbl>
      <w:tblPr>
        <w:tblW w:w="6480" w:type="dxa"/>
        <w:tblLook w:val="04A0" w:firstRow="1" w:lastRow="0" w:firstColumn="1" w:lastColumn="0" w:noHBand="0" w:noVBand="1"/>
      </w:tblPr>
      <w:tblGrid>
        <w:gridCol w:w="4040"/>
        <w:gridCol w:w="1440"/>
        <w:gridCol w:w="1000"/>
      </w:tblGrid>
      <w:tr w:rsidR="00C91F30" w:rsidRPr="00C91F30" w14:paraId="4CE3FB64" w14:textId="77777777" w:rsidTr="00C91F30">
        <w:trPr>
          <w:trHeight w:val="582"/>
        </w:trPr>
        <w:tc>
          <w:tcPr>
            <w:tcW w:w="4040" w:type="dxa"/>
            <w:tcBorders>
              <w:top w:val="single" w:sz="8" w:space="0" w:color="auto"/>
              <w:left w:val="single" w:sz="8" w:space="0" w:color="auto"/>
              <w:bottom w:val="single" w:sz="8" w:space="0" w:color="auto"/>
              <w:right w:val="single" w:sz="8" w:space="0" w:color="auto"/>
            </w:tcBorders>
            <w:shd w:val="clear" w:color="auto" w:fill="D5DCE4"/>
            <w:vAlign w:val="center"/>
            <w:hideMark/>
          </w:tcPr>
          <w:p w14:paraId="628C187A" w14:textId="77777777" w:rsidR="00C91F30" w:rsidRPr="00C91F30" w:rsidRDefault="00C91F30" w:rsidP="00C91F30">
            <w:pPr>
              <w:jc w:val="center"/>
              <w:rPr>
                <w:rFonts w:ascii="Calibri" w:eastAsia="Times New Roman" w:hAnsi="Calibri"/>
                <w:b/>
                <w:bCs/>
                <w:color w:val="404040"/>
                <w:szCs w:val="20"/>
              </w:rPr>
            </w:pPr>
            <w:r w:rsidRPr="00C91F30">
              <w:rPr>
                <w:rFonts w:ascii="Calibri" w:eastAsia="Times New Roman" w:hAnsi="Calibri"/>
                <w:b/>
                <w:bCs/>
                <w:color w:val="404040"/>
                <w:szCs w:val="20"/>
              </w:rPr>
              <w:t>Number  of Households Served Through:</w:t>
            </w:r>
          </w:p>
        </w:tc>
        <w:tc>
          <w:tcPr>
            <w:tcW w:w="1440" w:type="dxa"/>
            <w:tcBorders>
              <w:top w:val="single" w:sz="8" w:space="0" w:color="auto"/>
              <w:left w:val="nil"/>
              <w:bottom w:val="single" w:sz="8" w:space="0" w:color="auto"/>
              <w:right w:val="single" w:sz="8" w:space="0" w:color="auto"/>
            </w:tcBorders>
            <w:shd w:val="clear" w:color="auto" w:fill="D5DCE4"/>
            <w:vAlign w:val="center"/>
            <w:hideMark/>
          </w:tcPr>
          <w:p w14:paraId="3393F609" w14:textId="77777777" w:rsidR="00C91F30" w:rsidRPr="00C91F30" w:rsidRDefault="00C91F30" w:rsidP="00C91F30">
            <w:pPr>
              <w:jc w:val="center"/>
              <w:rPr>
                <w:rFonts w:ascii="Calibri" w:eastAsia="Times New Roman" w:hAnsi="Calibri"/>
                <w:b/>
                <w:bCs/>
                <w:color w:val="404040"/>
                <w:szCs w:val="20"/>
              </w:rPr>
            </w:pPr>
            <w:r w:rsidRPr="00C91F30">
              <w:rPr>
                <w:rFonts w:ascii="Calibri" w:eastAsia="Times New Roman" w:hAnsi="Calibri"/>
                <w:b/>
                <w:bCs/>
                <w:color w:val="404040"/>
                <w:szCs w:val="20"/>
              </w:rPr>
              <w:t>One-year Goal</w:t>
            </w:r>
          </w:p>
        </w:tc>
        <w:tc>
          <w:tcPr>
            <w:tcW w:w="1000" w:type="dxa"/>
            <w:tcBorders>
              <w:top w:val="single" w:sz="8" w:space="0" w:color="auto"/>
              <w:left w:val="nil"/>
              <w:bottom w:val="single" w:sz="8" w:space="0" w:color="auto"/>
              <w:right w:val="single" w:sz="8" w:space="0" w:color="auto"/>
            </w:tcBorders>
            <w:shd w:val="clear" w:color="auto" w:fill="D5DCE4"/>
            <w:vAlign w:val="center"/>
            <w:hideMark/>
          </w:tcPr>
          <w:p w14:paraId="4E527875" w14:textId="77777777" w:rsidR="00C91F30" w:rsidRPr="00C91F30" w:rsidRDefault="00C91F30" w:rsidP="00C91F30">
            <w:pPr>
              <w:jc w:val="center"/>
              <w:rPr>
                <w:rFonts w:ascii="Calibri" w:eastAsia="Times New Roman" w:hAnsi="Calibri"/>
                <w:b/>
                <w:bCs/>
                <w:color w:val="404040"/>
                <w:szCs w:val="20"/>
              </w:rPr>
            </w:pPr>
            <w:r w:rsidRPr="00C91F30">
              <w:rPr>
                <w:rFonts w:ascii="Calibri" w:eastAsia="Times New Roman" w:hAnsi="Calibri"/>
                <w:b/>
                <w:bCs/>
                <w:color w:val="404040"/>
                <w:szCs w:val="20"/>
              </w:rPr>
              <w:t>Actual</w:t>
            </w:r>
          </w:p>
        </w:tc>
      </w:tr>
      <w:tr w:rsidR="00C91F30" w:rsidRPr="00C91F30" w14:paraId="33F8DFB5" w14:textId="77777777" w:rsidTr="00816745">
        <w:trPr>
          <w:trHeight w:val="582"/>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613011D4" w14:textId="77777777" w:rsidR="00C91F30" w:rsidRPr="00C91F30" w:rsidRDefault="00C91F30" w:rsidP="00C91F30">
            <w:pPr>
              <w:rPr>
                <w:rFonts w:ascii="Calibri" w:eastAsia="Times New Roman" w:hAnsi="Calibri"/>
                <w:color w:val="404040"/>
                <w:szCs w:val="20"/>
              </w:rPr>
            </w:pPr>
            <w:r w:rsidRPr="00C91F30">
              <w:rPr>
                <w:rFonts w:ascii="Calibri" w:eastAsia="Times New Roman" w:hAnsi="Calibri"/>
                <w:color w:val="404040"/>
                <w:szCs w:val="20"/>
              </w:rPr>
              <w:t>Short-term rent, mortgage, and utility assistance payments</w:t>
            </w:r>
          </w:p>
        </w:tc>
        <w:tc>
          <w:tcPr>
            <w:tcW w:w="1440" w:type="dxa"/>
            <w:tcBorders>
              <w:top w:val="nil"/>
              <w:left w:val="nil"/>
              <w:bottom w:val="single" w:sz="8" w:space="0" w:color="auto"/>
              <w:right w:val="single" w:sz="8" w:space="0" w:color="auto"/>
            </w:tcBorders>
            <w:shd w:val="clear" w:color="auto" w:fill="auto"/>
            <w:vAlign w:val="center"/>
            <w:hideMark/>
          </w:tcPr>
          <w:p w14:paraId="0C28DE71"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25</w:t>
            </w:r>
          </w:p>
        </w:tc>
        <w:tc>
          <w:tcPr>
            <w:tcW w:w="1000" w:type="dxa"/>
            <w:tcBorders>
              <w:top w:val="nil"/>
              <w:left w:val="nil"/>
              <w:bottom w:val="single" w:sz="8" w:space="0" w:color="auto"/>
              <w:right w:val="single" w:sz="8" w:space="0" w:color="auto"/>
            </w:tcBorders>
            <w:shd w:val="clear" w:color="auto" w:fill="auto"/>
            <w:vAlign w:val="center"/>
            <w:hideMark/>
          </w:tcPr>
          <w:p w14:paraId="16EA4229" w14:textId="445DE609" w:rsidR="00C91F30" w:rsidRPr="00C91F30" w:rsidRDefault="00E8484A" w:rsidP="00C91F30">
            <w:pPr>
              <w:jc w:val="center"/>
              <w:rPr>
                <w:rFonts w:ascii="Calibri" w:eastAsia="Times New Roman" w:hAnsi="Calibri"/>
                <w:color w:val="404040"/>
                <w:szCs w:val="20"/>
              </w:rPr>
            </w:pPr>
            <w:r>
              <w:rPr>
                <w:rFonts w:ascii="Calibri" w:eastAsia="Times New Roman" w:hAnsi="Calibri"/>
                <w:color w:val="404040"/>
                <w:szCs w:val="20"/>
              </w:rPr>
              <w:t>34</w:t>
            </w:r>
          </w:p>
        </w:tc>
      </w:tr>
      <w:tr w:rsidR="00C91F30" w:rsidRPr="00C91F30" w14:paraId="2A54E6CF" w14:textId="77777777" w:rsidTr="00816745">
        <w:trPr>
          <w:trHeight w:val="294"/>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6DAB0129" w14:textId="77777777" w:rsidR="00C91F30" w:rsidRPr="00C91F30" w:rsidRDefault="00C91F30" w:rsidP="00C91F30">
            <w:pPr>
              <w:rPr>
                <w:rFonts w:ascii="Calibri" w:eastAsia="Times New Roman" w:hAnsi="Calibri"/>
                <w:color w:val="404040"/>
                <w:szCs w:val="20"/>
              </w:rPr>
            </w:pPr>
            <w:r w:rsidRPr="00C91F30">
              <w:rPr>
                <w:rFonts w:ascii="Calibri" w:eastAsia="Times New Roman" w:hAnsi="Calibri"/>
                <w:color w:val="404040"/>
                <w:szCs w:val="20"/>
              </w:rPr>
              <w:t>Tenant-based rental assistance</w:t>
            </w:r>
          </w:p>
        </w:tc>
        <w:tc>
          <w:tcPr>
            <w:tcW w:w="1440" w:type="dxa"/>
            <w:tcBorders>
              <w:top w:val="nil"/>
              <w:left w:val="nil"/>
              <w:bottom w:val="single" w:sz="8" w:space="0" w:color="auto"/>
              <w:right w:val="single" w:sz="8" w:space="0" w:color="auto"/>
            </w:tcBorders>
            <w:shd w:val="clear" w:color="auto" w:fill="auto"/>
            <w:vAlign w:val="center"/>
            <w:hideMark/>
          </w:tcPr>
          <w:p w14:paraId="54587D00"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30</w:t>
            </w:r>
          </w:p>
        </w:tc>
        <w:tc>
          <w:tcPr>
            <w:tcW w:w="1000" w:type="dxa"/>
            <w:tcBorders>
              <w:top w:val="nil"/>
              <w:left w:val="nil"/>
              <w:bottom w:val="single" w:sz="8" w:space="0" w:color="auto"/>
              <w:right w:val="single" w:sz="8" w:space="0" w:color="auto"/>
            </w:tcBorders>
            <w:shd w:val="clear" w:color="auto" w:fill="auto"/>
            <w:vAlign w:val="center"/>
            <w:hideMark/>
          </w:tcPr>
          <w:p w14:paraId="61C0539F"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41</w:t>
            </w:r>
          </w:p>
        </w:tc>
      </w:tr>
      <w:tr w:rsidR="00C91F30" w:rsidRPr="00C91F30" w14:paraId="6C0C4517" w14:textId="77777777" w:rsidTr="00816745">
        <w:trPr>
          <w:trHeight w:val="870"/>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16276A32" w14:textId="77777777" w:rsidR="00C91F30" w:rsidRPr="00C91F30" w:rsidRDefault="00C91F30" w:rsidP="00C91F30">
            <w:pPr>
              <w:rPr>
                <w:rFonts w:ascii="Calibri" w:eastAsia="Times New Roman" w:hAnsi="Calibri"/>
                <w:color w:val="404040"/>
                <w:szCs w:val="20"/>
              </w:rPr>
            </w:pPr>
            <w:r w:rsidRPr="00C91F30">
              <w:rPr>
                <w:rFonts w:ascii="Calibri" w:eastAsia="Times New Roman" w:hAnsi="Calibri"/>
                <w:color w:val="404040"/>
                <w:szCs w:val="20"/>
              </w:rPr>
              <w:t>Units provided in transitional housing facilities developed, leased, or operated with HOPWA funds</w:t>
            </w:r>
          </w:p>
        </w:tc>
        <w:tc>
          <w:tcPr>
            <w:tcW w:w="1440" w:type="dxa"/>
            <w:tcBorders>
              <w:top w:val="nil"/>
              <w:left w:val="nil"/>
              <w:bottom w:val="single" w:sz="8" w:space="0" w:color="auto"/>
              <w:right w:val="single" w:sz="8" w:space="0" w:color="auto"/>
            </w:tcBorders>
            <w:shd w:val="clear" w:color="auto" w:fill="auto"/>
            <w:vAlign w:val="center"/>
            <w:hideMark/>
          </w:tcPr>
          <w:p w14:paraId="0121AF39"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044BD3E2"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0</w:t>
            </w:r>
          </w:p>
        </w:tc>
      </w:tr>
      <w:tr w:rsidR="00C91F30" w:rsidRPr="00C91F30" w14:paraId="3348473E" w14:textId="77777777" w:rsidTr="00816745">
        <w:trPr>
          <w:trHeight w:val="870"/>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2DC36D57" w14:textId="77777777" w:rsidR="00C91F30" w:rsidRPr="00C91F30" w:rsidRDefault="00C91F30" w:rsidP="00C91F30">
            <w:pPr>
              <w:rPr>
                <w:rFonts w:ascii="Calibri" w:eastAsia="Times New Roman" w:hAnsi="Calibri"/>
                <w:color w:val="404040"/>
                <w:szCs w:val="20"/>
              </w:rPr>
            </w:pPr>
            <w:r w:rsidRPr="00C91F30">
              <w:rPr>
                <w:rFonts w:ascii="Calibri" w:eastAsia="Times New Roman" w:hAnsi="Calibri"/>
                <w:color w:val="404040"/>
                <w:szCs w:val="20"/>
              </w:rPr>
              <w:t>Units provided in permanent housing facilities developed, leased, or operated with HOPWA funds</w:t>
            </w:r>
          </w:p>
        </w:tc>
        <w:tc>
          <w:tcPr>
            <w:tcW w:w="1440" w:type="dxa"/>
            <w:tcBorders>
              <w:top w:val="nil"/>
              <w:left w:val="nil"/>
              <w:bottom w:val="single" w:sz="8" w:space="0" w:color="auto"/>
              <w:right w:val="single" w:sz="8" w:space="0" w:color="auto"/>
            </w:tcBorders>
            <w:shd w:val="clear" w:color="auto" w:fill="auto"/>
            <w:vAlign w:val="center"/>
            <w:hideMark/>
          </w:tcPr>
          <w:p w14:paraId="3D465F13"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4FBA25C8"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0</w:t>
            </w:r>
          </w:p>
        </w:tc>
      </w:tr>
      <w:tr w:rsidR="00C91F30" w:rsidRPr="00C91F30" w14:paraId="744872B3" w14:textId="77777777" w:rsidTr="00816745">
        <w:trPr>
          <w:trHeight w:val="294"/>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76E1EA57" w14:textId="77777777" w:rsidR="00C91F30" w:rsidRPr="00C91F30" w:rsidRDefault="00C91F30" w:rsidP="00C91F30">
            <w:pPr>
              <w:rPr>
                <w:rFonts w:ascii="Calibri" w:eastAsia="Times New Roman" w:hAnsi="Calibri"/>
                <w:b/>
                <w:bCs/>
                <w:color w:val="404040"/>
                <w:szCs w:val="20"/>
              </w:rPr>
            </w:pPr>
            <w:r w:rsidRPr="00C91F30">
              <w:rPr>
                <w:rFonts w:ascii="Calibri" w:eastAsia="Times New Roman" w:hAnsi="Calibri"/>
                <w:b/>
                <w:bCs/>
                <w:color w:val="404040"/>
                <w:szCs w:val="20"/>
              </w:rPr>
              <w:t>Total</w:t>
            </w:r>
          </w:p>
        </w:tc>
        <w:tc>
          <w:tcPr>
            <w:tcW w:w="1440" w:type="dxa"/>
            <w:tcBorders>
              <w:top w:val="nil"/>
              <w:left w:val="nil"/>
              <w:bottom w:val="single" w:sz="8" w:space="0" w:color="auto"/>
              <w:right w:val="single" w:sz="8" w:space="0" w:color="auto"/>
            </w:tcBorders>
            <w:shd w:val="clear" w:color="auto" w:fill="auto"/>
            <w:vAlign w:val="center"/>
            <w:hideMark/>
          </w:tcPr>
          <w:p w14:paraId="53E7FD1F" w14:textId="77777777" w:rsidR="00C91F30" w:rsidRPr="00C91F30" w:rsidRDefault="00C91F30" w:rsidP="00C91F30">
            <w:pPr>
              <w:jc w:val="center"/>
              <w:rPr>
                <w:rFonts w:ascii="Calibri" w:eastAsia="Times New Roman" w:hAnsi="Calibri"/>
                <w:b/>
                <w:bCs/>
                <w:color w:val="404040"/>
                <w:szCs w:val="20"/>
              </w:rPr>
            </w:pPr>
            <w:r w:rsidRPr="00C91F30">
              <w:rPr>
                <w:rFonts w:ascii="Calibri" w:eastAsia="Times New Roman" w:hAnsi="Calibri"/>
                <w:b/>
                <w:bCs/>
                <w:color w:val="404040"/>
                <w:szCs w:val="20"/>
              </w:rPr>
              <w:t>55</w:t>
            </w:r>
          </w:p>
        </w:tc>
        <w:tc>
          <w:tcPr>
            <w:tcW w:w="1000" w:type="dxa"/>
            <w:tcBorders>
              <w:top w:val="nil"/>
              <w:left w:val="nil"/>
              <w:bottom w:val="single" w:sz="8" w:space="0" w:color="auto"/>
              <w:right w:val="single" w:sz="8" w:space="0" w:color="auto"/>
            </w:tcBorders>
            <w:shd w:val="clear" w:color="auto" w:fill="auto"/>
            <w:vAlign w:val="center"/>
            <w:hideMark/>
          </w:tcPr>
          <w:p w14:paraId="05E66F4C" w14:textId="23BD463B" w:rsidR="00C91F30" w:rsidRPr="00C91F30" w:rsidRDefault="00E8484A" w:rsidP="00C91F30">
            <w:pPr>
              <w:jc w:val="center"/>
              <w:rPr>
                <w:rFonts w:ascii="Calibri" w:eastAsia="Times New Roman" w:hAnsi="Calibri"/>
                <w:b/>
                <w:bCs/>
                <w:color w:val="404040"/>
                <w:szCs w:val="20"/>
              </w:rPr>
            </w:pPr>
            <w:r>
              <w:rPr>
                <w:rFonts w:ascii="Calibri" w:eastAsia="Times New Roman" w:hAnsi="Calibri"/>
                <w:b/>
                <w:bCs/>
                <w:color w:val="404040"/>
                <w:szCs w:val="20"/>
              </w:rPr>
              <w:t>75</w:t>
            </w:r>
          </w:p>
        </w:tc>
      </w:tr>
    </w:tbl>
    <w:p w14:paraId="1A6530CB" w14:textId="77777777" w:rsidR="00C91F30" w:rsidRPr="00C91F30" w:rsidRDefault="00C91F30" w:rsidP="00C91F30">
      <w:pPr>
        <w:spacing w:line="276" w:lineRule="auto"/>
        <w:ind w:right="360"/>
        <w:rPr>
          <w:rFonts w:ascii="Calibri" w:hAnsi="Calibri" w:cs="Calibri"/>
          <w:b/>
          <w:color w:val="404040"/>
          <w:szCs w:val="20"/>
        </w:rPr>
      </w:pPr>
    </w:p>
    <w:p w14:paraId="370DA7A6" w14:textId="77777777" w:rsidR="00C91F30" w:rsidRPr="00C91F30" w:rsidRDefault="00C91F30" w:rsidP="00C91F30">
      <w:pPr>
        <w:spacing w:line="360" w:lineRule="auto"/>
        <w:ind w:right="360"/>
        <w:jc w:val="both"/>
        <w:rPr>
          <w:rFonts w:ascii="Calibri" w:hAnsi="Calibri" w:cs="Calibri"/>
          <w:color w:val="404040"/>
          <w:szCs w:val="20"/>
        </w:rPr>
      </w:pPr>
      <w:r w:rsidRPr="00C91F30">
        <w:rPr>
          <w:rFonts w:ascii="Calibri" w:hAnsi="Calibri" w:cs="Calibri"/>
          <w:color w:val="404040"/>
          <w:szCs w:val="20"/>
        </w:rPr>
        <w:t xml:space="preserve">Salt Lake City was able to advance each one-year goal under HOPWA during the 17-18 year. </w:t>
      </w:r>
    </w:p>
    <w:p w14:paraId="21E56539" w14:textId="77777777" w:rsidR="00C91F30" w:rsidRPr="00C91F30" w:rsidRDefault="00C91F30" w:rsidP="00C91F30">
      <w:pPr>
        <w:spacing w:line="360" w:lineRule="auto"/>
        <w:ind w:right="360"/>
        <w:jc w:val="both"/>
        <w:rPr>
          <w:rFonts w:ascii="Calibri" w:hAnsi="Calibri" w:cs="Calibri"/>
          <w:color w:val="404040"/>
          <w:szCs w:val="20"/>
        </w:rPr>
      </w:pPr>
    </w:p>
    <w:p w14:paraId="7868EDFB" w14:textId="5495F464" w:rsidR="00C91F30" w:rsidRPr="00C91F30" w:rsidRDefault="00C91F30" w:rsidP="00C91F30">
      <w:pPr>
        <w:spacing w:line="360" w:lineRule="auto"/>
        <w:ind w:right="360"/>
        <w:jc w:val="both"/>
        <w:rPr>
          <w:rFonts w:ascii="Calibri" w:hAnsi="Calibri" w:cs="Calibri"/>
          <w:color w:val="404040"/>
          <w:szCs w:val="20"/>
        </w:rPr>
      </w:pPr>
      <w:r w:rsidRPr="00C91F30">
        <w:rPr>
          <w:rFonts w:ascii="Calibri" w:hAnsi="Calibri" w:cs="Calibri"/>
          <w:color w:val="404040"/>
          <w:szCs w:val="20"/>
        </w:rPr>
        <w:t>Salt Lake City provided STRMU assi</w:t>
      </w:r>
      <w:r w:rsidR="00E8484A">
        <w:rPr>
          <w:rFonts w:ascii="Calibri" w:hAnsi="Calibri" w:cs="Calibri"/>
          <w:color w:val="404040"/>
          <w:szCs w:val="20"/>
        </w:rPr>
        <w:t>stance and case management to 3</w:t>
      </w:r>
      <w:r w:rsidR="00E03E8F">
        <w:rPr>
          <w:rFonts w:ascii="Calibri" w:hAnsi="Calibri" w:cs="Calibri"/>
          <w:color w:val="404040"/>
          <w:szCs w:val="20"/>
        </w:rPr>
        <w:t xml:space="preserve">4 </w:t>
      </w:r>
      <w:r w:rsidRPr="00C91F30">
        <w:rPr>
          <w:rFonts w:ascii="Calibri" w:hAnsi="Calibri" w:cs="Calibri"/>
          <w:color w:val="404040"/>
          <w:szCs w:val="20"/>
        </w:rPr>
        <w:t>low-income households who are HIV+ with an income less than 80% of AMI. 7 households were provided with PHP services as well.</w:t>
      </w:r>
      <w:r w:rsidR="00E03E8F">
        <w:rPr>
          <w:rFonts w:ascii="Calibri" w:hAnsi="Calibri" w:cs="Calibri"/>
          <w:color w:val="404040"/>
          <w:szCs w:val="20"/>
        </w:rPr>
        <w:t xml:space="preserve"> A total of 38 de-duplicated households were served. </w:t>
      </w:r>
      <w:r w:rsidRPr="00C91F30">
        <w:rPr>
          <w:rFonts w:ascii="Calibri" w:hAnsi="Calibri" w:cs="Calibri"/>
          <w:color w:val="404040"/>
          <w:szCs w:val="20"/>
        </w:rPr>
        <w:t xml:space="preserve">These households and individuals assisted are in danger of losing their housing and/or are formerly homeless who do not qualify for rapid-rehousing funding. All of these households came through referrals from Clinic1A, Utah Aids Foundation, or other community partners. HOPWA applicants demonstrated that they were at-risk of homelessness or were homeless and did not have necessary alternative resources to overcome their housing crises. These funds targeted households with income less than 80% of AMI with at least one member reporting positive for HIV. Utah CAP, program administrator of the STRMU funds, has improved its coordination process with key HIV assistance agencies and is now able to provide services to a larger number of HIV clients. </w:t>
      </w:r>
    </w:p>
    <w:p w14:paraId="6C7EB1D0" w14:textId="77777777" w:rsidR="00C91F30" w:rsidRPr="00C91F30" w:rsidRDefault="00C91F30" w:rsidP="00C91F30">
      <w:pPr>
        <w:spacing w:line="360" w:lineRule="auto"/>
        <w:ind w:right="360"/>
        <w:jc w:val="both"/>
        <w:rPr>
          <w:rFonts w:ascii="Calibri" w:hAnsi="Calibri" w:cs="Calibri"/>
          <w:color w:val="404040"/>
          <w:szCs w:val="20"/>
        </w:rPr>
      </w:pPr>
    </w:p>
    <w:p w14:paraId="53786DAD" w14:textId="77D38168" w:rsidR="00C91F30" w:rsidRPr="00C91F30" w:rsidRDefault="00C91F30" w:rsidP="00C91F30">
      <w:pPr>
        <w:spacing w:line="360" w:lineRule="auto"/>
        <w:ind w:right="360"/>
        <w:jc w:val="both"/>
        <w:rPr>
          <w:rFonts w:ascii="Calibri" w:hAnsi="Calibri" w:cs="Calibri"/>
          <w:color w:val="404040"/>
          <w:szCs w:val="20"/>
        </w:rPr>
      </w:pPr>
      <w:r w:rsidRPr="00C91F30">
        <w:rPr>
          <w:rFonts w:ascii="Calibri" w:hAnsi="Calibri" w:cs="Calibri"/>
          <w:color w:val="404040"/>
          <w:szCs w:val="20"/>
        </w:rPr>
        <w:t xml:space="preserve">The Housing Authority of Salt Lake County, administrator of TBRA funds, were able to assist 41 households, continuing to provide necessary housing rental assistance to current households, and expand the tenant based rental assistance program for people with HIV/AIDS and their families. Additionally Utah AIDS Foundation was able to provide 47 households with supportive services with HOPWA funding provided by Salt Lake City. </w:t>
      </w:r>
    </w:p>
    <w:p w14:paraId="4E145C17" w14:textId="77777777" w:rsidR="00C91F30" w:rsidRPr="00C91F30" w:rsidRDefault="00C91F30" w:rsidP="00C91F30">
      <w:pPr>
        <w:spacing w:line="360" w:lineRule="auto"/>
        <w:ind w:right="360"/>
        <w:jc w:val="both"/>
        <w:rPr>
          <w:rFonts w:ascii="Calibri" w:hAnsi="Calibri" w:cs="Calibri"/>
          <w:color w:val="404040"/>
          <w:szCs w:val="20"/>
        </w:rPr>
      </w:pPr>
    </w:p>
    <w:p w14:paraId="7E1DBAD0" w14:textId="77777777" w:rsidR="00C91F30" w:rsidRPr="00C91F30" w:rsidRDefault="00C91F30" w:rsidP="00C91F30">
      <w:pPr>
        <w:spacing w:line="360" w:lineRule="auto"/>
        <w:ind w:right="360"/>
        <w:rPr>
          <w:rFonts w:ascii="Calibri" w:hAnsi="Calibri" w:cs="Calibri"/>
          <w:color w:val="404040"/>
          <w:szCs w:val="20"/>
        </w:rPr>
      </w:pPr>
      <w:r w:rsidRPr="00C91F30">
        <w:rPr>
          <w:rFonts w:ascii="Calibri" w:hAnsi="Calibri" w:cs="Calibri"/>
          <w:color w:val="404040"/>
          <w:szCs w:val="20"/>
        </w:rPr>
        <w:t xml:space="preserve">Salt Lake City, HOPWA partners and the State of Utah have worked to ensure that HOPWA clients are assisted with wrap around services. HOPWA clients are also inputted into HMIS for data tracking, service history and analysis. Additionally, the community has committed to using the VI-SPDAT pre-screen survey, which helps prioritize access and services based upon medical vulnerability. </w:t>
      </w:r>
    </w:p>
    <w:p w14:paraId="5594C34F" w14:textId="77777777" w:rsidR="00C91F30" w:rsidRPr="00C91F30" w:rsidRDefault="00C91F30" w:rsidP="00C91F30">
      <w:pPr>
        <w:spacing w:line="360" w:lineRule="auto"/>
        <w:ind w:right="360"/>
        <w:rPr>
          <w:rFonts w:ascii="Calibri" w:hAnsi="Calibri" w:cs="Calibri"/>
          <w:color w:val="404040"/>
          <w:szCs w:val="20"/>
        </w:rPr>
      </w:pPr>
    </w:p>
    <w:p w14:paraId="47159061" w14:textId="77777777" w:rsidR="00C91F30" w:rsidRPr="00C91F30" w:rsidRDefault="00C91F30" w:rsidP="00C91F30">
      <w:pPr>
        <w:spacing w:line="360" w:lineRule="auto"/>
        <w:ind w:right="360"/>
        <w:rPr>
          <w:rFonts w:ascii="Calibri" w:hAnsi="Calibri" w:cs="Calibri"/>
          <w:color w:val="404040"/>
          <w:szCs w:val="20"/>
        </w:rPr>
      </w:pPr>
      <w:r w:rsidRPr="00C91F30">
        <w:rPr>
          <w:rFonts w:ascii="Calibri" w:hAnsi="Calibri" w:cs="Calibri"/>
          <w:color w:val="404040"/>
          <w:szCs w:val="20"/>
        </w:rPr>
        <w:t xml:space="preserve">HOPWA partners continue to use client centered, holistic approach to providing case management through agencies such as Utah Aids Foundation, and Utah Community Action. Other partners include Clinic 1A, and Fourth Street Clinic. Those providing supportive services also help ensure that the clients are accessing proper housing services through the Housing Authority of the County of Salt Lake as well as Utah Community Action. </w:t>
      </w:r>
    </w:p>
    <w:p w14:paraId="2150BB8C" w14:textId="77777777" w:rsidR="00C91F30" w:rsidRPr="00C91F30" w:rsidRDefault="00C91F30" w:rsidP="00C91F30">
      <w:pPr>
        <w:spacing w:line="360" w:lineRule="auto"/>
        <w:ind w:right="360"/>
        <w:rPr>
          <w:rFonts w:ascii="Calibri" w:hAnsi="Calibri" w:cs="Calibri"/>
          <w:color w:val="404040"/>
          <w:szCs w:val="20"/>
        </w:rPr>
      </w:pPr>
    </w:p>
    <w:p w14:paraId="3137A953" w14:textId="77777777" w:rsidR="00C91F30" w:rsidRPr="00C91F30" w:rsidRDefault="00C91F30" w:rsidP="00C91F30">
      <w:pPr>
        <w:spacing w:line="360" w:lineRule="auto"/>
        <w:ind w:right="360"/>
        <w:rPr>
          <w:rFonts w:ascii="Calibri" w:hAnsi="Calibri" w:cs="Calibri"/>
          <w:color w:val="404040"/>
          <w:szCs w:val="20"/>
        </w:rPr>
      </w:pPr>
      <w:r w:rsidRPr="00C91F30">
        <w:rPr>
          <w:rFonts w:ascii="Calibri" w:hAnsi="Calibri" w:cs="Calibri"/>
          <w:color w:val="404040"/>
          <w:szCs w:val="20"/>
        </w:rPr>
        <w:t>In the City HOPWA program, we are finding that there is not much movement off of a HOPWA voucher onto a more permanent housing voucher such as a housing choice voucher. So, on the occasion that a HOPWA voucher does become available in Utah, case managers work diligently to identify clients whose housing was unstable or non-existent, and providing appropriate wrap around services.</w:t>
      </w:r>
    </w:p>
    <w:p w14:paraId="3F67A939" w14:textId="77777777" w:rsidR="00C91F30" w:rsidRPr="00C91F30" w:rsidRDefault="00C91F30" w:rsidP="00C91F30">
      <w:pPr>
        <w:spacing w:line="360" w:lineRule="auto"/>
        <w:ind w:right="360"/>
        <w:rPr>
          <w:rFonts w:ascii="Calibri" w:hAnsi="Calibri" w:cs="Calibri"/>
          <w:color w:val="404040"/>
          <w:szCs w:val="20"/>
        </w:rPr>
      </w:pPr>
    </w:p>
    <w:p w14:paraId="06D3C1E8" w14:textId="77777777" w:rsidR="00C91F30" w:rsidRPr="00C91F30" w:rsidRDefault="00C91F30" w:rsidP="00C91F30">
      <w:pPr>
        <w:spacing w:line="360" w:lineRule="auto"/>
        <w:ind w:right="360"/>
        <w:rPr>
          <w:rFonts w:ascii="Calibri" w:hAnsi="Calibri" w:cs="Calibri"/>
          <w:b/>
          <w:color w:val="FF0000"/>
          <w:szCs w:val="20"/>
        </w:rPr>
      </w:pPr>
      <w:r w:rsidRPr="00C91F30">
        <w:rPr>
          <w:rFonts w:ascii="Calibri" w:hAnsi="Calibri" w:cs="Calibri"/>
          <w:color w:val="404040"/>
          <w:szCs w:val="20"/>
        </w:rPr>
        <w:t xml:space="preserve">In August of 2017 HAND staff and staff from partner agencies were able to attend the HOPWA Institute. At the Institute staff received valuable information that has helped drive conversations within the HOPWA Steering Committee towards the goal of overall system improvements. HAND staff led the conversation towards the creation of a Continuum of Care that shows the outcomes of HOPWA and HIV/AIDS services in the State. Conversations between the HOPWA Steering Committee and the State Department of Health are ongoing and are working towards this goal. The close working relationship between the State, the City, and partner agencies combined with the institutional knowledge built through attendance at the HOPWA Institute has helped improve HOPWA service delivery significantly during the year. </w:t>
      </w:r>
    </w:p>
    <w:p w14:paraId="04C29EBA" w14:textId="77777777" w:rsidR="00C91F30" w:rsidRPr="00C91F30" w:rsidRDefault="00C91F30" w:rsidP="00C91F30">
      <w:pPr>
        <w:spacing w:line="276" w:lineRule="auto"/>
        <w:ind w:right="360"/>
        <w:rPr>
          <w:rFonts w:ascii="Calibri" w:hAnsi="Calibri" w:cs="Calibri"/>
          <w:i/>
          <w:color w:val="44546A"/>
          <w:sz w:val="18"/>
          <w:szCs w:val="18"/>
        </w:rPr>
      </w:pPr>
      <w:r w:rsidRPr="00C91F30">
        <w:rPr>
          <w:rFonts w:ascii="Calibri" w:hAnsi="Calibri" w:cs="Calibri"/>
          <w:b/>
          <w:color w:val="FF0000"/>
          <w:szCs w:val="20"/>
        </w:rPr>
        <w:br w:type="page"/>
      </w:r>
      <w:r w:rsidRPr="00C91F30">
        <w:rPr>
          <w:rFonts w:ascii="Calibri" w:hAnsi="Calibri" w:cs="Calibri"/>
          <w:noProof/>
          <w:color w:val="44546A"/>
          <w:sz w:val="24"/>
        </w:rPr>
        <mc:AlternateContent>
          <mc:Choice Requires="wps">
            <w:drawing>
              <wp:anchor distT="0" distB="0" distL="114300" distR="114300" simplePos="0" relativeHeight="251778048" behindDoc="0" locked="0" layoutInCell="1" allowOverlap="1" wp14:anchorId="5E1560C2" wp14:editId="752DDF0B">
                <wp:simplePos x="0" y="0"/>
                <wp:positionH relativeFrom="column">
                  <wp:posOffset>-190500</wp:posOffset>
                </wp:positionH>
                <wp:positionV relativeFrom="paragraph">
                  <wp:posOffset>-38100</wp:posOffset>
                </wp:positionV>
                <wp:extent cx="6779895" cy="635"/>
                <wp:effectExtent l="9525" t="9525" r="11430" b="8890"/>
                <wp:wrapNone/>
                <wp:docPr id="4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989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74CBD" id="AutoShape 15" o:spid="_x0000_s1026" type="#_x0000_t32" style="position:absolute;margin-left:-15pt;margin-top:-3pt;width:533.85pt;height:.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" strokecolor="#548dd4"/>
            </w:pict>
          </mc:Fallback>
        </mc:AlternateContent>
      </w:r>
      <w:r w:rsidRPr="00C91F30">
        <w:rPr>
          <w:rFonts w:ascii="Calibri" w:hAnsi="Calibri" w:cs="Calibri"/>
          <w:b/>
          <w:color w:val="44546A"/>
          <w:sz w:val="24"/>
        </w:rPr>
        <w:t xml:space="preserve">CR-60 ESG </w:t>
      </w:r>
      <w:r w:rsidRPr="00C91F30">
        <w:rPr>
          <w:rFonts w:ascii="Calibri" w:hAnsi="Calibri" w:cs="Calibri"/>
          <w:i/>
          <w:color w:val="44546A"/>
          <w:sz w:val="18"/>
          <w:szCs w:val="18"/>
        </w:rPr>
        <w:t xml:space="preserve">– 91.520 (g) </w:t>
      </w:r>
    </w:p>
    <w:p w14:paraId="394FF6F3" w14:textId="77777777" w:rsidR="00C91F30" w:rsidRPr="00C91F30" w:rsidRDefault="00C91F30" w:rsidP="00C91F30">
      <w:pPr>
        <w:spacing w:line="276" w:lineRule="auto"/>
        <w:ind w:right="360"/>
        <w:rPr>
          <w:rFonts w:ascii="Calibri" w:hAnsi="Calibri" w:cs="Calibri"/>
          <w:b/>
          <w:color w:val="FF0000"/>
          <w:szCs w:val="20"/>
        </w:rPr>
      </w:pPr>
    </w:p>
    <w:p w14:paraId="4BC196A7" w14:textId="77777777" w:rsidR="00C91F30" w:rsidRPr="00C91F30" w:rsidRDefault="00C91F30" w:rsidP="00C91F30">
      <w:pPr>
        <w:rPr>
          <w:rFonts w:ascii="Calibri" w:hAnsi="Calibri" w:cs="Calibri"/>
          <w:b/>
          <w:color w:val="404040"/>
          <w:szCs w:val="20"/>
        </w:rPr>
      </w:pPr>
      <w:r w:rsidRPr="00C91F30">
        <w:rPr>
          <w:rFonts w:ascii="Calibri" w:hAnsi="Calibri" w:cs="Calibri"/>
          <w:b/>
          <w:color w:val="404040"/>
          <w:szCs w:val="20"/>
        </w:rPr>
        <w:t>RECIPIENT INFORMATION</w:t>
      </w:r>
    </w:p>
    <w:p w14:paraId="5CBD5E5B" w14:textId="77777777" w:rsidR="00C91F30" w:rsidRPr="00C91F30" w:rsidRDefault="00C91F30" w:rsidP="00C91F30">
      <w:pPr>
        <w:ind w:left="360"/>
        <w:rPr>
          <w:rFonts w:ascii="Calibri" w:hAnsi="Calibri" w:cs="Calibri"/>
          <w:color w:val="404040"/>
          <w:szCs w:val="20"/>
        </w:rPr>
      </w:pPr>
      <w:r w:rsidRPr="00C91F30">
        <w:rPr>
          <w:rFonts w:ascii="Calibri" w:hAnsi="Calibri" w:cs="Calibri"/>
          <w:color w:val="404040"/>
          <w:szCs w:val="20"/>
        </w:rPr>
        <w:t>Recipient Name: Salt Lake City Corporation</w:t>
      </w:r>
    </w:p>
    <w:p w14:paraId="67D9B328" w14:textId="77777777" w:rsidR="00C91F30" w:rsidRPr="00C91F30" w:rsidRDefault="00C91F30" w:rsidP="00C91F30">
      <w:pPr>
        <w:ind w:left="360"/>
        <w:rPr>
          <w:rFonts w:ascii="Calibri" w:hAnsi="Calibri" w:cs="Calibri"/>
          <w:color w:val="404040"/>
          <w:szCs w:val="20"/>
        </w:rPr>
      </w:pPr>
      <w:r w:rsidRPr="00C91F30">
        <w:rPr>
          <w:rFonts w:ascii="Calibri" w:hAnsi="Calibri" w:cs="Calibri"/>
          <w:color w:val="404040"/>
          <w:szCs w:val="20"/>
        </w:rPr>
        <w:t>Organizational DUNS Number: 072957822</w:t>
      </w:r>
    </w:p>
    <w:p w14:paraId="25BAE72A" w14:textId="77777777" w:rsidR="00C91F30" w:rsidRPr="00C91F30" w:rsidRDefault="00C91F30" w:rsidP="00C91F30">
      <w:pPr>
        <w:ind w:left="360"/>
        <w:rPr>
          <w:rFonts w:ascii="Calibri" w:hAnsi="Calibri" w:cs="Calibri"/>
          <w:color w:val="404040"/>
          <w:szCs w:val="20"/>
        </w:rPr>
      </w:pPr>
      <w:r w:rsidRPr="00C91F30">
        <w:rPr>
          <w:rFonts w:ascii="Calibri" w:hAnsi="Calibri" w:cs="Calibri"/>
          <w:color w:val="404040"/>
          <w:szCs w:val="20"/>
        </w:rPr>
        <w:t>EIN/TIN Number: 876000279</w:t>
      </w:r>
    </w:p>
    <w:p w14:paraId="0E4303BD" w14:textId="77777777" w:rsidR="00C91F30" w:rsidRPr="00C91F30" w:rsidRDefault="00C91F30" w:rsidP="00C91F30">
      <w:pPr>
        <w:ind w:left="360"/>
        <w:rPr>
          <w:rFonts w:ascii="Calibri" w:hAnsi="Calibri" w:cs="Calibri"/>
          <w:color w:val="404040"/>
          <w:szCs w:val="20"/>
        </w:rPr>
      </w:pPr>
      <w:r w:rsidRPr="00C91F30">
        <w:rPr>
          <w:rFonts w:ascii="Calibri" w:hAnsi="Calibri" w:cs="Calibri"/>
          <w:color w:val="404040"/>
          <w:szCs w:val="20"/>
        </w:rPr>
        <w:t>HUD Field Office: Denver</w:t>
      </w:r>
    </w:p>
    <w:p w14:paraId="3BF31618" w14:textId="4D7486A5" w:rsidR="00C91F30" w:rsidRPr="00C91F30" w:rsidRDefault="006D5CB8" w:rsidP="00C91F30">
      <w:pPr>
        <w:ind w:left="360"/>
        <w:rPr>
          <w:rFonts w:ascii="Calibri" w:hAnsi="Calibri" w:cs="Calibri"/>
          <w:color w:val="404040"/>
          <w:szCs w:val="20"/>
        </w:rPr>
      </w:pPr>
      <w:r>
        <w:rPr>
          <w:rFonts w:ascii="Calibri" w:hAnsi="Calibri" w:cs="Calibri"/>
          <w:color w:val="404040"/>
          <w:szCs w:val="20"/>
        </w:rPr>
        <w:t>CO</w:t>
      </w:r>
      <w:r w:rsidR="00F0490B">
        <w:rPr>
          <w:rFonts w:ascii="Calibri" w:hAnsi="Calibri" w:cs="Calibri"/>
          <w:color w:val="404040"/>
          <w:szCs w:val="20"/>
        </w:rPr>
        <w:t>C Where ESG Assistance is p</w:t>
      </w:r>
      <w:r w:rsidR="00C91F30" w:rsidRPr="00C91F30">
        <w:rPr>
          <w:rFonts w:ascii="Calibri" w:hAnsi="Calibri" w:cs="Calibri"/>
          <w:color w:val="404040"/>
          <w:szCs w:val="20"/>
        </w:rPr>
        <w:t>rov</w:t>
      </w:r>
      <w:r w:rsidR="00F0490B">
        <w:rPr>
          <w:rFonts w:ascii="Calibri" w:hAnsi="Calibri" w:cs="Calibri"/>
          <w:color w:val="404040"/>
          <w:szCs w:val="20"/>
        </w:rPr>
        <w:t>ided: Salt Lake City &amp; County C</w:t>
      </w:r>
      <w:r>
        <w:rPr>
          <w:rFonts w:ascii="Calibri" w:hAnsi="Calibri" w:cs="Calibri"/>
          <w:color w:val="404040"/>
          <w:szCs w:val="20"/>
        </w:rPr>
        <w:t>O</w:t>
      </w:r>
      <w:r w:rsidR="00C91F30" w:rsidRPr="00C91F30">
        <w:rPr>
          <w:rFonts w:ascii="Calibri" w:hAnsi="Calibri" w:cs="Calibri"/>
          <w:color w:val="404040"/>
          <w:szCs w:val="20"/>
        </w:rPr>
        <w:t>C</w:t>
      </w:r>
    </w:p>
    <w:p w14:paraId="77A3658A" w14:textId="77777777" w:rsidR="00C91F30" w:rsidRPr="00C91F30" w:rsidRDefault="00C91F30" w:rsidP="00C91F30">
      <w:pPr>
        <w:rPr>
          <w:rFonts w:ascii="Calibri" w:hAnsi="Calibri" w:cs="Calibri"/>
          <w:color w:val="404040"/>
          <w:szCs w:val="20"/>
        </w:rPr>
      </w:pPr>
    </w:p>
    <w:p w14:paraId="527B62A2" w14:textId="77777777" w:rsidR="00C91F30" w:rsidRPr="00C91F30" w:rsidRDefault="00C91F30" w:rsidP="00C91F30">
      <w:pPr>
        <w:rPr>
          <w:rFonts w:ascii="Calibri" w:hAnsi="Calibri" w:cs="Calibri"/>
          <w:b/>
          <w:color w:val="404040"/>
          <w:szCs w:val="20"/>
        </w:rPr>
      </w:pPr>
      <w:r w:rsidRPr="00C91F30">
        <w:rPr>
          <w:rFonts w:ascii="Calibri" w:hAnsi="Calibri" w:cs="Calibri"/>
          <w:b/>
          <w:color w:val="404040"/>
          <w:szCs w:val="20"/>
        </w:rPr>
        <w:t>ESG CONTACT INFORMATION</w:t>
      </w:r>
    </w:p>
    <w:p w14:paraId="6283B24C" w14:textId="77777777" w:rsidR="00C91F30" w:rsidRPr="00C91F30" w:rsidRDefault="00C91F30" w:rsidP="00C91F30">
      <w:pPr>
        <w:ind w:left="360"/>
        <w:rPr>
          <w:rFonts w:ascii="Calibri" w:hAnsi="Calibri" w:cs="Calibri"/>
          <w:color w:val="404040"/>
          <w:szCs w:val="20"/>
        </w:rPr>
      </w:pPr>
      <w:r w:rsidRPr="00C91F30">
        <w:rPr>
          <w:rFonts w:ascii="Calibri" w:hAnsi="Calibri" w:cs="Calibri"/>
          <w:color w:val="404040"/>
          <w:szCs w:val="20"/>
        </w:rPr>
        <w:t>Name: Melissa Jensen</w:t>
      </w:r>
    </w:p>
    <w:p w14:paraId="715BF874" w14:textId="77777777" w:rsidR="00C91F30" w:rsidRPr="00C91F30" w:rsidRDefault="00C91F30" w:rsidP="00C91F30">
      <w:pPr>
        <w:ind w:left="360"/>
        <w:rPr>
          <w:rFonts w:ascii="Calibri" w:hAnsi="Calibri" w:cs="Calibri"/>
          <w:color w:val="404040"/>
          <w:szCs w:val="20"/>
        </w:rPr>
      </w:pPr>
      <w:r w:rsidRPr="00C91F30">
        <w:rPr>
          <w:rFonts w:ascii="Calibri" w:hAnsi="Calibri" w:cs="Calibri"/>
          <w:color w:val="404040"/>
          <w:szCs w:val="20"/>
        </w:rPr>
        <w:t>Position: Director Housing and Neighborhood Development</w:t>
      </w:r>
    </w:p>
    <w:p w14:paraId="70577B17" w14:textId="77777777" w:rsidR="00C91F30" w:rsidRPr="00C91F30" w:rsidRDefault="00C91F30" w:rsidP="00C91F30">
      <w:pPr>
        <w:ind w:left="360"/>
        <w:rPr>
          <w:rFonts w:ascii="Calibri" w:hAnsi="Calibri" w:cs="Calibri"/>
          <w:color w:val="404040"/>
          <w:szCs w:val="20"/>
        </w:rPr>
      </w:pPr>
      <w:r w:rsidRPr="00C91F30">
        <w:rPr>
          <w:rFonts w:ascii="Calibri" w:hAnsi="Calibri" w:cs="Calibri"/>
          <w:color w:val="404040"/>
          <w:szCs w:val="20"/>
        </w:rPr>
        <w:t>Address: 451 South State Street, Rm 406, Salt Lake City, UT 84111</w:t>
      </w:r>
    </w:p>
    <w:p w14:paraId="671A126C" w14:textId="77777777" w:rsidR="00C91F30" w:rsidRPr="00C91F30" w:rsidRDefault="00C91F30" w:rsidP="00C91F30">
      <w:pPr>
        <w:ind w:left="360"/>
        <w:rPr>
          <w:rFonts w:ascii="Calibri" w:hAnsi="Calibri" w:cs="Calibri"/>
          <w:color w:val="404040"/>
          <w:szCs w:val="20"/>
        </w:rPr>
      </w:pPr>
      <w:r w:rsidRPr="00C91F30">
        <w:rPr>
          <w:rFonts w:ascii="Calibri" w:hAnsi="Calibri" w:cs="Calibri"/>
          <w:color w:val="404040"/>
          <w:szCs w:val="20"/>
        </w:rPr>
        <w:t>Phone Number: 801-535-6035</w:t>
      </w:r>
    </w:p>
    <w:p w14:paraId="6E4196D1" w14:textId="77777777" w:rsidR="00C91F30" w:rsidRPr="00C91F30" w:rsidRDefault="00C91F30" w:rsidP="00C91F30">
      <w:pPr>
        <w:ind w:left="360"/>
        <w:rPr>
          <w:rFonts w:ascii="Calibri" w:hAnsi="Calibri" w:cs="Calibri"/>
          <w:color w:val="404040"/>
          <w:szCs w:val="20"/>
        </w:rPr>
      </w:pPr>
      <w:r w:rsidRPr="00C91F30">
        <w:rPr>
          <w:rFonts w:ascii="Calibri" w:hAnsi="Calibri" w:cs="Calibri"/>
          <w:color w:val="404040"/>
          <w:szCs w:val="20"/>
        </w:rPr>
        <w:t xml:space="preserve">Email Address: </w:t>
      </w:r>
      <w:hyperlink r:id="rId15" w:history="1">
        <w:r w:rsidRPr="00C91F30">
          <w:rPr>
            <w:rFonts w:ascii="Calibri" w:hAnsi="Calibri" w:cs="Calibri"/>
            <w:color w:val="404040"/>
            <w:szCs w:val="20"/>
            <w:u w:val="single"/>
          </w:rPr>
          <w:t>Melissa.Jensen @slcgov.com</w:t>
        </w:r>
      </w:hyperlink>
      <w:r w:rsidRPr="00C91F30">
        <w:rPr>
          <w:rFonts w:ascii="Calibri" w:hAnsi="Calibri" w:cs="Calibri"/>
          <w:color w:val="404040"/>
          <w:szCs w:val="20"/>
        </w:rPr>
        <w:t xml:space="preserve"> </w:t>
      </w:r>
    </w:p>
    <w:p w14:paraId="6543CB1B" w14:textId="77777777" w:rsidR="00C91F30" w:rsidRPr="00C91F30" w:rsidRDefault="00C91F30" w:rsidP="00C91F30">
      <w:pPr>
        <w:rPr>
          <w:rFonts w:ascii="Calibri" w:hAnsi="Calibri" w:cs="Calibri"/>
          <w:color w:val="404040"/>
          <w:szCs w:val="20"/>
        </w:rPr>
      </w:pPr>
    </w:p>
    <w:p w14:paraId="74D3BC52" w14:textId="77777777" w:rsidR="00C91F30" w:rsidRPr="00C91F30" w:rsidRDefault="00C91F30" w:rsidP="00C91F30">
      <w:pPr>
        <w:rPr>
          <w:rFonts w:ascii="Calibri" w:hAnsi="Calibri" w:cs="Calibri"/>
          <w:b/>
          <w:color w:val="404040"/>
          <w:szCs w:val="20"/>
        </w:rPr>
      </w:pPr>
      <w:r w:rsidRPr="00C91F30">
        <w:rPr>
          <w:rFonts w:ascii="Calibri" w:hAnsi="Calibri" w:cs="Calibri"/>
          <w:b/>
          <w:color w:val="404040"/>
          <w:szCs w:val="20"/>
        </w:rPr>
        <w:t>SECONDARY ESG CONTACT INFORMATION</w:t>
      </w:r>
    </w:p>
    <w:p w14:paraId="79EC9D1B" w14:textId="77777777" w:rsidR="00C91F30" w:rsidRPr="00C91F30" w:rsidRDefault="00C91F30" w:rsidP="00C91F30">
      <w:pPr>
        <w:ind w:left="360"/>
        <w:rPr>
          <w:rFonts w:ascii="Calibri" w:hAnsi="Calibri" w:cs="Calibri"/>
          <w:color w:val="404040"/>
          <w:szCs w:val="20"/>
        </w:rPr>
      </w:pPr>
      <w:r w:rsidRPr="00C91F30">
        <w:rPr>
          <w:rFonts w:ascii="Calibri" w:hAnsi="Calibri" w:cs="Calibri"/>
          <w:color w:val="404040"/>
          <w:szCs w:val="20"/>
        </w:rPr>
        <w:t>Name: Jennifer Schumann</w:t>
      </w:r>
    </w:p>
    <w:p w14:paraId="055416D0" w14:textId="77777777" w:rsidR="00C91F30" w:rsidRPr="00C91F30" w:rsidRDefault="00C91F30" w:rsidP="00C91F30">
      <w:pPr>
        <w:ind w:left="360"/>
        <w:rPr>
          <w:rFonts w:ascii="Calibri" w:hAnsi="Calibri" w:cs="Calibri"/>
          <w:color w:val="404040"/>
          <w:szCs w:val="20"/>
        </w:rPr>
      </w:pPr>
      <w:r w:rsidRPr="00C91F30">
        <w:rPr>
          <w:rFonts w:ascii="Calibri" w:hAnsi="Calibri" w:cs="Calibri"/>
          <w:color w:val="404040"/>
          <w:szCs w:val="20"/>
        </w:rPr>
        <w:t>Position: Capital Planning Manager</w:t>
      </w:r>
    </w:p>
    <w:p w14:paraId="05FBE2BD" w14:textId="77777777" w:rsidR="00C91F30" w:rsidRPr="00C91F30" w:rsidRDefault="00C91F30" w:rsidP="00C91F30">
      <w:pPr>
        <w:ind w:left="360"/>
        <w:rPr>
          <w:rFonts w:ascii="Calibri" w:hAnsi="Calibri" w:cs="Calibri"/>
          <w:color w:val="404040"/>
          <w:szCs w:val="20"/>
        </w:rPr>
      </w:pPr>
      <w:r w:rsidRPr="00C91F30">
        <w:rPr>
          <w:rFonts w:ascii="Calibri" w:hAnsi="Calibri" w:cs="Calibri"/>
          <w:color w:val="404040"/>
          <w:szCs w:val="20"/>
        </w:rPr>
        <w:t>Address: 451 South State Street, Rm 445, Salt Lake City, UT 84111</w:t>
      </w:r>
    </w:p>
    <w:p w14:paraId="2B36107A" w14:textId="77777777" w:rsidR="00C91F30" w:rsidRPr="00C91F30" w:rsidRDefault="00C91F30" w:rsidP="00C91F30">
      <w:pPr>
        <w:ind w:left="360"/>
        <w:rPr>
          <w:rFonts w:ascii="Calibri" w:hAnsi="Calibri" w:cs="Calibri"/>
          <w:color w:val="404040"/>
          <w:szCs w:val="20"/>
        </w:rPr>
      </w:pPr>
      <w:r w:rsidRPr="00C91F30">
        <w:rPr>
          <w:rFonts w:ascii="Calibri" w:hAnsi="Calibri" w:cs="Calibri"/>
          <w:color w:val="404040"/>
          <w:szCs w:val="20"/>
        </w:rPr>
        <w:t>Phone Number: 801-535-7276</w:t>
      </w:r>
    </w:p>
    <w:p w14:paraId="5422EB6A" w14:textId="77777777" w:rsidR="00C91F30" w:rsidRPr="00C91F30" w:rsidRDefault="00C91F30" w:rsidP="00C91F30">
      <w:pPr>
        <w:ind w:left="360"/>
        <w:rPr>
          <w:rFonts w:ascii="Calibri" w:hAnsi="Calibri" w:cs="Calibri"/>
          <w:color w:val="404040"/>
          <w:szCs w:val="20"/>
        </w:rPr>
      </w:pPr>
      <w:r w:rsidRPr="00C91F30">
        <w:rPr>
          <w:rFonts w:ascii="Calibri" w:hAnsi="Calibri" w:cs="Calibri"/>
          <w:color w:val="404040"/>
          <w:szCs w:val="20"/>
        </w:rPr>
        <w:t xml:space="preserve">Email Address: </w:t>
      </w:r>
      <w:hyperlink r:id="rId16" w:history="1">
        <w:r w:rsidRPr="00C91F30">
          <w:rPr>
            <w:rFonts w:ascii="Calibri" w:hAnsi="Calibri" w:cs="Calibri"/>
            <w:color w:val="404040"/>
            <w:szCs w:val="20"/>
            <w:u w:val="single"/>
          </w:rPr>
          <w:t>Jennifer.Schumann@slcgov.com</w:t>
        </w:r>
      </w:hyperlink>
      <w:r w:rsidRPr="00C91F30">
        <w:rPr>
          <w:rFonts w:ascii="Calibri" w:hAnsi="Calibri" w:cs="Calibri"/>
          <w:color w:val="404040"/>
          <w:szCs w:val="20"/>
        </w:rPr>
        <w:t xml:space="preserve"> </w:t>
      </w:r>
    </w:p>
    <w:p w14:paraId="5AAE2C34" w14:textId="77777777" w:rsidR="00C91F30" w:rsidRPr="00C91F30" w:rsidRDefault="00C91F30" w:rsidP="00C91F30">
      <w:pPr>
        <w:rPr>
          <w:rFonts w:ascii="Calibri" w:hAnsi="Calibri" w:cs="Calibri"/>
          <w:color w:val="404040"/>
          <w:szCs w:val="20"/>
        </w:rPr>
      </w:pPr>
    </w:p>
    <w:p w14:paraId="66E2B9E7" w14:textId="77777777" w:rsidR="00C91F30" w:rsidRPr="00C91F30" w:rsidRDefault="00C91F30" w:rsidP="00C91F30">
      <w:pPr>
        <w:rPr>
          <w:rFonts w:ascii="Calibri" w:hAnsi="Calibri" w:cs="Calibri"/>
          <w:b/>
          <w:color w:val="404040"/>
          <w:szCs w:val="20"/>
        </w:rPr>
      </w:pPr>
      <w:r w:rsidRPr="00C91F30">
        <w:rPr>
          <w:rFonts w:ascii="Calibri" w:hAnsi="Calibri" w:cs="Calibri"/>
          <w:b/>
          <w:color w:val="404040"/>
          <w:szCs w:val="20"/>
        </w:rPr>
        <w:t>PROGRAM YEAR</w:t>
      </w:r>
    </w:p>
    <w:p w14:paraId="2302CC27" w14:textId="77777777" w:rsidR="00C91F30" w:rsidRPr="00C91F30" w:rsidRDefault="00C91F30" w:rsidP="00C91F30">
      <w:pPr>
        <w:ind w:left="360"/>
        <w:rPr>
          <w:rFonts w:ascii="Calibri" w:hAnsi="Calibri" w:cs="Calibri"/>
          <w:color w:val="404040"/>
          <w:szCs w:val="20"/>
        </w:rPr>
      </w:pPr>
      <w:r w:rsidRPr="00C91F30">
        <w:rPr>
          <w:rFonts w:ascii="Calibri" w:hAnsi="Calibri" w:cs="Calibri"/>
          <w:color w:val="404040"/>
          <w:szCs w:val="20"/>
        </w:rPr>
        <w:t>July 1, 2017 – June 30, 2018</w:t>
      </w:r>
    </w:p>
    <w:p w14:paraId="3D5EC9F6" w14:textId="77777777" w:rsidR="00C91F30" w:rsidRPr="00C91F30" w:rsidRDefault="00C91F30" w:rsidP="00C91F30">
      <w:pPr>
        <w:rPr>
          <w:rFonts w:ascii="Calibri" w:hAnsi="Calibri" w:cs="Calibri"/>
          <w:color w:val="404040"/>
          <w:szCs w:val="20"/>
        </w:rPr>
      </w:pPr>
    </w:p>
    <w:p w14:paraId="7876BB61" w14:textId="77777777" w:rsidR="00C91F30" w:rsidRPr="00C91F30" w:rsidRDefault="00C91F30" w:rsidP="00C91F30">
      <w:pPr>
        <w:spacing w:line="276" w:lineRule="auto"/>
        <w:rPr>
          <w:rFonts w:ascii="Calibri" w:hAnsi="Calibri" w:cs="Calibri"/>
          <w:b/>
          <w:color w:val="404040"/>
          <w:szCs w:val="20"/>
        </w:rPr>
      </w:pPr>
      <w:r w:rsidRPr="00C91F30">
        <w:rPr>
          <w:rFonts w:ascii="Calibri" w:hAnsi="Calibri" w:cs="Calibri"/>
          <w:b/>
          <w:color w:val="404040"/>
          <w:szCs w:val="20"/>
        </w:rPr>
        <w:t>SUBGRANTEES THAT RECEIVED AN ESG AWARD</w:t>
      </w:r>
    </w:p>
    <w:tbl>
      <w:tblPr>
        <w:tblW w:w="10080"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80"/>
        <w:gridCol w:w="1040"/>
        <w:gridCol w:w="728"/>
        <w:gridCol w:w="920"/>
        <w:gridCol w:w="1129"/>
        <w:gridCol w:w="1079"/>
        <w:gridCol w:w="1591"/>
        <w:gridCol w:w="1113"/>
      </w:tblGrid>
      <w:tr w:rsidR="00C91F30" w:rsidRPr="00C91F30" w14:paraId="571F5558" w14:textId="77777777" w:rsidTr="00816745">
        <w:trPr>
          <w:trHeight w:val="552"/>
        </w:trPr>
        <w:tc>
          <w:tcPr>
            <w:tcW w:w="2480" w:type="dxa"/>
            <w:shd w:val="clear" w:color="000000" w:fill="C5D9F1"/>
            <w:noWrap/>
            <w:vAlign w:val="center"/>
            <w:hideMark/>
          </w:tcPr>
          <w:p w14:paraId="7DFF7058" w14:textId="77777777" w:rsidR="00C91F30" w:rsidRPr="00C91F30" w:rsidRDefault="00C91F30" w:rsidP="00C91F30">
            <w:pPr>
              <w:jc w:val="center"/>
              <w:rPr>
                <w:rFonts w:ascii="Calibri" w:eastAsia="Times New Roman" w:hAnsi="Calibri"/>
                <w:b/>
                <w:bCs/>
                <w:color w:val="404040"/>
                <w:szCs w:val="20"/>
              </w:rPr>
            </w:pPr>
            <w:r w:rsidRPr="00C91F30">
              <w:rPr>
                <w:rFonts w:ascii="Calibri" w:eastAsia="Times New Roman" w:hAnsi="Calibri"/>
                <w:b/>
                <w:bCs/>
                <w:color w:val="404040"/>
                <w:szCs w:val="20"/>
              </w:rPr>
              <w:t>NAME</w:t>
            </w:r>
          </w:p>
        </w:tc>
        <w:tc>
          <w:tcPr>
            <w:tcW w:w="1040" w:type="dxa"/>
            <w:shd w:val="clear" w:color="000000" w:fill="C5D9F1"/>
            <w:noWrap/>
            <w:vAlign w:val="center"/>
            <w:hideMark/>
          </w:tcPr>
          <w:p w14:paraId="4B85E6C4" w14:textId="77777777" w:rsidR="00C91F30" w:rsidRPr="00C91F30" w:rsidRDefault="00C91F30" w:rsidP="00C91F30">
            <w:pPr>
              <w:jc w:val="center"/>
              <w:rPr>
                <w:rFonts w:ascii="Calibri" w:eastAsia="Times New Roman" w:hAnsi="Calibri"/>
                <w:b/>
                <w:bCs/>
                <w:color w:val="404040"/>
                <w:szCs w:val="20"/>
              </w:rPr>
            </w:pPr>
            <w:r w:rsidRPr="00C91F30">
              <w:rPr>
                <w:rFonts w:ascii="Calibri" w:eastAsia="Times New Roman" w:hAnsi="Calibri"/>
                <w:b/>
                <w:bCs/>
                <w:color w:val="404040"/>
                <w:szCs w:val="20"/>
              </w:rPr>
              <w:t>CITY</w:t>
            </w:r>
          </w:p>
        </w:tc>
        <w:tc>
          <w:tcPr>
            <w:tcW w:w="728" w:type="dxa"/>
            <w:shd w:val="clear" w:color="000000" w:fill="C5D9F1"/>
            <w:noWrap/>
            <w:vAlign w:val="center"/>
            <w:hideMark/>
          </w:tcPr>
          <w:p w14:paraId="6AF2BE59" w14:textId="77777777" w:rsidR="00C91F30" w:rsidRPr="00C91F30" w:rsidRDefault="00C91F30" w:rsidP="00C91F30">
            <w:pPr>
              <w:jc w:val="center"/>
              <w:rPr>
                <w:rFonts w:ascii="Calibri" w:eastAsia="Times New Roman" w:hAnsi="Calibri"/>
                <w:b/>
                <w:bCs/>
                <w:color w:val="404040"/>
                <w:szCs w:val="20"/>
              </w:rPr>
            </w:pPr>
            <w:r w:rsidRPr="00C91F30">
              <w:rPr>
                <w:rFonts w:ascii="Calibri" w:eastAsia="Times New Roman" w:hAnsi="Calibri"/>
                <w:b/>
                <w:bCs/>
                <w:color w:val="404040"/>
                <w:szCs w:val="20"/>
              </w:rPr>
              <w:t>STATE</w:t>
            </w:r>
          </w:p>
        </w:tc>
        <w:tc>
          <w:tcPr>
            <w:tcW w:w="920" w:type="dxa"/>
            <w:shd w:val="clear" w:color="000000" w:fill="C5D9F1"/>
            <w:noWrap/>
            <w:vAlign w:val="center"/>
            <w:hideMark/>
          </w:tcPr>
          <w:p w14:paraId="7D7D51AB" w14:textId="77777777" w:rsidR="00C91F30" w:rsidRPr="00C91F30" w:rsidRDefault="00C91F30" w:rsidP="00C91F30">
            <w:pPr>
              <w:jc w:val="center"/>
              <w:rPr>
                <w:rFonts w:ascii="Calibri" w:eastAsia="Times New Roman" w:hAnsi="Calibri"/>
                <w:b/>
                <w:bCs/>
                <w:color w:val="404040"/>
                <w:szCs w:val="20"/>
              </w:rPr>
            </w:pPr>
            <w:r w:rsidRPr="00C91F30">
              <w:rPr>
                <w:rFonts w:ascii="Calibri" w:eastAsia="Times New Roman" w:hAnsi="Calibri"/>
                <w:b/>
                <w:bCs/>
                <w:color w:val="404040"/>
                <w:szCs w:val="20"/>
              </w:rPr>
              <w:t>ZIP CODE</w:t>
            </w:r>
          </w:p>
        </w:tc>
        <w:tc>
          <w:tcPr>
            <w:tcW w:w="1129" w:type="dxa"/>
            <w:shd w:val="clear" w:color="000000" w:fill="C5D9F1"/>
            <w:noWrap/>
            <w:vAlign w:val="center"/>
            <w:hideMark/>
          </w:tcPr>
          <w:p w14:paraId="4BB2F858" w14:textId="77777777" w:rsidR="00C91F30" w:rsidRPr="00C91F30" w:rsidRDefault="00C91F30" w:rsidP="00C91F30">
            <w:pPr>
              <w:jc w:val="center"/>
              <w:rPr>
                <w:rFonts w:ascii="Calibri" w:eastAsia="Times New Roman" w:hAnsi="Calibri"/>
                <w:b/>
                <w:bCs/>
                <w:color w:val="404040"/>
                <w:szCs w:val="20"/>
              </w:rPr>
            </w:pPr>
            <w:r w:rsidRPr="00C91F30">
              <w:rPr>
                <w:rFonts w:ascii="Calibri" w:eastAsia="Times New Roman" w:hAnsi="Calibri"/>
                <w:b/>
                <w:bCs/>
                <w:color w:val="404040"/>
                <w:szCs w:val="20"/>
              </w:rPr>
              <w:t>DUNS</w:t>
            </w:r>
          </w:p>
        </w:tc>
        <w:tc>
          <w:tcPr>
            <w:tcW w:w="1079" w:type="dxa"/>
            <w:shd w:val="clear" w:color="000000" w:fill="C5D9F1"/>
            <w:vAlign w:val="center"/>
            <w:hideMark/>
          </w:tcPr>
          <w:p w14:paraId="2BEE1F1D" w14:textId="77777777" w:rsidR="00C91F30" w:rsidRPr="00C91F30" w:rsidRDefault="00C91F30" w:rsidP="00C91F30">
            <w:pPr>
              <w:jc w:val="center"/>
              <w:rPr>
                <w:rFonts w:ascii="Calibri" w:eastAsia="Times New Roman" w:hAnsi="Calibri"/>
                <w:b/>
                <w:bCs/>
                <w:color w:val="404040"/>
                <w:szCs w:val="20"/>
              </w:rPr>
            </w:pPr>
            <w:r w:rsidRPr="00C91F30">
              <w:rPr>
                <w:rFonts w:ascii="Calibri" w:eastAsia="Times New Roman" w:hAnsi="Calibri"/>
                <w:b/>
                <w:bCs/>
                <w:color w:val="404040"/>
                <w:szCs w:val="20"/>
              </w:rPr>
              <w:t>DV PROVIDER</w:t>
            </w:r>
          </w:p>
        </w:tc>
        <w:tc>
          <w:tcPr>
            <w:tcW w:w="1591" w:type="dxa"/>
            <w:shd w:val="clear" w:color="000000" w:fill="C5D9F1"/>
            <w:vAlign w:val="center"/>
            <w:hideMark/>
          </w:tcPr>
          <w:p w14:paraId="692C5886" w14:textId="77777777" w:rsidR="00C91F30" w:rsidRPr="00C91F30" w:rsidRDefault="00C91F30" w:rsidP="00C91F30">
            <w:pPr>
              <w:jc w:val="center"/>
              <w:rPr>
                <w:rFonts w:ascii="Calibri" w:eastAsia="Times New Roman" w:hAnsi="Calibri"/>
                <w:b/>
                <w:bCs/>
                <w:color w:val="404040"/>
                <w:szCs w:val="20"/>
              </w:rPr>
            </w:pPr>
            <w:r w:rsidRPr="00C91F30">
              <w:rPr>
                <w:rFonts w:ascii="Calibri" w:eastAsia="Times New Roman" w:hAnsi="Calibri"/>
                <w:b/>
                <w:bCs/>
                <w:color w:val="404040"/>
                <w:szCs w:val="20"/>
              </w:rPr>
              <w:t>ORGANIZATION TYPE</w:t>
            </w:r>
          </w:p>
        </w:tc>
        <w:tc>
          <w:tcPr>
            <w:tcW w:w="1113" w:type="dxa"/>
            <w:shd w:val="clear" w:color="000000" w:fill="C5D9F1"/>
            <w:vAlign w:val="center"/>
            <w:hideMark/>
          </w:tcPr>
          <w:p w14:paraId="654D0756" w14:textId="77777777" w:rsidR="00C91F30" w:rsidRPr="00C91F30" w:rsidRDefault="00C91F30" w:rsidP="00C91F30">
            <w:pPr>
              <w:jc w:val="center"/>
              <w:rPr>
                <w:rFonts w:ascii="Calibri" w:eastAsia="Times New Roman" w:hAnsi="Calibri"/>
                <w:b/>
                <w:bCs/>
                <w:color w:val="404040"/>
                <w:szCs w:val="20"/>
              </w:rPr>
            </w:pPr>
            <w:r w:rsidRPr="00C91F30">
              <w:rPr>
                <w:rFonts w:ascii="Calibri" w:eastAsia="Times New Roman" w:hAnsi="Calibri"/>
                <w:b/>
                <w:bCs/>
                <w:color w:val="404040"/>
                <w:szCs w:val="20"/>
              </w:rPr>
              <w:t>AWARD AMOUNT</w:t>
            </w:r>
          </w:p>
        </w:tc>
      </w:tr>
      <w:tr w:rsidR="00C91F30" w:rsidRPr="00C91F30" w14:paraId="6F1CAF5A" w14:textId="77777777" w:rsidTr="00816745">
        <w:trPr>
          <w:trHeight w:val="552"/>
        </w:trPr>
        <w:tc>
          <w:tcPr>
            <w:tcW w:w="2480" w:type="dxa"/>
            <w:shd w:val="clear" w:color="auto" w:fill="auto"/>
            <w:noWrap/>
            <w:vAlign w:val="center"/>
            <w:hideMark/>
          </w:tcPr>
          <w:p w14:paraId="6819E868"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CCS - Weigand Center</w:t>
            </w:r>
          </w:p>
        </w:tc>
        <w:tc>
          <w:tcPr>
            <w:tcW w:w="1040" w:type="dxa"/>
            <w:shd w:val="clear" w:color="auto" w:fill="auto"/>
            <w:noWrap/>
            <w:vAlign w:val="center"/>
            <w:hideMark/>
          </w:tcPr>
          <w:p w14:paraId="44F5DD02"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Salt Lake</w:t>
            </w:r>
          </w:p>
        </w:tc>
        <w:tc>
          <w:tcPr>
            <w:tcW w:w="640" w:type="dxa"/>
            <w:shd w:val="clear" w:color="auto" w:fill="auto"/>
            <w:noWrap/>
            <w:vAlign w:val="center"/>
            <w:hideMark/>
          </w:tcPr>
          <w:p w14:paraId="272C7FE7"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Utah</w:t>
            </w:r>
          </w:p>
        </w:tc>
        <w:tc>
          <w:tcPr>
            <w:tcW w:w="920" w:type="dxa"/>
            <w:shd w:val="clear" w:color="auto" w:fill="auto"/>
            <w:noWrap/>
            <w:vAlign w:val="center"/>
            <w:hideMark/>
          </w:tcPr>
          <w:p w14:paraId="71338327"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84102</w:t>
            </w:r>
          </w:p>
        </w:tc>
        <w:tc>
          <w:tcPr>
            <w:tcW w:w="1080" w:type="dxa"/>
            <w:shd w:val="clear" w:color="auto" w:fill="auto"/>
            <w:noWrap/>
            <w:vAlign w:val="center"/>
            <w:hideMark/>
          </w:tcPr>
          <w:p w14:paraId="603B5EE2"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931158772</w:t>
            </w:r>
          </w:p>
        </w:tc>
        <w:tc>
          <w:tcPr>
            <w:tcW w:w="1020" w:type="dxa"/>
            <w:shd w:val="clear" w:color="auto" w:fill="auto"/>
            <w:vAlign w:val="center"/>
            <w:hideMark/>
          </w:tcPr>
          <w:p w14:paraId="60B3FDB5"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N</w:t>
            </w:r>
          </w:p>
        </w:tc>
        <w:tc>
          <w:tcPr>
            <w:tcW w:w="1660" w:type="dxa"/>
            <w:shd w:val="clear" w:color="auto" w:fill="auto"/>
            <w:vAlign w:val="center"/>
            <w:hideMark/>
          </w:tcPr>
          <w:p w14:paraId="74190163"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Faith Based Non-Profit Agency</w:t>
            </w:r>
          </w:p>
        </w:tc>
        <w:tc>
          <w:tcPr>
            <w:tcW w:w="1240" w:type="dxa"/>
            <w:shd w:val="clear" w:color="auto" w:fill="auto"/>
            <w:vAlign w:val="center"/>
            <w:hideMark/>
          </w:tcPr>
          <w:p w14:paraId="7E571DBC" w14:textId="77777777" w:rsidR="00C91F30" w:rsidRPr="00C91F30" w:rsidRDefault="00C91F30" w:rsidP="00C91F30">
            <w:pPr>
              <w:jc w:val="center"/>
              <w:rPr>
                <w:rFonts w:ascii="Calibri" w:eastAsia="Times New Roman" w:hAnsi="Calibri"/>
                <w:color w:val="404040"/>
                <w:szCs w:val="20"/>
                <w:highlight w:val="yellow"/>
              </w:rPr>
            </w:pPr>
            <w:r w:rsidRPr="00C91F30">
              <w:rPr>
                <w:rFonts w:ascii="Calibri" w:eastAsia="Times New Roman" w:hAnsi="Calibri"/>
                <w:color w:val="404040"/>
                <w:szCs w:val="20"/>
              </w:rPr>
              <w:t>$30,000</w:t>
            </w:r>
          </w:p>
        </w:tc>
      </w:tr>
      <w:tr w:rsidR="00C91F30" w:rsidRPr="00C91F30" w14:paraId="4E6C07EA" w14:textId="77777777" w:rsidTr="00816745">
        <w:trPr>
          <w:trHeight w:val="276"/>
        </w:trPr>
        <w:tc>
          <w:tcPr>
            <w:tcW w:w="2480" w:type="dxa"/>
            <w:shd w:val="clear" w:color="auto" w:fill="auto"/>
            <w:noWrap/>
            <w:vAlign w:val="center"/>
            <w:hideMark/>
          </w:tcPr>
          <w:p w14:paraId="3A800BDA"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Utah Community Action</w:t>
            </w:r>
          </w:p>
        </w:tc>
        <w:tc>
          <w:tcPr>
            <w:tcW w:w="1040" w:type="dxa"/>
            <w:shd w:val="clear" w:color="auto" w:fill="auto"/>
            <w:noWrap/>
            <w:vAlign w:val="center"/>
            <w:hideMark/>
          </w:tcPr>
          <w:p w14:paraId="5D538349"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Salt Lake</w:t>
            </w:r>
          </w:p>
        </w:tc>
        <w:tc>
          <w:tcPr>
            <w:tcW w:w="640" w:type="dxa"/>
            <w:shd w:val="clear" w:color="auto" w:fill="auto"/>
            <w:noWrap/>
            <w:vAlign w:val="center"/>
            <w:hideMark/>
          </w:tcPr>
          <w:p w14:paraId="67E0603C"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Utah</w:t>
            </w:r>
          </w:p>
        </w:tc>
        <w:tc>
          <w:tcPr>
            <w:tcW w:w="920" w:type="dxa"/>
            <w:shd w:val="clear" w:color="auto" w:fill="auto"/>
            <w:noWrap/>
            <w:vAlign w:val="center"/>
            <w:hideMark/>
          </w:tcPr>
          <w:p w14:paraId="25D8BA09"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84104</w:t>
            </w:r>
          </w:p>
        </w:tc>
        <w:tc>
          <w:tcPr>
            <w:tcW w:w="1080" w:type="dxa"/>
            <w:shd w:val="clear" w:color="auto" w:fill="auto"/>
            <w:noWrap/>
            <w:vAlign w:val="center"/>
            <w:hideMark/>
          </w:tcPr>
          <w:p w14:paraId="0665B5C1"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144483377</w:t>
            </w:r>
          </w:p>
        </w:tc>
        <w:tc>
          <w:tcPr>
            <w:tcW w:w="1020" w:type="dxa"/>
            <w:shd w:val="clear" w:color="auto" w:fill="auto"/>
            <w:vAlign w:val="center"/>
            <w:hideMark/>
          </w:tcPr>
          <w:p w14:paraId="06FA4F5C"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N</w:t>
            </w:r>
          </w:p>
        </w:tc>
        <w:tc>
          <w:tcPr>
            <w:tcW w:w="1660" w:type="dxa"/>
            <w:shd w:val="clear" w:color="auto" w:fill="auto"/>
            <w:vAlign w:val="center"/>
            <w:hideMark/>
          </w:tcPr>
          <w:p w14:paraId="4BC33046"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Non-Profit Agency</w:t>
            </w:r>
          </w:p>
        </w:tc>
        <w:tc>
          <w:tcPr>
            <w:tcW w:w="1240" w:type="dxa"/>
            <w:shd w:val="clear" w:color="auto" w:fill="auto"/>
            <w:vAlign w:val="center"/>
            <w:hideMark/>
          </w:tcPr>
          <w:p w14:paraId="1A1FBB95" w14:textId="77777777" w:rsidR="00C91F30" w:rsidRPr="00C91F30" w:rsidRDefault="00C91F30" w:rsidP="00C91F30">
            <w:pPr>
              <w:jc w:val="center"/>
              <w:rPr>
                <w:rFonts w:ascii="Calibri" w:eastAsia="Times New Roman" w:hAnsi="Calibri"/>
                <w:color w:val="404040"/>
                <w:szCs w:val="20"/>
                <w:highlight w:val="yellow"/>
              </w:rPr>
            </w:pPr>
            <w:r w:rsidRPr="00C91F30">
              <w:rPr>
                <w:rFonts w:ascii="Calibri" w:eastAsia="Times New Roman" w:hAnsi="Calibri"/>
                <w:color w:val="404040"/>
                <w:szCs w:val="20"/>
              </w:rPr>
              <w:t>$32,000</w:t>
            </w:r>
          </w:p>
        </w:tc>
      </w:tr>
      <w:tr w:rsidR="00C91F30" w:rsidRPr="00C91F30" w14:paraId="7E804853" w14:textId="77777777" w:rsidTr="00816745">
        <w:trPr>
          <w:trHeight w:val="276"/>
        </w:trPr>
        <w:tc>
          <w:tcPr>
            <w:tcW w:w="2480" w:type="dxa"/>
            <w:shd w:val="clear" w:color="auto" w:fill="auto"/>
            <w:noWrap/>
            <w:vAlign w:val="center"/>
            <w:hideMark/>
          </w:tcPr>
          <w:p w14:paraId="21786C1C"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Salt Lake City</w:t>
            </w:r>
          </w:p>
        </w:tc>
        <w:tc>
          <w:tcPr>
            <w:tcW w:w="1040" w:type="dxa"/>
            <w:shd w:val="clear" w:color="auto" w:fill="auto"/>
            <w:noWrap/>
            <w:vAlign w:val="center"/>
            <w:hideMark/>
          </w:tcPr>
          <w:p w14:paraId="23D82851"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Salt Lake</w:t>
            </w:r>
          </w:p>
        </w:tc>
        <w:tc>
          <w:tcPr>
            <w:tcW w:w="640" w:type="dxa"/>
            <w:shd w:val="clear" w:color="auto" w:fill="auto"/>
            <w:noWrap/>
            <w:vAlign w:val="center"/>
            <w:hideMark/>
          </w:tcPr>
          <w:p w14:paraId="368F8378"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Utah</w:t>
            </w:r>
          </w:p>
        </w:tc>
        <w:tc>
          <w:tcPr>
            <w:tcW w:w="920" w:type="dxa"/>
            <w:shd w:val="clear" w:color="auto" w:fill="auto"/>
            <w:noWrap/>
            <w:vAlign w:val="center"/>
            <w:hideMark/>
          </w:tcPr>
          <w:p w14:paraId="3AB3567B"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84111</w:t>
            </w:r>
          </w:p>
        </w:tc>
        <w:tc>
          <w:tcPr>
            <w:tcW w:w="1080" w:type="dxa"/>
            <w:shd w:val="clear" w:color="auto" w:fill="auto"/>
            <w:noWrap/>
            <w:vAlign w:val="center"/>
            <w:hideMark/>
          </w:tcPr>
          <w:p w14:paraId="0D0975E4"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72957822</w:t>
            </w:r>
          </w:p>
        </w:tc>
        <w:tc>
          <w:tcPr>
            <w:tcW w:w="1020" w:type="dxa"/>
            <w:shd w:val="clear" w:color="auto" w:fill="auto"/>
            <w:vAlign w:val="center"/>
            <w:hideMark/>
          </w:tcPr>
          <w:p w14:paraId="3EFC7110"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N</w:t>
            </w:r>
          </w:p>
        </w:tc>
        <w:tc>
          <w:tcPr>
            <w:tcW w:w="1660" w:type="dxa"/>
            <w:shd w:val="clear" w:color="auto" w:fill="auto"/>
            <w:vAlign w:val="center"/>
            <w:hideMark/>
          </w:tcPr>
          <w:p w14:paraId="758A465B"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Unit of Gov’t</w:t>
            </w:r>
          </w:p>
        </w:tc>
        <w:tc>
          <w:tcPr>
            <w:tcW w:w="1240" w:type="dxa"/>
            <w:shd w:val="clear" w:color="auto" w:fill="auto"/>
            <w:vAlign w:val="center"/>
            <w:hideMark/>
          </w:tcPr>
          <w:p w14:paraId="54B9FF34"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$21,659</w:t>
            </w:r>
          </w:p>
        </w:tc>
      </w:tr>
      <w:tr w:rsidR="00C91F30" w:rsidRPr="00C91F30" w14:paraId="6E0446DA" w14:textId="77777777" w:rsidTr="00816745">
        <w:trPr>
          <w:trHeight w:val="276"/>
        </w:trPr>
        <w:tc>
          <w:tcPr>
            <w:tcW w:w="2480" w:type="dxa"/>
            <w:shd w:val="clear" w:color="auto" w:fill="auto"/>
            <w:noWrap/>
            <w:vAlign w:val="center"/>
            <w:hideMark/>
          </w:tcPr>
          <w:p w14:paraId="1A63A193"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The Road Home</w:t>
            </w:r>
          </w:p>
        </w:tc>
        <w:tc>
          <w:tcPr>
            <w:tcW w:w="1040" w:type="dxa"/>
            <w:shd w:val="clear" w:color="auto" w:fill="auto"/>
            <w:noWrap/>
            <w:vAlign w:val="center"/>
            <w:hideMark/>
          </w:tcPr>
          <w:p w14:paraId="7B3A3CF8"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Salt Lake</w:t>
            </w:r>
          </w:p>
        </w:tc>
        <w:tc>
          <w:tcPr>
            <w:tcW w:w="640" w:type="dxa"/>
            <w:shd w:val="clear" w:color="auto" w:fill="auto"/>
            <w:noWrap/>
            <w:vAlign w:val="center"/>
            <w:hideMark/>
          </w:tcPr>
          <w:p w14:paraId="0441FB9F"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Utah</w:t>
            </w:r>
          </w:p>
        </w:tc>
        <w:tc>
          <w:tcPr>
            <w:tcW w:w="920" w:type="dxa"/>
            <w:shd w:val="clear" w:color="auto" w:fill="auto"/>
            <w:noWrap/>
            <w:vAlign w:val="center"/>
            <w:hideMark/>
          </w:tcPr>
          <w:p w14:paraId="725EAA3F"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84101</w:t>
            </w:r>
          </w:p>
        </w:tc>
        <w:tc>
          <w:tcPr>
            <w:tcW w:w="1080" w:type="dxa"/>
            <w:shd w:val="clear" w:color="auto" w:fill="auto"/>
            <w:noWrap/>
            <w:vAlign w:val="center"/>
            <w:hideMark/>
          </w:tcPr>
          <w:p w14:paraId="34B62886"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612496802</w:t>
            </w:r>
          </w:p>
        </w:tc>
        <w:tc>
          <w:tcPr>
            <w:tcW w:w="1020" w:type="dxa"/>
            <w:shd w:val="clear" w:color="auto" w:fill="auto"/>
            <w:vAlign w:val="center"/>
            <w:hideMark/>
          </w:tcPr>
          <w:p w14:paraId="4B3D7D69"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N</w:t>
            </w:r>
          </w:p>
        </w:tc>
        <w:tc>
          <w:tcPr>
            <w:tcW w:w="1660" w:type="dxa"/>
            <w:shd w:val="clear" w:color="auto" w:fill="auto"/>
            <w:vAlign w:val="center"/>
            <w:hideMark/>
          </w:tcPr>
          <w:p w14:paraId="11011218"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Non-Profit Agency</w:t>
            </w:r>
          </w:p>
        </w:tc>
        <w:tc>
          <w:tcPr>
            <w:tcW w:w="1240" w:type="dxa"/>
            <w:shd w:val="clear" w:color="auto" w:fill="auto"/>
            <w:vAlign w:val="center"/>
            <w:hideMark/>
          </w:tcPr>
          <w:p w14:paraId="711FDA3D"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$85,508</w:t>
            </w:r>
          </w:p>
        </w:tc>
      </w:tr>
      <w:tr w:rsidR="00C91F30" w:rsidRPr="00C91F30" w14:paraId="70051641" w14:textId="77777777" w:rsidTr="00816745">
        <w:trPr>
          <w:trHeight w:val="276"/>
        </w:trPr>
        <w:tc>
          <w:tcPr>
            <w:tcW w:w="2480" w:type="dxa"/>
            <w:shd w:val="clear" w:color="auto" w:fill="auto"/>
            <w:noWrap/>
            <w:vAlign w:val="center"/>
            <w:hideMark/>
          </w:tcPr>
          <w:p w14:paraId="351EFA3A"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The Road Home</w:t>
            </w:r>
          </w:p>
        </w:tc>
        <w:tc>
          <w:tcPr>
            <w:tcW w:w="1040" w:type="dxa"/>
            <w:shd w:val="clear" w:color="auto" w:fill="auto"/>
            <w:noWrap/>
            <w:vAlign w:val="center"/>
            <w:hideMark/>
          </w:tcPr>
          <w:p w14:paraId="0072659B"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Salt Lake</w:t>
            </w:r>
          </w:p>
        </w:tc>
        <w:tc>
          <w:tcPr>
            <w:tcW w:w="640" w:type="dxa"/>
            <w:shd w:val="clear" w:color="auto" w:fill="auto"/>
            <w:noWrap/>
            <w:vAlign w:val="center"/>
            <w:hideMark/>
          </w:tcPr>
          <w:p w14:paraId="3FB09951"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Utah</w:t>
            </w:r>
          </w:p>
        </w:tc>
        <w:tc>
          <w:tcPr>
            <w:tcW w:w="920" w:type="dxa"/>
            <w:shd w:val="clear" w:color="auto" w:fill="auto"/>
            <w:noWrap/>
            <w:vAlign w:val="center"/>
            <w:hideMark/>
          </w:tcPr>
          <w:p w14:paraId="74F68021"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84101</w:t>
            </w:r>
          </w:p>
        </w:tc>
        <w:tc>
          <w:tcPr>
            <w:tcW w:w="1080" w:type="dxa"/>
            <w:shd w:val="clear" w:color="auto" w:fill="auto"/>
            <w:noWrap/>
            <w:vAlign w:val="center"/>
            <w:hideMark/>
          </w:tcPr>
          <w:p w14:paraId="2F9E7723"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612496802</w:t>
            </w:r>
          </w:p>
        </w:tc>
        <w:tc>
          <w:tcPr>
            <w:tcW w:w="1020" w:type="dxa"/>
            <w:shd w:val="clear" w:color="auto" w:fill="auto"/>
            <w:vAlign w:val="center"/>
            <w:hideMark/>
          </w:tcPr>
          <w:p w14:paraId="6D4D4B02"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N</w:t>
            </w:r>
          </w:p>
        </w:tc>
        <w:tc>
          <w:tcPr>
            <w:tcW w:w="1660" w:type="dxa"/>
            <w:shd w:val="clear" w:color="auto" w:fill="auto"/>
            <w:vAlign w:val="center"/>
            <w:hideMark/>
          </w:tcPr>
          <w:p w14:paraId="49438F00"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Non-Profit Agency</w:t>
            </w:r>
          </w:p>
        </w:tc>
        <w:tc>
          <w:tcPr>
            <w:tcW w:w="1240" w:type="dxa"/>
            <w:shd w:val="clear" w:color="auto" w:fill="auto"/>
            <w:vAlign w:val="center"/>
            <w:hideMark/>
          </w:tcPr>
          <w:p w14:paraId="3FD1D5D5"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$58,123</w:t>
            </w:r>
          </w:p>
        </w:tc>
      </w:tr>
      <w:tr w:rsidR="00C91F30" w:rsidRPr="00C91F30" w14:paraId="318AA10D" w14:textId="77777777" w:rsidTr="00816745">
        <w:trPr>
          <w:trHeight w:val="276"/>
        </w:trPr>
        <w:tc>
          <w:tcPr>
            <w:tcW w:w="2480" w:type="dxa"/>
            <w:shd w:val="clear" w:color="auto" w:fill="auto"/>
            <w:noWrap/>
            <w:vAlign w:val="center"/>
          </w:tcPr>
          <w:p w14:paraId="0E33BF91"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Volunteers of America</w:t>
            </w:r>
          </w:p>
        </w:tc>
        <w:tc>
          <w:tcPr>
            <w:tcW w:w="1040" w:type="dxa"/>
            <w:shd w:val="clear" w:color="auto" w:fill="auto"/>
            <w:noWrap/>
            <w:vAlign w:val="center"/>
          </w:tcPr>
          <w:p w14:paraId="7248CC34"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Salt Lake</w:t>
            </w:r>
          </w:p>
        </w:tc>
        <w:tc>
          <w:tcPr>
            <w:tcW w:w="640" w:type="dxa"/>
            <w:shd w:val="clear" w:color="auto" w:fill="auto"/>
            <w:noWrap/>
            <w:vAlign w:val="center"/>
          </w:tcPr>
          <w:p w14:paraId="6DCEDF5F"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Utah</w:t>
            </w:r>
          </w:p>
        </w:tc>
        <w:tc>
          <w:tcPr>
            <w:tcW w:w="920" w:type="dxa"/>
            <w:shd w:val="clear" w:color="auto" w:fill="auto"/>
            <w:noWrap/>
            <w:vAlign w:val="center"/>
          </w:tcPr>
          <w:p w14:paraId="345C42B6"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84115</w:t>
            </w:r>
          </w:p>
        </w:tc>
        <w:tc>
          <w:tcPr>
            <w:tcW w:w="1080" w:type="dxa"/>
            <w:shd w:val="clear" w:color="auto" w:fill="auto"/>
            <w:noWrap/>
            <w:vAlign w:val="center"/>
          </w:tcPr>
          <w:p w14:paraId="52781C0E"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931851265</w:t>
            </w:r>
          </w:p>
        </w:tc>
        <w:tc>
          <w:tcPr>
            <w:tcW w:w="1020" w:type="dxa"/>
            <w:shd w:val="clear" w:color="auto" w:fill="auto"/>
            <w:vAlign w:val="center"/>
          </w:tcPr>
          <w:p w14:paraId="64D91A0D"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N</w:t>
            </w:r>
          </w:p>
        </w:tc>
        <w:tc>
          <w:tcPr>
            <w:tcW w:w="1660" w:type="dxa"/>
            <w:shd w:val="clear" w:color="auto" w:fill="auto"/>
            <w:vAlign w:val="center"/>
          </w:tcPr>
          <w:p w14:paraId="77C9642C"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Non-Profit Agency</w:t>
            </w:r>
          </w:p>
        </w:tc>
        <w:tc>
          <w:tcPr>
            <w:tcW w:w="1240" w:type="dxa"/>
            <w:shd w:val="clear" w:color="auto" w:fill="auto"/>
            <w:vAlign w:val="center"/>
            <w:hideMark/>
          </w:tcPr>
          <w:p w14:paraId="0414EB11"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$45,992</w:t>
            </w:r>
          </w:p>
        </w:tc>
      </w:tr>
      <w:tr w:rsidR="00C91F30" w:rsidRPr="00C91F30" w14:paraId="2C8023D7" w14:textId="77777777" w:rsidTr="00816745">
        <w:trPr>
          <w:trHeight w:val="276"/>
        </w:trPr>
        <w:tc>
          <w:tcPr>
            <w:tcW w:w="2480" w:type="dxa"/>
            <w:shd w:val="clear" w:color="auto" w:fill="auto"/>
            <w:noWrap/>
            <w:vAlign w:val="center"/>
            <w:hideMark/>
          </w:tcPr>
          <w:p w14:paraId="2E513A34"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YWCA of Utah</w:t>
            </w:r>
          </w:p>
        </w:tc>
        <w:tc>
          <w:tcPr>
            <w:tcW w:w="1040" w:type="dxa"/>
            <w:shd w:val="clear" w:color="auto" w:fill="auto"/>
            <w:noWrap/>
            <w:vAlign w:val="center"/>
            <w:hideMark/>
          </w:tcPr>
          <w:p w14:paraId="7D32A57E"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Salt Lake</w:t>
            </w:r>
          </w:p>
        </w:tc>
        <w:tc>
          <w:tcPr>
            <w:tcW w:w="728" w:type="dxa"/>
            <w:shd w:val="clear" w:color="auto" w:fill="auto"/>
            <w:noWrap/>
            <w:vAlign w:val="center"/>
            <w:hideMark/>
          </w:tcPr>
          <w:p w14:paraId="1B03D35A"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Utah</w:t>
            </w:r>
          </w:p>
        </w:tc>
        <w:tc>
          <w:tcPr>
            <w:tcW w:w="920" w:type="dxa"/>
            <w:shd w:val="clear" w:color="auto" w:fill="auto"/>
            <w:noWrap/>
            <w:vAlign w:val="center"/>
            <w:hideMark/>
          </w:tcPr>
          <w:p w14:paraId="7CCFF1D8"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84111</w:t>
            </w:r>
          </w:p>
        </w:tc>
        <w:tc>
          <w:tcPr>
            <w:tcW w:w="1129" w:type="dxa"/>
            <w:shd w:val="clear" w:color="auto" w:fill="auto"/>
            <w:noWrap/>
            <w:vAlign w:val="center"/>
            <w:hideMark/>
          </w:tcPr>
          <w:p w14:paraId="507DD69E"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730008047</w:t>
            </w:r>
          </w:p>
        </w:tc>
        <w:tc>
          <w:tcPr>
            <w:tcW w:w="1079" w:type="dxa"/>
            <w:shd w:val="clear" w:color="auto" w:fill="auto"/>
            <w:vAlign w:val="center"/>
            <w:hideMark/>
          </w:tcPr>
          <w:p w14:paraId="069F3BA7"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Y</w:t>
            </w:r>
          </w:p>
        </w:tc>
        <w:tc>
          <w:tcPr>
            <w:tcW w:w="1591" w:type="dxa"/>
            <w:shd w:val="clear" w:color="auto" w:fill="auto"/>
            <w:vAlign w:val="center"/>
            <w:hideMark/>
          </w:tcPr>
          <w:p w14:paraId="25C01763"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Non-Profit Agency</w:t>
            </w:r>
          </w:p>
        </w:tc>
        <w:tc>
          <w:tcPr>
            <w:tcW w:w="1113" w:type="dxa"/>
            <w:shd w:val="clear" w:color="auto" w:fill="auto"/>
            <w:vAlign w:val="center"/>
            <w:hideMark/>
          </w:tcPr>
          <w:p w14:paraId="554E00C3"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$30,000</w:t>
            </w:r>
          </w:p>
        </w:tc>
      </w:tr>
    </w:tbl>
    <w:p w14:paraId="4AEBB144" w14:textId="77777777" w:rsidR="00C91F30" w:rsidRPr="00C91F30" w:rsidRDefault="00C91F30" w:rsidP="00C91F30">
      <w:pPr>
        <w:rPr>
          <w:rFonts w:ascii="Calibri" w:hAnsi="Calibri" w:cs="Calibri"/>
          <w:color w:val="404040"/>
          <w:szCs w:val="20"/>
        </w:rPr>
      </w:pPr>
    </w:p>
    <w:p w14:paraId="4EFC6674" w14:textId="77777777" w:rsidR="00C91F30" w:rsidRPr="00C91F30" w:rsidRDefault="00C91F30" w:rsidP="00C91F30">
      <w:pPr>
        <w:spacing w:line="276" w:lineRule="auto"/>
        <w:ind w:right="360"/>
        <w:rPr>
          <w:rFonts w:ascii="Calibri" w:hAnsi="Calibri" w:cs="Calibri"/>
          <w:b/>
          <w:color w:val="FF0000"/>
          <w:szCs w:val="20"/>
        </w:rPr>
      </w:pPr>
    </w:p>
    <w:p w14:paraId="43F3476F" w14:textId="77777777" w:rsidR="00C91F30" w:rsidRPr="00C91F30" w:rsidRDefault="00C91F30" w:rsidP="00C91F30">
      <w:pPr>
        <w:spacing w:line="276" w:lineRule="auto"/>
        <w:ind w:right="360"/>
        <w:rPr>
          <w:rFonts w:ascii="Calibri" w:hAnsi="Calibri" w:cs="Calibri"/>
          <w:b/>
          <w:color w:val="FF0000"/>
          <w:szCs w:val="20"/>
        </w:rPr>
      </w:pPr>
    </w:p>
    <w:p w14:paraId="67083840" w14:textId="77777777" w:rsidR="00C91F30" w:rsidRPr="00C91F30" w:rsidRDefault="00C91F30" w:rsidP="00C91F30">
      <w:pPr>
        <w:spacing w:line="276" w:lineRule="auto"/>
        <w:ind w:right="360"/>
        <w:rPr>
          <w:rFonts w:ascii="Calibri" w:hAnsi="Calibri" w:cs="Calibri"/>
          <w:b/>
          <w:color w:val="FF0000"/>
          <w:szCs w:val="20"/>
        </w:rPr>
      </w:pPr>
    </w:p>
    <w:p w14:paraId="4162E1AA" w14:textId="77777777" w:rsidR="00C91F30" w:rsidRPr="00C91F30" w:rsidRDefault="00C91F30" w:rsidP="00C91F30">
      <w:pPr>
        <w:spacing w:line="276" w:lineRule="auto"/>
        <w:ind w:right="360"/>
        <w:rPr>
          <w:rFonts w:ascii="Calibri" w:hAnsi="Calibri" w:cs="Calibri"/>
          <w:b/>
          <w:color w:val="FF0000"/>
          <w:szCs w:val="20"/>
        </w:rPr>
      </w:pPr>
    </w:p>
    <w:p w14:paraId="09781E9D" w14:textId="77777777" w:rsidR="00C91F30" w:rsidRPr="00C91F30" w:rsidRDefault="00C91F30" w:rsidP="00C91F30">
      <w:pPr>
        <w:spacing w:line="276" w:lineRule="auto"/>
        <w:ind w:right="360"/>
        <w:rPr>
          <w:rFonts w:ascii="Calibri" w:hAnsi="Calibri" w:cs="Calibri"/>
          <w:b/>
          <w:color w:val="FF0000"/>
          <w:sz w:val="24"/>
        </w:rPr>
      </w:pPr>
      <w:r w:rsidRPr="00C91F30">
        <w:rPr>
          <w:rFonts w:ascii="Calibri" w:hAnsi="Calibri" w:cs="Calibri"/>
          <w:b/>
          <w:color w:val="FF0000"/>
          <w:szCs w:val="20"/>
        </w:rPr>
        <w:br w:type="page"/>
      </w:r>
      <w:r w:rsidRPr="00C91F30">
        <w:rPr>
          <w:rFonts w:ascii="Calibri" w:hAnsi="Calibri" w:cs="Calibri"/>
          <w:noProof/>
          <w:color w:val="44546A"/>
          <w:sz w:val="24"/>
        </w:rPr>
        <mc:AlternateContent>
          <mc:Choice Requires="wps">
            <w:drawing>
              <wp:anchor distT="0" distB="0" distL="114300" distR="114300" simplePos="0" relativeHeight="251779072" behindDoc="0" locked="0" layoutInCell="1" allowOverlap="1" wp14:anchorId="7BD2B0C3" wp14:editId="5CD42E23">
                <wp:simplePos x="0" y="0"/>
                <wp:positionH relativeFrom="column">
                  <wp:posOffset>-190500</wp:posOffset>
                </wp:positionH>
                <wp:positionV relativeFrom="paragraph">
                  <wp:posOffset>-38100</wp:posOffset>
                </wp:positionV>
                <wp:extent cx="6779895" cy="635"/>
                <wp:effectExtent l="9525" t="9525" r="11430" b="8890"/>
                <wp:wrapNone/>
                <wp:docPr id="5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989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1E1A9" id="AutoShape 15" o:spid="_x0000_s1026" type="#_x0000_t32" style="position:absolute;margin-left:-15pt;margin-top:-3pt;width:533.85pt;height:.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" strokecolor="#548dd4"/>
            </w:pict>
          </mc:Fallback>
        </mc:AlternateContent>
      </w:r>
      <w:r w:rsidRPr="00C91F30">
        <w:rPr>
          <w:rFonts w:ascii="Calibri" w:hAnsi="Calibri" w:cs="Calibri"/>
          <w:b/>
          <w:color w:val="44546A"/>
          <w:sz w:val="24"/>
        </w:rPr>
        <w:t>CR-65 ESG PERSONS ASSISTED</w:t>
      </w:r>
      <w:r w:rsidRPr="00C91F30">
        <w:rPr>
          <w:rFonts w:ascii="Calibri" w:hAnsi="Calibri" w:cs="Calibri"/>
          <w:b/>
          <w:color w:val="FF0000"/>
          <w:sz w:val="24"/>
        </w:rPr>
        <w:t xml:space="preserve">  </w:t>
      </w:r>
    </w:p>
    <w:p w14:paraId="603B1711" w14:textId="77777777" w:rsidR="00C91F30" w:rsidRPr="00C91F30" w:rsidRDefault="00C91F30" w:rsidP="00C91F30">
      <w:pPr>
        <w:spacing w:line="276" w:lineRule="auto"/>
        <w:ind w:right="360"/>
        <w:rPr>
          <w:rFonts w:ascii="Calibri" w:hAnsi="Calibri" w:cs="Calibri"/>
          <w:i/>
          <w:color w:val="404040"/>
          <w:sz w:val="18"/>
          <w:szCs w:val="18"/>
        </w:rPr>
      </w:pPr>
      <w:r w:rsidRPr="00C91F30">
        <w:rPr>
          <w:rFonts w:ascii="Calibri" w:hAnsi="Calibri" w:cs="Calibri"/>
          <w:i/>
          <w:color w:val="404040"/>
          <w:sz w:val="18"/>
          <w:szCs w:val="18"/>
        </w:rPr>
        <w:t>This information is gathered through HMIS or comparable systems, aggregated and reported to HUD via their SAGE reporting tool.</w:t>
      </w:r>
    </w:p>
    <w:p w14:paraId="55F0E38E" w14:textId="77777777" w:rsidR="00C91F30" w:rsidRPr="00C91F30" w:rsidRDefault="00C91F30" w:rsidP="00C91F30">
      <w:pPr>
        <w:spacing w:line="276" w:lineRule="auto"/>
        <w:ind w:right="360"/>
        <w:rPr>
          <w:rFonts w:ascii="Calibri" w:hAnsi="Calibri" w:cs="Calibri"/>
          <w:b/>
          <w:color w:val="404040"/>
          <w:szCs w:val="20"/>
        </w:rPr>
      </w:pPr>
    </w:p>
    <w:p w14:paraId="1556AC82" w14:textId="77777777" w:rsidR="00C91F30" w:rsidRPr="00C91F30" w:rsidRDefault="00C91F30" w:rsidP="00C91F30">
      <w:pPr>
        <w:spacing w:line="276" w:lineRule="auto"/>
        <w:ind w:right="360"/>
        <w:rPr>
          <w:rFonts w:ascii="Calibri" w:hAnsi="Calibri" w:cs="Calibri"/>
          <w:b/>
          <w:color w:val="404040"/>
          <w:szCs w:val="20"/>
        </w:rPr>
      </w:pPr>
      <w:r w:rsidRPr="00C91F30">
        <w:rPr>
          <w:rFonts w:ascii="Calibri" w:hAnsi="Calibri" w:cs="Calibri"/>
          <w:b/>
          <w:color w:val="404040"/>
          <w:szCs w:val="20"/>
        </w:rPr>
        <w:t>IDENTIFY PERSONS SERVED UTILIZING EMERGENCY SOLUTIONS GRANT FUNDING</w:t>
      </w:r>
    </w:p>
    <w:p w14:paraId="3924BC9C" w14:textId="77777777" w:rsidR="00C91F30" w:rsidRPr="00C91F30" w:rsidRDefault="00C91F30" w:rsidP="00C91F30">
      <w:pPr>
        <w:spacing w:line="276" w:lineRule="auto"/>
        <w:ind w:right="360"/>
        <w:rPr>
          <w:rFonts w:ascii="Calibri" w:hAnsi="Calibri" w:cs="Calibri"/>
          <w:b/>
          <w:color w:val="404040"/>
          <w:szCs w:val="20"/>
        </w:rPr>
      </w:pPr>
      <w:r w:rsidRPr="00C91F30">
        <w:rPr>
          <w:rFonts w:ascii="Calibri" w:hAnsi="Calibri" w:cs="Calibri"/>
          <w:b/>
          <w:color w:val="404040"/>
          <w:szCs w:val="20"/>
        </w:rPr>
        <w:tab/>
        <w:t xml:space="preserve">           PERSONS SERVED  </w:t>
      </w:r>
    </w:p>
    <w:tbl>
      <w:tblPr>
        <w:tblStyle w:val="TableGrid1"/>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78"/>
        <w:gridCol w:w="2137"/>
        <w:gridCol w:w="2250"/>
      </w:tblGrid>
      <w:tr w:rsidR="00C91F30" w:rsidRPr="00C91F30" w14:paraId="489B28D7" w14:textId="77777777" w:rsidTr="00C91F30">
        <w:trPr>
          <w:jc w:val="center"/>
        </w:trPr>
        <w:tc>
          <w:tcPr>
            <w:tcW w:w="2178" w:type="dxa"/>
            <w:shd w:val="clear" w:color="auto" w:fill="D5DCE4"/>
            <w:vAlign w:val="center"/>
          </w:tcPr>
          <w:p w14:paraId="51648E27" w14:textId="77777777" w:rsidR="00C91F30" w:rsidRPr="00C91F30" w:rsidRDefault="00C91F30" w:rsidP="00C91F30">
            <w:pPr>
              <w:jc w:val="center"/>
              <w:rPr>
                <w:rFonts w:ascii="Calibri" w:eastAsia="Times New Roman" w:hAnsi="Calibri"/>
                <w:b/>
                <w:bCs/>
                <w:color w:val="404040"/>
                <w:szCs w:val="20"/>
              </w:rPr>
            </w:pPr>
            <w:r w:rsidRPr="00C91F30">
              <w:rPr>
                <w:rFonts w:ascii="Calibri" w:eastAsia="Times New Roman" w:hAnsi="Calibri"/>
                <w:b/>
                <w:bCs/>
                <w:color w:val="404040"/>
                <w:szCs w:val="20"/>
              </w:rPr>
              <w:t>Type of Person Served</w:t>
            </w:r>
          </w:p>
        </w:tc>
        <w:tc>
          <w:tcPr>
            <w:tcW w:w="2137" w:type="dxa"/>
            <w:shd w:val="clear" w:color="auto" w:fill="D5DCE4"/>
            <w:vAlign w:val="center"/>
          </w:tcPr>
          <w:p w14:paraId="19AE5413" w14:textId="77777777" w:rsidR="00C91F30" w:rsidRPr="00C91F30" w:rsidRDefault="00C91F30" w:rsidP="00C91F30">
            <w:pPr>
              <w:jc w:val="center"/>
              <w:rPr>
                <w:rFonts w:ascii="Calibri" w:eastAsia="Times New Roman" w:hAnsi="Calibri"/>
                <w:b/>
                <w:bCs/>
                <w:color w:val="404040"/>
                <w:szCs w:val="20"/>
              </w:rPr>
            </w:pPr>
          </w:p>
        </w:tc>
        <w:tc>
          <w:tcPr>
            <w:tcW w:w="2250" w:type="dxa"/>
            <w:shd w:val="clear" w:color="auto" w:fill="D5DCE4"/>
            <w:vAlign w:val="center"/>
          </w:tcPr>
          <w:p w14:paraId="4FDC1194" w14:textId="77777777" w:rsidR="00C91F30" w:rsidRPr="00C91F30" w:rsidRDefault="00C91F30" w:rsidP="00C91F30">
            <w:pPr>
              <w:jc w:val="center"/>
              <w:rPr>
                <w:rFonts w:ascii="Calibri" w:eastAsia="Times New Roman" w:hAnsi="Calibri"/>
                <w:b/>
                <w:bCs/>
                <w:color w:val="404040"/>
                <w:szCs w:val="20"/>
              </w:rPr>
            </w:pPr>
            <w:r w:rsidRPr="00C91F30">
              <w:rPr>
                <w:rFonts w:ascii="Calibri" w:eastAsia="Times New Roman" w:hAnsi="Calibri"/>
                <w:b/>
                <w:bCs/>
                <w:color w:val="404040"/>
                <w:szCs w:val="20"/>
              </w:rPr>
              <w:t>Output Number of Persons</w:t>
            </w:r>
          </w:p>
        </w:tc>
      </w:tr>
      <w:tr w:rsidR="00C91F30" w:rsidRPr="00C91F30" w14:paraId="3170894F" w14:textId="77777777" w:rsidTr="00816745">
        <w:trPr>
          <w:jc w:val="center"/>
        </w:trPr>
        <w:tc>
          <w:tcPr>
            <w:tcW w:w="2178" w:type="dxa"/>
            <w:vAlign w:val="bottom"/>
          </w:tcPr>
          <w:p w14:paraId="037AA44A" w14:textId="77777777" w:rsidR="00C91F30" w:rsidRPr="00C91F30" w:rsidRDefault="00C91F30" w:rsidP="00C91F30">
            <w:pPr>
              <w:rPr>
                <w:rFonts w:ascii="Calibri" w:eastAsia="Times New Roman" w:hAnsi="Calibri"/>
                <w:color w:val="404040"/>
                <w:szCs w:val="20"/>
              </w:rPr>
            </w:pPr>
            <w:r w:rsidRPr="00C91F30">
              <w:rPr>
                <w:rFonts w:ascii="Calibri" w:eastAsia="Times New Roman" w:hAnsi="Calibri"/>
                <w:color w:val="404040"/>
                <w:szCs w:val="20"/>
              </w:rPr>
              <w:t>Adults</w:t>
            </w:r>
          </w:p>
        </w:tc>
        <w:tc>
          <w:tcPr>
            <w:tcW w:w="2137" w:type="dxa"/>
            <w:vAlign w:val="bottom"/>
          </w:tcPr>
          <w:p w14:paraId="12FD58BE" w14:textId="77777777" w:rsidR="00C91F30" w:rsidRPr="00C91F30" w:rsidRDefault="00C91F30" w:rsidP="00C91F30">
            <w:pPr>
              <w:rPr>
                <w:rFonts w:ascii="Calibri" w:eastAsia="Times New Roman" w:hAnsi="Calibri"/>
                <w:color w:val="404040"/>
                <w:szCs w:val="20"/>
              </w:rPr>
            </w:pPr>
          </w:p>
        </w:tc>
        <w:tc>
          <w:tcPr>
            <w:tcW w:w="2250" w:type="dxa"/>
            <w:vAlign w:val="bottom"/>
          </w:tcPr>
          <w:p w14:paraId="1C422ACC"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11,553</w:t>
            </w:r>
          </w:p>
        </w:tc>
      </w:tr>
      <w:tr w:rsidR="00C91F30" w:rsidRPr="00C91F30" w14:paraId="29F3B3A6" w14:textId="77777777" w:rsidTr="00816745">
        <w:trPr>
          <w:jc w:val="center"/>
        </w:trPr>
        <w:tc>
          <w:tcPr>
            <w:tcW w:w="2178" w:type="dxa"/>
            <w:vAlign w:val="bottom"/>
          </w:tcPr>
          <w:p w14:paraId="45507431" w14:textId="77777777" w:rsidR="00C91F30" w:rsidRPr="00C91F30" w:rsidRDefault="00C91F30" w:rsidP="00C91F30">
            <w:pPr>
              <w:rPr>
                <w:rFonts w:ascii="Calibri" w:eastAsia="Times New Roman" w:hAnsi="Calibri"/>
                <w:color w:val="404040"/>
                <w:szCs w:val="20"/>
              </w:rPr>
            </w:pPr>
            <w:r w:rsidRPr="00C91F30">
              <w:rPr>
                <w:rFonts w:ascii="Calibri" w:eastAsia="Times New Roman" w:hAnsi="Calibri"/>
                <w:color w:val="404040"/>
                <w:szCs w:val="20"/>
              </w:rPr>
              <w:t>Children</w:t>
            </w:r>
          </w:p>
        </w:tc>
        <w:tc>
          <w:tcPr>
            <w:tcW w:w="2137" w:type="dxa"/>
            <w:vAlign w:val="bottom"/>
          </w:tcPr>
          <w:p w14:paraId="3A864322" w14:textId="77777777" w:rsidR="00C91F30" w:rsidRPr="00C91F30" w:rsidRDefault="00C91F30" w:rsidP="00C91F30">
            <w:pPr>
              <w:rPr>
                <w:rFonts w:ascii="Calibri" w:eastAsia="Times New Roman" w:hAnsi="Calibri"/>
                <w:color w:val="404040"/>
                <w:szCs w:val="20"/>
              </w:rPr>
            </w:pPr>
          </w:p>
        </w:tc>
        <w:tc>
          <w:tcPr>
            <w:tcW w:w="2250" w:type="dxa"/>
            <w:vAlign w:val="bottom"/>
          </w:tcPr>
          <w:p w14:paraId="4BCA4631"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1,593</w:t>
            </w:r>
          </w:p>
        </w:tc>
      </w:tr>
      <w:tr w:rsidR="00C91F30" w:rsidRPr="00C91F30" w14:paraId="4545D7B9" w14:textId="77777777" w:rsidTr="00816745">
        <w:trPr>
          <w:jc w:val="center"/>
        </w:trPr>
        <w:tc>
          <w:tcPr>
            <w:tcW w:w="2178" w:type="dxa"/>
            <w:vAlign w:val="bottom"/>
          </w:tcPr>
          <w:p w14:paraId="053FA5B9" w14:textId="77777777" w:rsidR="00C91F30" w:rsidRPr="00C91F30" w:rsidRDefault="00C91F30" w:rsidP="00C91F30">
            <w:pPr>
              <w:rPr>
                <w:rFonts w:ascii="Calibri" w:eastAsia="Times New Roman" w:hAnsi="Calibri"/>
                <w:color w:val="404040"/>
                <w:szCs w:val="20"/>
              </w:rPr>
            </w:pPr>
            <w:r w:rsidRPr="00C91F30">
              <w:rPr>
                <w:rFonts w:ascii="Calibri" w:eastAsia="Times New Roman" w:hAnsi="Calibri"/>
                <w:color w:val="404040"/>
                <w:szCs w:val="20"/>
              </w:rPr>
              <w:t>Don't Know/ Refused/ Other</w:t>
            </w:r>
          </w:p>
        </w:tc>
        <w:tc>
          <w:tcPr>
            <w:tcW w:w="2137" w:type="dxa"/>
            <w:vAlign w:val="bottom"/>
          </w:tcPr>
          <w:p w14:paraId="75C56972" w14:textId="77777777" w:rsidR="00C91F30" w:rsidRPr="00C91F30" w:rsidRDefault="00C91F30" w:rsidP="00C91F30">
            <w:pPr>
              <w:rPr>
                <w:rFonts w:ascii="Calibri" w:eastAsia="Times New Roman" w:hAnsi="Calibri"/>
                <w:color w:val="404040"/>
                <w:szCs w:val="20"/>
              </w:rPr>
            </w:pPr>
          </w:p>
        </w:tc>
        <w:tc>
          <w:tcPr>
            <w:tcW w:w="2250" w:type="dxa"/>
            <w:vAlign w:val="bottom"/>
          </w:tcPr>
          <w:p w14:paraId="316B1FF1" w14:textId="77777777" w:rsidR="00C91F30" w:rsidRPr="00C91F30" w:rsidRDefault="00C91F30" w:rsidP="00C91F30">
            <w:pPr>
              <w:jc w:val="center"/>
              <w:rPr>
                <w:rFonts w:ascii="Calibri" w:eastAsia="Times New Roman" w:hAnsi="Calibri"/>
                <w:color w:val="404040"/>
                <w:szCs w:val="20"/>
              </w:rPr>
            </w:pPr>
          </w:p>
          <w:p w14:paraId="75B53F2F"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7</w:t>
            </w:r>
          </w:p>
        </w:tc>
      </w:tr>
      <w:tr w:rsidR="00C91F30" w:rsidRPr="00C91F30" w14:paraId="2125CE01" w14:textId="77777777" w:rsidTr="00816745">
        <w:trPr>
          <w:jc w:val="center"/>
        </w:trPr>
        <w:tc>
          <w:tcPr>
            <w:tcW w:w="2178" w:type="dxa"/>
            <w:vAlign w:val="bottom"/>
          </w:tcPr>
          <w:p w14:paraId="2371B28B" w14:textId="77777777" w:rsidR="00C91F30" w:rsidRPr="00C91F30" w:rsidRDefault="00C91F30" w:rsidP="00C91F30">
            <w:pPr>
              <w:rPr>
                <w:rFonts w:ascii="Calibri" w:eastAsia="Times New Roman" w:hAnsi="Calibri"/>
                <w:color w:val="404040"/>
                <w:szCs w:val="20"/>
              </w:rPr>
            </w:pPr>
            <w:r w:rsidRPr="00C91F30">
              <w:rPr>
                <w:rFonts w:ascii="Calibri" w:eastAsia="Times New Roman" w:hAnsi="Calibri"/>
                <w:color w:val="404040"/>
                <w:szCs w:val="20"/>
              </w:rPr>
              <w:t>Missing Information</w:t>
            </w:r>
          </w:p>
        </w:tc>
        <w:tc>
          <w:tcPr>
            <w:tcW w:w="2137" w:type="dxa"/>
            <w:vAlign w:val="bottom"/>
          </w:tcPr>
          <w:p w14:paraId="5BDB4C45" w14:textId="77777777" w:rsidR="00C91F30" w:rsidRPr="00C91F30" w:rsidRDefault="00C91F30" w:rsidP="00C91F30">
            <w:pPr>
              <w:rPr>
                <w:rFonts w:ascii="Calibri" w:eastAsia="Times New Roman" w:hAnsi="Calibri"/>
                <w:color w:val="404040"/>
                <w:szCs w:val="20"/>
              </w:rPr>
            </w:pPr>
          </w:p>
        </w:tc>
        <w:tc>
          <w:tcPr>
            <w:tcW w:w="2250" w:type="dxa"/>
            <w:vAlign w:val="bottom"/>
          </w:tcPr>
          <w:p w14:paraId="0709E1BD"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0</w:t>
            </w:r>
          </w:p>
        </w:tc>
      </w:tr>
      <w:tr w:rsidR="00C91F30" w:rsidRPr="00C91F30" w14:paraId="546FD0AF" w14:textId="77777777" w:rsidTr="00816745">
        <w:trPr>
          <w:jc w:val="center"/>
        </w:trPr>
        <w:tc>
          <w:tcPr>
            <w:tcW w:w="4315" w:type="dxa"/>
            <w:gridSpan w:val="2"/>
            <w:vAlign w:val="bottom"/>
          </w:tcPr>
          <w:p w14:paraId="425CB4A2" w14:textId="77777777" w:rsidR="00C91F30" w:rsidRPr="00C91F30" w:rsidRDefault="00C91F30" w:rsidP="00C91F30">
            <w:pPr>
              <w:jc w:val="right"/>
              <w:rPr>
                <w:rFonts w:ascii="Calibri" w:eastAsia="Times New Roman" w:hAnsi="Calibri"/>
                <w:b/>
                <w:color w:val="404040"/>
                <w:szCs w:val="20"/>
              </w:rPr>
            </w:pPr>
            <w:r w:rsidRPr="00C91F30">
              <w:rPr>
                <w:rFonts w:ascii="Calibri" w:eastAsia="Times New Roman" w:hAnsi="Calibri"/>
                <w:b/>
                <w:color w:val="404040"/>
                <w:szCs w:val="20"/>
              </w:rPr>
              <w:t>Total</w:t>
            </w:r>
          </w:p>
        </w:tc>
        <w:tc>
          <w:tcPr>
            <w:tcW w:w="2250" w:type="dxa"/>
            <w:vAlign w:val="bottom"/>
          </w:tcPr>
          <w:p w14:paraId="798A947F" w14:textId="77777777" w:rsidR="00C91F30" w:rsidRPr="00C91F30" w:rsidRDefault="00C91F30" w:rsidP="00C91F30">
            <w:pPr>
              <w:jc w:val="center"/>
              <w:rPr>
                <w:rFonts w:ascii="Calibri" w:eastAsia="Times New Roman" w:hAnsi="Calibri"/>
                <w:b/>
                <w:color w:val="404040"/>
                <w:szCs w:val="20"/>
              </w:rPr>
            </w:pPr>
            <w:r w:rsidRPr="00C91F30">
              <w:rPr>
                <w:rFonts w:ascii="Calibri" w:eastAsia="Times New Roman" w:hAnsi="Calibri"/>
                <w:b/>
                <w:color w:val="404040"/>
                <w:szCs w:val="20"/>
              </w:rPr>
              <w:t>13,153</w:t>
            </w:r>
          </w:p>
        </w:tc>
      </w:tr>
    </w:tbl>
    <w:p w14:paraId="60A5AFDA" w14:textId="77777777" w:rsidR="00C91F30" w:rsidRPr="00C91F30" w:rsidRDefault="00C91F30" w:rsidP="00C91F30">
      <w:pPr>
        <w:spacing w:line="276" w:lineRule="auto"/>
        <w:ind w:right="360"/>
        <w:rPr>
          <w:rFonts w:ascii="Calibri" w:hAnsi="Calibri" w:cs="Calibri"/>
          <w:b/>
          <w:color w:val="404040"/>
          <w:szCs w:val="20"/>
        </w:rPr>
      </w:pPr>
    </w:p>
    <w:p w14:paraId="4F5815B6" w14:textId="77777777" w:rsidR="00C91F30" w:rsidRPr="00C91F30" w:rsidRDefault="00C91F30" w:rsidP="00C91F30">
      <w:pPr>
        <w:spacing w:line="276" w:lineRule="auto"/>
        <w:ind w:right="360"/>
        <w:rPr>
          <w:rFonts w:ascii="Calibri" w:hAnsi="Calibri" w:cs="Calibri"/>
          <w:b/>
          <w:color w:val="404040"/>
          <w:szCs w:val="20"/>
        </w:rPr>
      </w:pPr>
      <w:r w:rsidRPr="00C91F30">
        <w:rPr>
          <w:rFonts w:ascii="Calibri" w:hAnsi="Calibri" w:cs="Calibri"/>
          <w:b/>
          <w:color w:val="404040"/>
          <w:szCs w:val="20"/>
        </w:rPr>
        <w:tab/>
      </w:r>
      <w:r w:rsidRPr="00C91F30">
        <w:rPr>
          <w:rFonts w:ascii="Calibri" w:hAnsi="Calibri" w:cs="Calibri"/>
          <w:b/>
          <w:color w:val="404040"/>
          <w:szCs w:val="20"/>
        </w:rPr>
        <w:tab/>
      </w:r>
      <w:r w:rsidRPr="00C91F30">
        <w:rPr>
          <w:rFonts w:ascii="Calibri" w:hAnsi="Calibri" w:cs="Calibri"/>
          <w:b/>
          <w:color w:val="404040"/>
          <w:szCs w:val="20"/>
        </w:rPr>
        <w:tab/>
        <w:t xml:space="preserve">      PERSONS SERVED BY GENDER FOR ALL ACTIVITIES</w:t>
      </w:r>
      <w:r w:rsidRPr="00C91F30">
        <w:rPr>
          <w:rFonts w:ascii="Calibri" w:hAnsi="Calibri" w:cs="Calibri"/>
          <w:b/>
          <w:color w:val="404040"/>
          <w:szCs w:val="20"/>
        </w:rPr>
        <w:tab/>
      </w:r>
    </w:p>
    <w:tbl>
      <w:tblPr>
        <w:tblStyle w:val="TableGrid1"/>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96"/>
        <w:gridCol w:w="2079"/>
      </w:tblGrid>
      <w:tr w:rsidR="00C91F30" w:rsidRPr="00C91F30" w14:paraId="0ADA057F" w14:textId="77777777" w:rsidTr="00C91F30">
        <w:trPr>
          <w:jc w:val="center"/>
        </w:trPr>
        <w:tc>
          <w:tcPr>
            <w:tcW w:w="2696" w:type="dxa"/>
            <w:shd w:val="clear" w:color="auto" w:fill="D5DCE4"/>
            <w:vAlign w:val="center"/>
          </w:tcPr>
          <w:p w14:paraId="0145C6F4" w14:textId="77777777" w:rsidR="00C91F30" w:rsidRPr="00C91F30" w:rsidRDefault="00C91F30" w:rsidP="00C91F30">
            <w:pPr>
              <w:tabs>
                <w:tab w:val="left" w:pos="2952"/>
              </w:tabs>
              <w:spacing w:line="276" w:lineRule="auto"/>
              <w:ind w:right="-99"/>
              <w:jc w:val="center"/>
              <w:rPr>
                <w:rFonts w:ascii="Calibri" w:hAnsi="Calibri" w:cs="Calibri"/>
                <w:b/>
                <w:color w:val="404040"/>
                <w:szCs w:val="20"/>
              </w:rPr>
            </w:pPr>
            <w:r w:rsidRPr="00C91F30">
              <w:rPr>
                <w:rFonts w:ascii="Calibri" w:hAnsi="Calibri" w:cs="Calibri"/>
                <w:b/>
                <w:color w:val="404040"/>
                <w:szCs w:val="20"/>
              </w:rPr>
              <w:t>Gender</w:t>
            </w:r>
          </w:p>
        </w:tc>
        <w:tc>
          <w:tcPr>
            <w:tcW w:w="2079" w:type="dxa"/>
            <w:shd w:val="clear" w:color="auto" w:fill="D5DCE4"/>
            <w:vAlign w:val="center"/>
          </w:tcPr>
          <w:p w14:paraId="6CEE3E54" w14:textId="77777777" w:rsidR="00C91F30" w:rsidRPr="00C91F30" w:rsidRDefault="00C91F30" w:rsidP="00C91F30">
            <w:pPr>
              <w:jc w:val="center"/>
              <w:rPr>
                <w:rFonts w:ascii="Calibri" w:eastAsia="Times New Roman" w:hAnsi="Calibri"/>
                <w:b/>
                <w:bCs/>
                <w:color w:val="404040"/>
                <w:szCs w:val="20"/>
              </w:rPr>
            </w:pPr>
            <w:r w:rsidRPr="00C91F30">
              <w:rPr>
                <w:rFonts w:ascii="Calibri" w:eastAsia="Times New Roman" w:hAnsi="Calibri"/>
                <w:b/>
                <w:bCs/>
                <w:color w:val="404040"/>
                <w:szCs w:val="20"/>
              </w:rPr>
              <w:t>Output Number of Persons</w:t>
            </w:r>
          </w:p>
        </w:tc>
      </w:tr>
      <w:tr w:rsidR="00C91F30" w:rsidRPr="00C91F30" w14:paraId="04C08965" w14:textId="77777777" w:rsidTr="00816745">
        <w:trPr>
          <w:jc w:val="center"/>
        </w:trPr>
        <w:tc>
          <w:tcPr>
            <w:tcW w:w="2696" w:type="dxa"/>
          </w:tcPr>
          <w:p w14:paraId="69118438" w14:textId="77777777" w:rsidR="00C91F30" w:rsidRPr="00C91F30" w:rsidRDefault="00C91F30" w:rsidP="00C91F30">
            <w:pPr>
              <w:tabs>
                <w:tab w:val="left" w:pos="2952"/>
              </w:tabs>
              <w:spacing w:line="276" w:lineRule="auto"/>
              <w:ind w:right="-99"/>
              <w:rPr>
                <w:rFonts w:ascii="Calibri" w:hAnsi="Calibri" w:cs="Calibri"/>
                <w:color w:val="404040"/>
                <w:szCs w:val="20"/>
              </w:rPr>
            </w:pPr>
            <w:r w:rsidRPr="00C91F30">
              <w:rPr>
                <w:rFonts w:ascii="Calibri" w:hAnsi="Calibri" w:cs="Calibri"/>
                <w:color w:val="404040"/>
                <w:szCs w:val="20"/>
              </w:rPr>
              <w:t>Male</w:t>
            </w:r>
          </w:p>
        </w:tc>
        <w:tc>
          <w:tcPr>
            <w:tcW w:w="2079" w:type="dxa"/>
          </w:tcPr>
          <w:p w14:paraId="600A4331" w14:textId="77777777" w:rsidR="00C91F30" w:rsidRPr="00C91F30" w:rsidRDefault="00C91F30" w:rsidP="00C91F30">
            <w:pPr>
              <w:tabs>
                <w:tab w:val="left" w:pos="2394"/>
              </w:tabs>
              <w:spacing w:line="276" w:lineRule="auto"/>
              <w:ind w:right="-99"/>
              <w:jc w:val="center"/>
              <w:rPr>
                <w:rFonts w:ascii="Calibri" w:hAnsi="Calibri" w:cs="Calibri"/>
                <w:color w:val="404040"/>
                <w:szCs w:val="20"/>
              </w:rPr>
            </w:pPr>
            <w:r w:rsidRPr="00C91F30">
              <w:rPr>
                <w:rFonts w:ascii="Calibri" w:hAnsi="Calibri" w:cs="Calibri"/>
                <w:color w:val="404040"/>
                <w:szCs w:val="20"/>
              </w:rPr>
              <w:t>8,785</w:t>
            </w:r>
          </w:p>
        </w:tc>
      </w:tr>
      <w:tr w:rsidR="00C91F30" w:rsidRPr="00C91F30" w14:paraId="48D728D5" w14:textId="77777777" w:rsidTr="00816745">
        <w:trPr>
          <w:jc w:val="center"/>
        </w:trPr>
        <w:tc>
          <w:tcPr>
            <w:tcW w:w="2696" w:type="dxa"/>
          </w:tcPr>
          <w:p w14:paraId="69638BF4" w14:textId="77777777" w:rsidR="00C91F30" w:rsidRPr="00C91F30" w:rsidRDefault="00C91F30" w:rsidP="00C91F30">
            <w:pPr>
              <w:tabs>
                <w:tab w:val="left" w:pos="2952"/>
              </w:tabs>
              <w:spacing w:line="276" w:lineRule="auto"/>
              <w:ind w:right="-99"/>
              <w:rPr>
                <w:rFonts w:ascii="Calibri" w:hAnsi="Calibri" w:cs="Calibri"/>
                <w:color w:val="404040"/>
                <w:szCs w:val="20"/>
              </w:rPr>
            </w:pPr>
            <w:r w:rsidRPr="00C91F30">
              <w:rPr>
                <w:rFonts w:ascii="Calibri" w:hAnsi="Calibri" w:cs="Calibri"/>
                <w:color w:val="404040"/>
                <w:szCs w:val="20"/>
              </w:rPr>
              <w:t>Female</w:t>
            </w:r>
          </w:p>
        </w:tc>
        <w:tc>
          <w:tcPr>
            <w:tcW w:w="2079" w:type="dxa"/>
          </w:tcPr>
          <w:p w14:paraId="2AFD0C8C" w14:textId="77777777" w:rsidR="00C91F30" w:rsidRPr="00C91F30" w:rsidRDefault="00C91F30" w:rsidP="00C91F30">
            <w:pPr>
              <w:tabs>
                <w:tab w:val="left" w:pos="2394"/>
              </w:tabs>
              <w:spacing w:line="276" w:lineRule="auto"/>
              <w:ind w:right="-99"/>
              <w:jc w:val="center"/>
              <w:rPr>
                <w:rFonts w:ascii="Calibri" w:hAnsi="Calibri" w:cs="Calibri"/>
                <w:color w:val="404040"/>
                <w:szCs w:val="20"/>
              </w:rPr>
            </w:pPr>
            <w:r w:rsidRPr="00C91F30">
              <w:rPr>
                <w:rFonts w:ascii="Calibri" w:hAnsi="Calibri" w:cs="Calibri"/>
                <w:color w:val="404040"/>
                <w:szCs w:val="20"/>
              </w:rPr>
              <w:t>4,284</w:t>
            </w:r>
          </w:p>
        </w:tc>
      </w:tr>
      <w:tr w:rsidR="00C91F30" w:rsidRPr="00C91F30" w14:paraId="0DA921CF" w14:textId="77777777" w:rsidTr="00816745">
        <w:trPr>
          <w:jc w:val="center"/>
        </w:trPr>
        <w:tc>
          <w:tcPr>
            <w:tcW w:w="2696" w:type="dxa"/>
          </w:tcPr>
          <w:p w14:paraId="01464248" w14:textId="77777777" w:rsidR="00C91F30" w:rsidRPr="00C91F30" w:rsidRDefault="00C91F30" w:rsidP="00C91F30">
            <w:pPr>
              <w:tabs>
                <w:tab w:val="left" w:pos="2952"/>
              </w:tabs>
              <w:spacing w:line="276" w:lineRule="auto"/>
              <w:ind w:right="-99"/>
              <w:rPr>
                <w:rFonts w:ascii="Calibri" w:hAnsi="Calibri" w:cs="Calibri"/>
                <w:color w:val="404040"/>
                <w:szCs w:val="20"/>
              </w:rPr>
            </w:pPr>
            <w:r w:rsidRPr="00C91F30">
              <w:rPr>
                <w:rFonts w:ascii="Calibri" w:hAnsi="Calibri" w:cs="Calibri"/>
                <w:color w:val="404040"/>
                <w:szCs w:val="20"/>
              </w:rPr>
              <w:t>Transgender</w:t>
            </w:r>
          </w:p>
        </w:tc>
        <w:tc>
          <w:tcPr>
            <w:tcW w:w="2079" w:type="dxa"/>
          </w:tcPr>
          <w:p w14:paraId="7F6981E5" w14:textId="77777777" w:rsidR="00C91F30" w:rsidRPr="00C91F30" w:rsidRDefault="00C91F30" w:rsidP="00C91F30">
            <w:pPr>
              <w:tabs>
                <w:tab w:val="left" w:pos="2394"/>
              </w:tabs>
              <w:spacing w:line="276" w:lineRule="auto"/>
              <w:ind w:right="-99"/>
              <w:jc w:val="center"/>
              <w:rPr>
                <w:rFonts w:ascii="Calibri" w:hAnsi="Calibri" w:cs="Calibri"/>
                <w:color w:val="404040"/>
                <w:szCs w:val="20"/>
              </w:rPr>
            </w:pPr>
            <w:r w:rsidRPr="00C91F30">
              <w:rPr>
                <w:rFonts w:ascii="Calibri" w:hAnsi="Calibri" w:cs="Calibri"/>
                <w:color w:val="404040"/>
                <w:szCs w:val="20"/>
              </w:rPr>
              <w:t>73</w:t>
            </w:r>
          </w:p>
        </w:tc>
      </w:tr>
      <w:tr w:rsidR="00C91F30" w:rsidRPr="00C91F30" w14:paraId="5A86868F" w14:textId="77777777" w:rsidTr="00816745">
        <w:trPr>
          <w:jc w:val="center"/>
        </w:trPr>
        <w:tc>
          <w:tcPr>
            <w:tcW w:w="2696" w:type="dxa"/>
          </w:tcPr>
          <w:p w14:paraId="2C82CBB5" w14:textId="77777777" w:rsidR="00C91F30" w:rsidRPr="00C91F30" w:rsidRDefault="00C91F30" w:rsidP="00C91F30">
            <w:pPr>
              <w:tabs>
                <w:tab w:val="left" w:pos="2952"/>
              </w:tabs>
              <w:spacing w:line="276" w:lineRule="auto"/>
              <w:ind w:right="-99"/>
              <w:rPr>
                <w:rFonts w:ascii="Calibri" w:hAnsi="Calibri" w:cs="Calibri"/>
                <w:color w:val="404040"/>
                <w:szCs w:val="20"/>
              </w:rPr>
            </w:pPr>
            <w:r w:rsidRPr="00C91F30">
              <w:rPr>
                <w:rFonts w:ascii="Calibri" w:hAnsi="Calibri" w:cs="Calibri"/>
                <w:color w:val="404040"/>
                <w:szCs w:val="20"/>
              </w:rPr>
              <w:t>Don’t Know/ Refused/ Other</w:t>
            </w:r>
          </w:p>
        </w:tc>
        <w:tc>
          <w:tcPr>
            <w:tcW w:w="2079" w:type="dxa"/>
          </w:tcPr>
          <w:p w14:paraId="30CD9980" w14:textId="77777777" w:rsidR="00C91F30" w:rsidRPr="00C91F30" w:rsidRDefault="00C91F30" w:rsidP="00C91F30">
            <w:pPr>
              <w:tabs>
                <w:tab w:val="left" w:pos="2394"/>
              </w:tabs>
              <w:spacing w:line="276" w:lineRule="auto"/>
              <w:ind w:right="-99"/>
              <w:jc w:val="center"/>
              <w:rPr>
                <w:rFonts w:ascii="Calibri" w:hAnsi="Calibri" w:cs="Calibri"/>
                <w:color w:val="404040"/>
                <w:szCs w:val="20"/>
              </w:rPr>
            </w:pPr>
            <w:r w:rsidRPr="00C91F30">
              <w:rPr>
                <w:rFonts w:ascii="Calibri" w:hAnsi="Calibri" w:cs="Calibri"/>
                <w:color w:val="404040"/>
                <w:szCs w:val="20"/>
              </w:rPr>
              <w:t>10</w:t>
            </w:r>
          </w:p>
        </w:tc>
      </w:tr>
      <w:tr w:rsidR="00C91F30" w:rsidRPr="00C91F30" w14:paraId="1DD008BC" w14:textId="77777777" w:rsidTr="00816745">
        <w:trPr>
          <w:jc w:val="center"/>
        </w:trPr>
        <w:tc>
          <w:tcPr>
            <w:tcW w:w="2696" w:type="dxa"/>
          </w:tcPr>
          <w:p w14:paraId="75E50B97" w14:textId="77777777" w:rsidR="00C91F30" w:rsidRPr="00C91F30" w:rsidRDefault="00C91F30" w:rsidP="00C91F30">
            <w:pPr>
              <w:tabs>
                <w:tab w:val="left" w:pos="2952"/>
              </w:tabs>
              <w:spacing w:line="276" w:lineRule="auto"/>
              <w:ind w:right="-99"/>
              <w:rPr>
                <w:rFonts w:ascii="Calibri" w:hAnsi="Calibri" w:cs="Calibri"/>
                <w:color w:val="404040"/>
                <w:szCs w:val="20"/>
              </w:rPr>
            </w:pPr>
            <w:r w:rsidRPr="00C91F30">
              <w:rPr>
                <w:rFonts w:ascii="Calibri" w:hAnsi="Calibri" w:cs="Calibri"/>
                <w:color w:val="404040"/>
                <w:szCs w:val="20"/>
              </w:rPr>
              <w:t>Missing Information</w:t>
            </w:r>
          </w:p>
        </w:tc>
        <w:tc>
          <w:tcPr>
            <w:tcW w:w="2079" w:type="dxa"/>
          </w:tcPr>
          <w:p w14:paraId="6EFA926B" w14:textId="77777777" w:rsidR="00C91F30" w:rsidRPr="00C91F30" w:rsidRDefault="00C91F30" w:rsidP="00C91F30">
            <w:pPr>
              <w:tabs>
                <w:tab w:val="left" w:pos="2394"/>
              </w:tabs>
              <w:spacing w:line="276" w:lineRule="auto"/>
              <w:ind w:right="-99"/>
              <w:jc w:val="center"/>
              <w:rPr>
                <w:rFonts w:ascii="Calibri" w:hAnsi="Calibri" w:cs="Calibri"/>
                <w:color w:val="404040"/>
                <w:szCs w:val="20"/>
              </w:rPr>
            </w:pPr>
            <w:r w:rsidRPr="00C91F30">
              <w:rPr>
                <w:rFonts w:ascii="Calibri" w:hAnsi="Calibri" w:cs="Calibri"/>
                <w:color w:val="404040"/>
                <w:szCs w:val="20"/>
              </w:rPr>
              <w:t>1</w:t>
            </w:r>
          </w:p>
        </w:tc>
      </w:tr>
      <w:tr w:rsidR="00C91F30" w:rsidRPr="00C91F30" w14:paraId="3DF0A0E1" w14:textId="77777777" w:rsidTr="00816745">
        <w:trPr>
          <w:jc w:val="center"/>
        </w:trPr>
        <w:tc>
          <w:tcPr>
            <w:tcW w:w="2696" w:type="dxa"/>
          </w:tcPr>
          <w:p w14:paraId="50EBE37F" w14:textId="77777777" w:rsidR="00C91F30" w:rsidRPr="00C91F30" w:rsidRDefault="00C91F30" w:rsidP="00C91F30">
            <w:pPr>
              <w:tabs>
                <w:tab w:val="left" w:pos="2952"/>
              </w:tabs>
              <w:spacing w:line="276" w:lineRule="auto"/>
              <w:jc w:val="right"/>
              <w:rPr>
                <w:rFonts w:ascii="Calibri" w:hAnsi="Calibri" w:cs="Calibri"/>
                <w:b/>
                <w:color w:val="404040"/>
                <w:szCs w:val="20"/>
              </w:rPr>
            </w:pPr>
            <w:r w:rsidRPr="00C91F30">
              <w:rPr>
                <w:rFonts w:ascii="Calibri" w:hAnsi="Calibri" w:cs="Calibri"/>
                <w:b/>
                <w:color w:val="404040"/>
                <w:szCs w:val="20"/>
              </w:rPr>
              <w:t>Total</w:t>
            </w:r>
          </w:p>
        </w:tc>
        <w:tc>
          <w:tcPr>
            <w:tcW w:w="2079" w:type="dxa"/>
          </w:tcPr>
          <w:p w14:paraId="048358C1" w14:textId="77777777" w:rsidR="00C91F30" w:rsidRPr="00C91F30" w:rsidRDefault="00C91F30" w:rsidP="00C91F30">
            <w:pPr>
              <w:tabs>
                <w:tab w:val="left" w:pos="2394"/>
              </w:tabs>
              <w:spacing w:line="276" w:lineRule="auto"/>
              <w:ind w:right="-99"/>
              <w:jc w:val="center"/>
              <w:rPr>
                <w:rFonts w:ascii="Calibri" w:hAnsi="Calibri" w:cs="Calibri"/>
                <w:b/>
                <w:color w:val="404040"/>
                <w:szCs w:val="20"/>
              </w:rPr>
            </w:pPr>
            <w:r w:rsidRPr="00C91F30">
              <w:rPr>
                <w:rFonts w:ascii="Calibri" w:hAnsi="Calibri" w:cs="Calibri"/>
                <w:b/>
                <w:color w:val="404040"/>
                <w:szCs w:val="20"/>
              </w:rPr>
              <w:t>13,153</w:t>
            </w:r>
          </w:p>
        </w:tc>
      </w:tr>
    </w:tbl>
    <w:p w14:paraId="5358BD7D" w14:textId="77777777" w:rsidR="00C91F30" w:rsidRPr="00C91F30" w:rsidRDefault="00C91F30" w:rsidP="00C91F30">
      <w:pPr>
        <w:spacing w:line="276" w:lineRule="auto"/>
        <w:ind w:right="360"/>
        <w:rPr>
          <w:rFonts w:ascii="Calibri" w:hAnsi="Calibri" w:cs="Calibri"/>
          <w:b/>
          <w:color w:val="404040"/>
          <w:szCs w:val="20"/>
        </w:rPr>
      </w:pPr>
    </w:p>
    <w:p w14:paraId="0E6A57E1" w14:textId="77777777" w:rsidR="00C91F30" w:rsidRPr="00C91F30" w:rsidRDefault="00C91F30" w:rsidP="00C91F30">
      <w:pPr>
        <w:spacing w:line="276" w:lineRule="auto"/>
        <w:ind w:right="360"/>
        <w:rPr>
          <w:rFonts w:ascii="Calibri" w:hAnsi="Calibri" w:cs="Calibri"/>
          <w:b/>
          <w:color w:val="404040"/>
          <w:szCs w:val="20"/>
        </w:rPr>
      </w:pPr>
      <w:r w:rsidRPr="00C91F30">
        <w:rPr>
          <w:rFonts w:ascii="Calibri" w:hAnsi="Calibri" w:cs="Calibri"/>
          <w:b/>
          <w:color w:val="404040"/>
          <w:szCs w:val="20"/>
        </w:rPr>
        <w:tab/>
      </w:r>
      <w:r w:rsidRPr="00C91F30">
        <w:rPr>
          <w:rFonts w:ascii="Calibri" w:hAnsi="Calibri" w:cs="Calibri"/>
          <w:b/>
          <w:color w:val="404040"/>
          <w:szCs w:val="20"/>
        </w:rPr>
        <w:tab/>
      </w:r>
      <w:r w:rsidRPr="00C91F30">
        <w:rPr>
          <w:rFonts w:ascii="Calibri" w:hAnsi="Calibri" w:cs="Calibri"/>
          <w:b/>
          <w:color w:val="404040"/>
          <w:szCs w:val="20"/>
        </w:rPr>
        <w:tab/>
        <w:t xml:space="preserve">    PERSONS SERVED BY AGE FOR ALL ACTIVITIES</w:t>
      </w:r>
    </w:p>
    <w:tbl>
      <w:tblPr>
        <w:tblStyle w:val="TableGrid1"/>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0"/>
        <w:gridCol w:w="2250"/>
      </w:tblGrid>
      <w:tr w:rsidR="00C91F30" w:rsidRPr="00C91F30" w14:paraId="55959832" w14:textId="77777777" w:rsidTr="00C91F30">
        <w:trPr>
          <w:jc w:val="center"/>
        </w:trPr>
        <w:tc>
          <w:tcPr>
            <w:tcW w:w="2750" w:type="dxa"/>
            <w:shd w:val="clear" w:color="auto" w:fill="D5DCE4"/>
            <w:vAlign w:val="center"/>
          </w:tcPr>
          <w:p w14:paraId="20BA02B2" w14:textId="77777777" w:rsidR="00C91F30" w:rsidRPr="00C91F30" w:rsidRDefault="00C91F30" w:rsidP="00C91F30">
            <w:pPr>
              <w:spacing w:line="276" w:lineRule="auto"/>
              <w:ind w:right="-99"/>
              <w:jc w:val="center"/>
              <w:rPr>
                <w:rFonts w:ascii="Calibri" w:hAnsi="Calibri" w:cs="Calibri"/>
                <w:b/>
                <w:color w:val="404040"/>
                <w:szCs w:val="20"/>
              </w:rPr>
            </w:pPr>
            <w:r w:rsidRPr="00C91F30">
              <w:rPr>
                <w:rFonts w:ascii="Calibri" w:hAnsi="Calibri" w:cs="Calibri"/>
                <w:b/>
                <w:color w:val="404040"/>
                <w:szCs w:val="20"/>
              </w:rPr>
              <w:t>Age</w:t>
            </w:r>
          </w:p>
        </w:tc>
        <w:tc>
          <w:tcPr>
            <w:tcW w:w="2250" w:type="dxa"/>
            <w:shd w:val="clear" w:color="auto" w:fill="D5DCE4"/>
            <w:vAlign w:val="center"/>
          </w:tcPr>
          <w:p w14:paraId="1B0623BC" w14:textId="77777777" w:rsidR="00C91F30" w:rsidRPr="00C91F30" w:rsidRDefault="00C91F30" w:rsidP="00C91F30">
            <w:pPr>
              <w:jc w:val="center"/>
              <w:rPr>
                <w:rFonts w:ascii="Calibri" w:eastAsia="Times New Roman" w:hAnsi="Calibri"/>
                <w:b/>
                <w:bCs/>
                <w:color w:val="404040"/>
                <w:szCs w:val="20"/>
              </w:rPr>
            </w:pPr>
            <w:r w:rsidRPr="00C91F30">
              <w:rPr>
                <w:rFonts w:ascii="Calibri" w:eastAsia="Times New Roman" w:hAnsi="Calibri"/>
                <w:b/>
                <w:bCs/>
                <w:color w:val="404040"/>
                <w:szCs w:val="20"/>
              </w:rPr>
              <w:t>Output Number of Persons</w:t>
            </w:r>
          </w:p>
        </w:tc>
      </w:tr>
      <w:tr w:rsidR="00C91F30" w:rsidRPr="00C91F30" w14:paraId="2BBFD152" w14:textId="77777777" w:rsidTr="00816745">
        <w:trPr>
          <w:jc w:val="center"/>
        </w:trPr>
        <w:tc>
          <w:tcPr>
            <w:tcW w:w="2750" w:type="dxa"/>
          </w:tcPr>
          <w:p w14:paraId="66FC9924" w14:textId="77777777" w:rsidR="00C91F30" w:rsidRPr="00C91F30" w:rsidRDefault="00C91F30" w:rsidP="00C91F30">
            <w:pPr>
              <w:spacing w:line="276" w:lineRule="auto"/>
              <w:ind w:right="-99"/>
              <w:rPr>
                <w:rFonts w:ascii="Calibri" w:hAnsi="Calibri" w:cs="Calibri"/>
                <w:color w:val="404040"/>
                <w:szCs w:val="20"/>
              </w:rPr>
            </w:pPr>
            <w:r w:rsidRPr="00C91F30">
              <w:rPr>
                <w:rFonts w:ascii="Calibri" w:hAnsi="Calibri" w:cs="Calibri"/>
                <w:color w:val="404040"/>
                <w:szCs w:val="20"/>
              </w:rPr>
              <w:t>Under 18</w:t>
            </w:r>
          </w:p>
        </w:tc>
        <w:tc>
          <w:tcPr>
            <w:tcW w:w="2250" w:type="dxa"/>
          </w:tcPr>
          <w:p w14:paraId="038BF843" w14:textId="77777777" w:rsidR="00C91F30" w:rsidRPr="00C91F30" w:rsidRDefault="00C91F30" w:rsidP="00C91F30">
            <w:pPr>
              <w:spacing w:line="276" w:lineRule="auto"/>
              <w:ind w:right="-38"/>
              <w:jc w:val="center"/>
              <w:rPr>
                <w:rFonts w:ascii="Calibri" w:hAnsi="Calibri" w:cs="Calibri"/>
                <w:color w:val="404040"/>
                <w:szCs w:val="20"/>
              </w:rPr>
            </w:pPr>
            <w:r w:rsidRPr="00C91F30">
              <w:rPr>
                <w:rFonts w:ascii="Calibri" w:hAnsi="Calibri" w:cs="Calibri"/>
                <w:color w:val="404040"/>
                <w:szCs w:val="20"/>
              </w:rPr>
              <w:t>1,593</w:t>
            </w:r>
          </w:p>
        </w:tc>
      </w:tr>
      <w:tr w:rsidR="00C91F30" w:rsidRPr="00C91F30" w14:paraId="5157E497" w14:textId="77777777" w:rsidTr="00816745">
        <w:trPr>
          <w:jc w:val="center"/>
        </w:trPr>
        <w:tc>
          <w:tcPr>
            <w:tcW w:w="2750" w:type="dxa"/>
          </w:tcPr>
          <w:p w14:paraId="78CE0C5B" w14:textId="77777777" w:rsidR="00C91F30" w:rsidRPr="00C91F30" w:rsidRDefault="00C91F30" w:rsidP="00C91F30">
            <w:pPr>
              <w:spacing w:line="276" w:lineRule="auto"/>
              <w:ind w:right="-99"/>
              <w:rPr>
                <w:rFonts w:ascii="Calibri" w:hAnsi="Calibri" w:cs="Calibri"/>
                <w:color w:val="404040"/>
                <w:szCs w:val="20"/>
              </w:rPr>
            </w:pPr>
            <w:r w:rsidRPr="00C91F30">
              <w:rPr>
                <w:rFonts w:ascii="Calibri" w:hAnsi="Calibri" w:cs="Calibri"/>
                <w:color w:val="404040"/>
                <w:szCs w:val="20"/>
              </w:rPr>
              <w:t>18 years – 24 years</w:t>
            </w:r>
          </w:p>
        </w:tc>
        <w:tc>
          <w:tcPr>
            <w:tcW w:w="2250" w:type="dxa"/>
          </w:tcPr>
          <w:p w14:paraId="13BCE989" w14:textId="77777777" w:rsidR="00C91F30" w:rsidRPr="00C91F30" w:rsidRDefault="00C91F30" w:rsidP="00C91F30">
            <w:pPr>
              <w:spacing w:line="276" w:lineRule="auto"/>
              <w:ind w:right="-38"/>
              <w:jc w:val="center"/>
              <w:rPr>
                <w:rFonts w:ascii="Calibri" w:hAnsi="Calibri" w:cs="Calibri"/>
                <w:color w:val="404040"/>
                <w:szCs w:val="20"/>
              </w:rPr>
            </w:pPr>
            <w:r w:rsidRPr="00C91F30">
              <w:rPr>
                <w:rFonts w:ascii="Calibri" w:hAnsi="Calibri" w:cs="Calibri"/>
                <w:color w:val="404040"/>
                <w:szCs w:val="20"/>
              </w:rPr>
              <w:t>1,366</w:t>
            </w:r>
          </w:p>
        </w:tc>
      </w:tr>
      <w:tr w:rsidR="00C91F30" w:rsidRPr="00C91F30" w14:paraId="1B4D0098" w14:textId="77777777" w:rsidTr="00816745">
        <w:trPr>
          <w:jc w:val="center"/>
        </w:trPr>
        <w:tc>
          <w:tcPr>
            <w:tcW w:w="2750" w:type="dxa"/>
          </w:tcPr>
          <w:p w14:paraId="33E95B0F" w14:textId="77777777" w:rsidR="00C91F30" w:rsidRPr="00C91F30" w:rsidRDefault="00C91F30" w:rsidP="00C91F30">
            <w:pPr>
              <w:spacing w:line="276" w:lineRule="auto"/>
              <w:ind w:right="-99"/>
              <w:rPr>
                <w:rFonts w:ascii="Calibri" w:hAnsi="Calibri" w:cs="Calibri"/>
                <w:color w:val="404040"/>
                <w:szCs w:val="20"/>
              </w:rPr>
            </w:pPr>
            <w:r w:rsidRPr="00C91F30">
              <w:rPr>
                <w:rFonts w:ascii="Calibri" w:hAnsi="Calibri" w:cs="Calibri"/>
                <w:color w:val="404040"/>
                <w:szCs w:val="20"/>
              </w:rPr>
              <w:t>25 years and over</w:t>
            </w:r>
          </w:p>
        </w:tc>
        <w:tc>
          <w:tcPr>
            <w:tcW w:w="2250" w:type="dxa"/>
          </w:tcPr>
          <w:p w14:paraId="1A571F00" w14:textId="77777777" w:rsidR="00C91F30" w:rsidRPr="00C91F30" w:rsidRDefault="00C91F30" w:rsidP="00C91F30">
            <w:pPr>
              <w:spacing w:line="276" w:lineRule="auto"/>
              <w:ind w:right="-38"/>
              <w:jc w:val="center"/>
              <w:rPr>
                <w:rFonts w:ascii="Calibri" w:hAnsi="Calibri" w:cs="Calibri"/>
                <w:color w:val="404040"/>
                <w:szCs w:val="20"/>
              </w:rPr>
            </w:pPr>
            <w:r w:rsidRPr="00C91F30">
              <w:rPr>
                <w:rFonts w:ascii="Calibri" w:hAnsi="Calibri" w:cs="Calibri"/>
                <w:color w:val="404040"/>
                <w:szCs w:val="20"/>
              </w:rPr>
              <w:t>10,187</w:t>
            </w:r>
          </w:p>
        </w:tc>
      </w:tr>
      <w:tr w:rsidR="00C91F30" w:rsidRPr="00C91F30" w14:paraId="1B09A75C" w14:textId="77777777" w:rsidTr="00816745">
        <w:trPr>
          <w:jc w:val="center"/>
        </w:trPr>
        <w:tc>
          <w:tcPr>
            <w:tcW w:w="2750" w:type="dxa"/>
          </w:tcPr>
          <w:p w14:paraId="741C8688" w14:textId="77777777" w:rsidR="00C91F30" w:rsidRPr="00C91F30" w:rsidRDefault="00C91F30" w:rsidP="00C91F30">
            <w:pPr>
              <w:spacing w:line="276" w:lineRule="auto"/>
              <w:ind w:right="-99"/>
              <w:rPr>
                <w:rFonts w:ascii="Calibri" w:hAnsi="Calibri" w:cs="Calibri"/>
                <w:color w:val="404040"/>
                <w:szCs w:val="20"/>
              </w:rPr>
            </w:pPr>
            <w:r w:rsidRPr="00C91F30">
              <w:rPr>
                <w:rFonts w:ascii="Calibri" w:hAnsi="Calibri" w:cs="Calibri"/>
                <w:color w:val="404040"/>
                <w:szCs w:val="20"/>
              </w:rPr>
              <w:t>Don’t Know/ Refused/ Other</w:t>
            </w:r>
          </w:p>
        </w:tc>
        <w:tc>
          <w:tcPr>
            <w:tcW w:w="2250" w:type="dxa"/>
          </w:tcPr>
          <w:p w14:paraId="0561FBE8" w14:textId="77777777" w:rsidR="00C91F30" w:rsidRPr="00C91F30" w:rsidRDefault="00C91F30" w:rsidP="00C91F30">
            <w:pPr>
              <w:spacing w:line="276" w:lineRule="auto"/>
              <w:ind w:right="-38"/>
              <w:jc w:val="center"/>
              <w:rPr>
                <w:rFonts w:ascii="Calibri" w:hAnsi="Calibri" w:cs="Calibri"/>
                <w:color w:val="404040"/>
                <w:szCs w:val="20"/>
              </w:rPr>
            </w:pPr>
            <w:r w:rsidRPr="00C91F30">
              <w:rPr>
                <w:rFonts w:ascii="Calibri" w:hAnsi="Calibri" w:cs="Calibri"/>
                <w:color w:val="404040"/>
                <w:szCs w:val="20"/>
              </w:rPr>
              <w:t>7</w:t>
            </w:r>
          </w:p>
        </w:tc>
      </w:tr>
      <w:tr w:rsidR="00C91F30" w:rsidRPr="00C91F30" w14:paraId="0BED8F04" w14:textId="77777777" w:rsidTr="00816745">
        <w:trPr>
          <w:jc w:val="center"/>
        </w:trPr>
        <w:tc>
          <w:tcPr>
            <w:tcW w:w="2750" w:type="dxa"/>
          </w:tcPr>
          <w:p w14:paraId="5C66311D" w14:textId="77777777" w:rsidR="00C91F30" w:rsidRPr="00C91F30" w:rsidRDefault="00C91F30" w:rsidP="00C91F30">
            <w:pPr>
              <w:spacing w:line="276" w:lineRule="auto"/>
              <w:ind w:right="-99"/>
              <w:rPr>
                <w:rFonts w:ascii="Calibri" w:hAnsi="Calibri" w:cs="Calibri"/>
                <w:color w:val="404040"/>
                <w:szCs w:val="20"/>
              </w:rPr>
            </w:pPr>
            <w:r w:rsidRPr="00C91F30">
              <w:rPr>
                <w:rFonts w:ascii="Calibri" w:hAnsi="Calibri" w:cs="Calibri"/>
                <w:color w:val="404040"/>
                <w:szCs w:val="20"/>
              </w:rPr>
              <w:t>Missing Information</w:t>
            </w:r>
          </w:p>
        </w:tc>
        <w:tc>
          <w:tcPr>
            <w:tcW w:w="2250" w:type="dxa"/>
          </w:tcPr>
          <w:p w14:paraId="57770451" w14:textId="77777777" w:rsidR="00C91F30" w:rsidRPr="00C91F30" w:rsidRDefault="00C91F30" w:rsidP="00C91F30">
            <w:pPr>
              <w:spacing w:line="276" w:lineRule="auto"/>
              <w:ind w:right="-38"/>
              <w:jc w:val="center"/>
              <w:rPr>
                <w:rFonts w:ascii="Calibri" w:hAnsi="Calibri" w:cs="Calibri"/>
                <w:color w:val="404040"/>
                <w:szCs w:val="20"/>
              </w:rPr>
            </w:pPr>
            <w:r w:rsidRPr="00C91F30">
              <w:rPr>
                <w:rFonts w:ascii="Calibri" w:hAnsi="Calibri" w:cs="Calibri"/>
                <w:color w:val="404040"/>
                <w:szCs w:val="20"/>
              </w:rPr>
              <w:t>0</w:t>
            </w:r>
          </w:p>
        </w:tc>
      </w:tr>
      <w:tr w:rsidR="00C91F30" w:rsidRPr="00C91F30" w14:paraId="3AB1F26D" w14:textId="77777777" w:rsidTr="00816745">
        <w:trPr>
          <w:jc w:val="center"/>
        </w:trPr>
        <w:tc>
          <w:tcPr>
            <w:tcW w:w="2750" w:type="dxa"/>
          </w:tcPr>
          <w:p w14:paraId="33943C09" w14:textId="77777777" w:rsidR="00C91F30" w:rsidRPr="00C91F30" w:rsidRDefault="00C91F30" w:rsidP="00C91F30">
            <w:pPr>
              <w:spacing w:line="276" w:lineRule="auto"/>
              <w:jc w:val="right"/>
              <w:rPr>
                <w:rFonts w:ascii="Calibri" w:hAnsi="Calibri" w:cs="Calibri"/>
                <w:b/>
                <w:color w:val="404040"/>
                <w:szCs w:val="20"/>
              </w:rPr>
            </w:pPr>
            <w:r w:rsidRPr="00C91F30">
              <w:rPr>
                <w:rFonts w:ascii="Calibri" w:hAnsi="Calibri" w:cs="Calibri"/>
                <w:b/>
                <w:color w:val="404040"/>
                <w:szCs w:val="20"/>
              </w:rPr>
              <w:t>Total</w:t>
            </w:r>
          </w:p>
        </w:tc>
        <w:tc>
          <w:tcPr>
            <w:tcW w:w="2250" w:type="dxa"/>
          </w:tcPr>
          <w:p w14:paraId="58CFE5DB" w14:textId="77777777" w:rsidR="00C91F30" w:rsidRPr="00C91F30" w:rsidRDefault="00C91F30" w:rsidP="00C91F30">
            <w:pPr>
              <w:spacing w:line="276" w:lineRule="auto"/>
              <w:ind w:right="-38"/>
              <w:jc w:val="center"/>
              <w:rPr>
                <w:rFonts w:ascii="Calibri" w:hAnsi="Calibri" w:cs="Calibri"/>
                <w:b/>
                <w:color w:val="404040"/>
                <w:szCs w:val="20"/>
              </w:rPr>
            </w:pPr>
            <w:r w:rsidRPr="00C91F30">
              <w:rPr>
                <w:rFonts w:ascii="Calibri" w:hAnsi="Calibri" w:cs="Calibri"/>
                <w:b/>
                <w:color w:val="404040"/>
                <w:szCs w:val="20"/>
              </w:rPr>
              <w:t>13,153</w:t>
            </w:r>
          </w:p>
        </w:tc>
      </w:tr>
    </w:tbl>
    <w:p w14:paraId="57AE20B4" w14:textId="77777777" w:rsidR="00C91F30" w:rsidRPr="00C91F30" w:rsidRDefault="00C91F30" w:rsidP="00C91F30">
      <w:pPr>
        <w:spacing w:line="276" w:lineRule="auto"/>
        <w:ind w:right="360"/>
        <w:rPr>
          <w:rFonts w:ascii="Calibri" w:hAnsi="Calibri" w:cs="Calibri"/>
          <w:b/>
          <w:color w:val="FF0000"/>
          <w:szCs w:val="20"/>
        </w:rPr>
      </w:pPr>
    </w:p>
    <w:p w14:paraId="75CFD879" w14:textId="77777777" w:rsidR="006D5CB8" w:rsidRDefault="006D5CB8" w:rsidP="00C91F30">
      <w:pPr>
        <w:rPr>
          <w:rFonts w:ascii="Calibri" w:hAnsi="Calibri" w:cs="Calibri"/>
          <w:b/>
          <w:color w:val="FF0000"/>
          <w:szCs w:val="20"/>
        </w:rPr>
      </w:pPr>
    </w:p>
    <w:p w14:paraId="41B09690" w14:textId="77777777" w:rsidR="006D5CB8" w:rsidRDefault="006D5CB8" w:rsidP="00C91F30">
      <w:pPr>
        <w:rPr>
          <w:rFonts w:ascii="Calibri" w:hAnsi="Calibri" w:cs="Calibri"/>
          <w:b/>
          <w:color w:val="FF0000"/>
          <w:szCs w:val="20"/>
        </w:rPr>
      </w:pPr>
    </w:p>
    <w:p w14:paraId="2E8CEEDA" w14:textId="77777777" w:rsidR="006D5CB8" w:rsidRDefault="006D5CB8" w:rsidP="00C91F30">
      <w:pPr>
        <w:rPr>
          <w:rFonts w:ascii="Calibri" w:hAnsi="Calibri" w:cs="Calibri"/>
          <w:b/>
          <w:color w:val="FF0000"/>
          <w:szCs w:val="20"/>
        </w:rPr>
      </w:pPr>
    </w:p>
    <w:p w14:paraId="6FB3E12E" w14:textId="77777777" w:rsidR="006D5CB8" w:rsidRDefault="006D5CB8" w:rsidP="00C91F30">
      <w:pPr>
        <w:rPr>
          <w:rFonts w:ascii="Calibri" w:hAnsi="Calibri" w:cs="Calibri"/>
          <w:b/>
          <w:color w:val="FF0000"/>
          <w:szCs w:val="20"/>
        </w:rPr>
      </w:pPr>
    </w:p>
    <w:p w14:paraId="62D2A68F" w14:textId="77777777" w:rsidR="006D5CB8" w:rsidRDefault="006D5CB8" w:rsidP="00C91F30">
      <w:pPr>
        <w:rPr>
          <w:rFonts w:ascii="Calibri" w:hAnsi="Calibri" w:cs="Calibri"/>
          <w:b/>
          <w:color w:val="FF0000"/>
          <w:szCs w:val="20"/>
        </w:rPr>
      </w:pPr>
    </w:p>
    <w:p w14:paraId="464C97BC" w14:textId="77777777" w:rsidR="006D5CB8" w:rsidRDefault="006D5CB8" w:rsidP="00C91F30">
      <w:pPr>
        <w:rPr>
          <w:rFonts w:ascii="Calibri" w:hAnsi="Calibri" w:cs="Calibri"/>
          <w:b/>
          <w:color w:val="FF0000"/>
          <w:szCs w:val="20"/>
        </w:rPr>
      </w:pPr>
    </w:p>
    <w:p w14:paraId="0365F4B2" w14:textId="77777777" w:rsidR="006D5CB8" w:rsidRDefault="006D5CB8" w:rsidP="00C91F30">
      <w:pPr>
        <w:rPr>
          <w:rFonts w:ascii="Calibri" w:hAnsi="Calibri" w:cs="Calibri"/>
          <w:b/>
          <w:color w:val="FF0000"/>
          <w:szCs w:val="20"/>
        </w:rPr>
      </w:pPr>
    </w:p>
    <w:p w14:paraId="79690BA1" w14:textId="77777777" w:rsidR="006D5CB8" w:rsidRDefault="006D5CB8" w:rsidP="00C91F30">
      <w:pPr>
        <w:rPr>
          <w:rFonts w:ascii="Calibri" w:hAnsi="Calibri" w:cs="Calibri"/>
          <w:b/>
          <w:color w:val="FF0000"/>
          <w:szCs w:val="20"/>
        </w:rPr>
      </w:pPr>
    </w:p>
    <w:p w14:paraId="4DF01DD1" w14:textId="77777777" w:rsidR="006D5CB8" w:rsidRDefault="006D5CB8" w:rsidP="00C91F30">
      <w:pPr>
        <w:rPr>
          <w:rFonts w:ascii="Calibri" w:hAnsi="Calibri" w:cs="Calibri"/>
          <w:b/>
          <w:color w:val="FF0000"/>
          <w:szCs w:val="20"/>
        </w:rPr>
      </w:pPr>
    </w:p>
    <w:p w14:paraId="0FB4BE5C" w14:textId="77777777" w:rsidR="006D5CB8" w:rsidRDefault="006D5CB8" w:rsidP="00C91F30">
      <w:pPr>
        <w:rPr>
          <w:rFonts w:ascii="Calibri" w:hAnsi="Calibri" w:cs="Calibri"/>
          <w:b/>
          <w:color w:val="FF0000"/>
          <w:szCs w:val="20"/>
        </w:rPr>
      </w:pPr>
    </w:p>
    <w:p w14:paraId="23F78453" w14:textId="77777777" w:rsidR="006D5CB8" w:rsidRDefault="006D5CB8" w:rsidP="00C91F30">
      <w:pPr>
        <w:rPr>
          <w:rFonts w:ascii="Calibri" w:hAnsi="Calibri" w:cs="Calibri"/>
          <w:b/>
          <w:color w:val="FF0000"/>
          <w:szCs w:val="20"/>
        </w:rPr>
      </w:pPr>
    </w:p>
    <w:p w14:paraId="699C20C4" w14:textId="77777777" w:rsidR="006D5CB8" w:rsidRDefault="006D5CB8" w:rsidP="00C91F30">
      <w:pPr>
        <w:rPr>
          <w:rFonts w:ascii="Calibri" w:hAnsi="Calibri" w:cs="Calibri"/>
          <w:b/>
          <w:color w:val="FF0000"/>
          <w:szCs w:val="20"/>
        </w:rPr>
      </w:pPr>
    </w:p>
    <w:p w14:paraId="25A1FD62" w14:textId="77777777" w:rsidR="006D5CB8" w:rsidRDefault="006D5CB8" w:rsidP="00C91F30">
      <w:pPr>
        <w:rPr>
          <w:rFonts w:ascii="Calibri" w:hAnsi="Calibri" w:cs="Calibri"/>
          <w:b/>
          <w:color w:val="FF0000"/>
          <w:szCs w:val="20"/>
        </w:rPr>
      </w:pPr>
    </w:p>
    <w:p w14:paraId="52826DF2" w14:textId="77777777" w:rsidR="006D5CB8" w:rsidRPr="00C91F30" w:rsidRDefault="006D5CB8" w:rsidP="00C91F30">
      <w:pPr>
        <w:rPr>
          <w:rFonts w:ascii="Calibri" w:hAnsi="Calibri" w:cs="Calibri"/>
          <w:b/>
          <w:color w:val="FF0000"/>
          <w:szCs w:val="20"/>
        </w:rPr>
      </w:pPr>
    </w:p>
    <w:p w14:paraId="298C5535" w14:textId="77777777" w:rsidR="00C91F30" w:rsidRPr="00C91F30" w:rsidRDefault="00C91F30" w:rsidP="00C91F30">
      <w:pPr>
        <w:spacing w:line="276" w:lineRule="auto"/>
        <w:ind w:left="2880" w:right="360"/>
        <w:rPr>
          <w:rFonts w:ascii="Calibri" w:hAnsi="Calibri" w:cs="Calibri"/>
          <w:b/>
          <w:color w:val="FF0000"/>
          <w:szCs w:val="20"/>
        </w:rPr>
      </w:pPr>
      <w:r w:rsidRPr="00C91F30">
        <w:rPr>
          <w:rFonts w:ascii="Calibri" w:hAnsi="Calibri" w:cs="Calibri"/>
          <w:b/>
          <w:color w:val="404040"/>
          <w:szCs w:val="20"/>
        </w:rPr>
        <w:t>PERSONS SERVED BY RACE</w:t>
      </w:r>
    </w:p>
    <w:tbl>
      <w:tblPr>
        <w:tblW w:w="4760" w:type="dxa"/>
        <w:tblInd w:w="2880" w:type="dxa"/>
        <w:tblLook w:val="04A0" w:firstRow="1" w:lastRow="0" w:firstColumn="1" w:lastColumn="0" w:noHBand="0" w:noVBand="1"/>
      </w:tblPr>
      <w:tblGrid>
        <w:gridCol w:w="3760"/>
        <w:gridCol w:w="1000"/>
      </w:tblGrid>
      <w:tr w:rsidR="00C91F30" w:rsidRPr="00C91F30" w14:paraId="0D171B9F" w14:textId="77777777" w:rsidTr="00C91F30">
        <w:trPr>
          <w:trHeight w:val="288"/>
        </w:trPr>
        <w:tc>
          <w:tcPr>
            <w:tcW w:w="3760" w:type="dxa"/>
            <w:tcBorders>
              <w:top w:val="single" w:sz="4" w:space="0" w:color="auto"/>
              <w:left w:val="single" w:sz="4" w:space="0" w:color="auto"/>
              <w:bottom w:val="single" w:sz="4" w:space="0" w:color="auto"/>
              <w:right w:val="single" w:sz="4" w:space="0" w:color="auto"/>
            </w:tcBorders>
            <w:shd w:val="clear" w:color="auto" w:fill="D5DCE4"/>
            <w:noWrap/>
            <w:vAlign w:val="bottom"/>
            <w:hideMark/>
          </w:tcPr>
          <w:p w14:paraId="07AD9E76" w14:textId="77777777" w:rsidR="00C91F30" w:rsidRPr="00C91F30" w:rsidRDefault="00C91F30" w:rsidP="00C91F30">
            <w:pPr>
              <w:jc w:val="center"/>
              <w:rPr>
                <w:rFonts w:ascii="Calibri" w:eastAsia="Times New Roman" w:hAnsi="Calibri"/>
                <w:b/>
                <w:color w:val="404040"/>
                <w:szCs w:val="20"/>
              </w:rPr>
            </w:pPr>
            <w:r w:rsidRPr="00C91F30">
              <w:rPr>
                <w:rFonts w:ascii="Calibri" w:eastAsia="Times New Roman" w:hAnsi="Calibri"/>
                <w:b/>
                <w:color w:val="404040"/>
                <w:szCs w:val="20"/>
              </w:rPr>
              <w:t>Race</w:t>
            </w:r>
          </w:p>
        </w:tc>
        <w:tc>
          <w:tcPr>
            <w:tcW w:w="1000" w:type="dxa"/>
            <w:tcBorders>
              <w:top w:val="single" w:sz="4" w:space="0" w:color="auto"/>
              <w:left w:val="nil"/>
              <w:bottom w:val="single" w:sz="4" w:space="0" w:color="auto"/>
              <w:right w:val="single" w:sz="4" w:space="0" w:color="auto"/>
            </w:tcBorders>
            <w:shd w:val="clear" w:color="auto" w:fill="D5DCE4"/>
            <w:noWrap/>
            <w:vAlign w:val="bottom"/>
            <w:hideMark/>
          </w:tcPr>
          <w:p w14:paraId="2AA4BDEE" w14:textId="77777777" w:rsidR="00C91F30" w:rsidRPr="00C91F30" w:rsidRDefault="00C91F30" w:rsidP="00C91F30">
            <w:pPr>
              <w:jc w:val="center"/>
              <w:rPr>
                <w:rFonts w:ascii="Calibri" w:eastAsia="Times New Roman" w:hAnsi="Calibri"/>
                <w:b/>
                <w:color w:val="404040"/>
                <w:szCs w:val="20"/>
              </w:rPr>
            </w:pPr>
            <w:r w:rsidRPr="00C91F30">
              <w:rPr>
                <w:rFonts w:ascii="Calibri" w:eastAsia="Times New Roman" w:hAnsi="Calibri"/>
                <w:b/>
                <w:color w:val="404040"/>
                <w:szCs w:val="20"/>
              </w:rPr>
              <w:t>ESG</w:t>
            </w:r>
          </w:p>
        </w:tc>
      </w:tr>
      <w:tr w:rsidR="00C91F30" w:rsidRPr="00C91F30" w14:paraId="1B225641" w14:textId="77777777" w:rsidTr="00816745">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4A8B532A" w14:textId="77777777" w:rsidR="00C91F30" w:rsidRPr="00C91F30" w:rsidRDefault="00C91F30" w:rsidP="00C91F30">
            <w:pPr>
              <w:rPr>
                <w:rFonts w:ascii="Calibri" w:eastAsia="Times New Roman" w:hAnsi="Calibri"/>
                <w:color w:val="404040"/>
                <w:szCs w:val="20"/>
              </w:rPr>
            </w:pPr>
            <w:r w:rsidRPr="00C91F30">
              <w:rPr>
                <w:rFonts w:ascii="Calibri" w:eastAsia="Times New Roman" w:hAnsi="Calibri"/>
                <w:color w:val="404040"/>
                <w:szCs w:val="20"/>
              </w:rPr>
              <w:t>White</w:t>
            </w:r>
          </w:p>
        </w:tc>
        <w:tc>
          <w:tcPr>
            <w:tcW w:w="1000" w:type="dxa"/>
            <w:tcBorders>
              <w:top w:val="nil"/>
              <w:left w:val="nil"/>
              <w:bottom w:val="single" w:sz="4" w:space="0" w:color="auto"/>
              <w:right w:val="single" w:sz="4" w:space="0" w:color="auto"/>
            </w:tcBorders>
            <w:shd w:val="clear" w:color="auto" w:fill="auto"/>
            <w:noWrap/>
            <w:vAlign w:val="bottom"/>
            <w:hideMark/>
          </w:tcPr>
          <w:p w14:paraId="5E025922"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9,425</w:t>
            </w:r>
          </w:p>
        </w:tc>
      </w:tr>
      <w:tr w:rsidR="00C91F30" w:rsidRPr="00C91F30" w14:paraId="35C4E050" w14:textId="77777777" w:rsidTr="00816745">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0F53BA7B" w14:textId="77777777" w:rsidR="00C91F30" w:rsidRPr="00C91F30" w:rsidRDefault="00C91F30" w:rsidP="00C91F30">
            <w:pPr>
              <w:rPr>
                <w:rFonts w:ascii="Calibri" w:eastAsia="Times New Roman" w:hAnsi="Calibri"/>
                <w:color w:val="404040"/>
                <w:szCs w:val="20"/>
              </w:rPr>
            </w:pPr>
            <w:r w:rsidRPr="00C91F30">
              <w:rPr>
                <w:rFonts w:ascii="Calibri" w:eastAsia="Times New Roman" w:hAnsi="Calibri"/>
                <w:color w:val="404040"/>
                <w:szCs w:val="20"/>
              </w:rPr>
              <w:t>Black or African American</w:t>
            </w:r>
          </w:p>
        </w:tc>
        <w:tc>
          <w:tcPr>
            <w:tcW w:w="1000" w:type="dxa"/>
            <w:tcBorders>
              <w:top w:val="nil"/>
              <w:left w:val="nil"/>
              <w:bottom w:val="single" w:sz="4" w:space="0" w:color="auto"/>
              <w:right w:val="single" w:sz="4" w:space="0" w:color="auto"/>
            </w:tcBorders>
            <w:shd w:val="clear" w:color="auto" w:fill="auto"/>
            <w:noWrap/>
            <w:vAlign w:val="bottom"/>
            <w:hideMark/>
          </w:tcPr>
          <w:p w14:paraId="1A25C35F"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1,548</w:t>
            </w:r>
          </w:p>
        </w:tc>
      </w:tr>
      <w:tr w:rsidR="00C91F30" w:rsidRPr="00C91F30" w14:paraId="57C3AB13" w14:textId="77777777" w:rsidTr="00816745">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5CDE3DDE" w14:textId="77777777" w:rsidR="00C91F30" w:rsidRPr="00C91F30" w:rsidRDefault="00C91F30" w:rsidP="00C91F30">
            <w:pPr>
              <w:rPr>
                <w:rFonts w:ascii="Calibri" w:eastAsia="Times New Roman" w:hAnsi="Calibri"/>
                <w:color w:val="404040"/>
                <w:szCs w:val="20"/>
              </w:rPr>
            </w:pPr>
            <w:r w:rsidRPr="00C91F30">
              <w:rPr>
                <w:rFonts w:ascii="Calibri" w:eastAsia="Times New Roman" w:hAnsi="Calibri"/>
                <w:color w:val="404040"/>
                <w:szCs w:val="20"/>
              </w:rPr>
              <w:t>Asian</w:t>
            </w:r>
          </w:p>
        </w:tc>
        <w:tc>
          <w:tcPr>
            <w:tcW w:w="1000" w:type="dxa"/>
            <w:tcBorders>
              <w:top w:val="nil"/>
              <w:left w:val="nil"/>
              <w:bottom w:val="single" w:sz="4" w:space="0" w:color="auto"/>
              <w:right w:val="single" w:sz="4" w:space="0" w:color="auto"/>
            </w:tcBorders>
            <w:shd w:val="clear" w:color="auto" w:fill="auto"/>
            <w:noWrap/>
            <w:vAlign w:val="bottom"/>
            <w:hideMark/>
          </w:tcPr>
          <w:p w14:paraId="54F86190"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157</w:t>
            </w:r>
          </w:p>
        </w:tc>
      </w:tr>
      <w:tr w:rsidR="00C91F30" w:rsidRPr="00C91F30" w14:paraId="4C8EBB29" w14:textId="77777777" w:rsidTr="00816745">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0886E8F9" w14:textId="77777777" w:rsidR="00C91F30" w:rsidRPr="00C91F30" w:rsidRDefault="00C91F30" w:rsidP="00C91F30">
            <w:pPr>
              <w:rPr>
                <w:rFonts w:ascii="Calibri" w:eastAsia="Times New Roman" w:hAnsi="Calibri"/>
                <w:color w:val="404040"/>
                <w:szCs w:val="20"/>
              </w:rPr>
            </w:pPr>
            <w:r w:rsidRPr="00C91F30">
              <w:rPr>
                <w:rFonts w:ascii="Calibri" w:eastAsia="Times New Roman" w:hAnsi="Calibri"/>
                <w:color w:val="404040"/>
                <w:szCs w:val="20"/>
              </w:rPr>
              <w:t>American Indian or American Native</w:t>
            </w:r>
          </w:p>
        </w:tc>
        <w:tc>
          <w:tcPr>
            <w:tcW w:w="1000" w:type="dxa"/>
            <w:tcBorders>
              <w:top w:val="nil"/>
              <w:left w:val="nil"/>
              <w:bottom w:val="single" w:sz="4" w:space="0" w:color="auto"/>
              <w:right w:val="single" w:sz="4" w:space="0" w:color="auto"/>
            </w:tcBorders>
            <w:shd w:val="clear" w:color="auto" w:fill="auto"/>
            <w:noWrap/>
            <w:vAlign w:val="bottom"/>
            <w:hideMark/>
          </w:tcPr>
          <w:p w14:paraId="3AA44F9B"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882</w:t>
            </w:r>
          </w:p>
        </w:tc>
      </w:tr>
      <w:tr w:rsidR="00C91F30" w:rsidRPr="00C91F30" w14:paraId="3D2CAEE6" w14:textId="77777777" w:rsidTr="00816745">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1AAEE32C" w14:textId="77777777" w:rsidR="00C91F30" w:rsidRPr="00C91F30" w:rsidRDefault="00C91F30" w:rsidP="00C91F30">
            <w:pPr>
              <w:rPr>
                <w:rFonts w:ascii="Calibri" w:eastAsia="Times New Roman" w:hAnsi="Calibri"/>
                <w:color w:val="404040"/>
                <w:szCs w:val="20"/>
              </w:rPr>
            </w:pPr>
            <w:r w:rsidRPr="00C91F30">
              <w:rPr>
                <w:rFonts w:ascii="Calibri" w:eastAsia="Times New Roman" w:hAnsi="Calibri"/>
                <w:color w:val="404040"/>
                <w:szCs w:val="20"/>
              </w:rPr>
              <w:t>Native Hawaiian or Other Pacific Islander</w:t>
            </w:r>
          </w:p>
        </w:tc>
        <w:tc>
          <w:tcPr>
            <w:tcW w:w="1000" w:type="dxa"/>
            <w:tcBorders>
              <w:top w:val="nil"/>
              <w:left w:val="nil"/>
              <w:bottom w:val="single" w:sz="4" w:space="0" w:color="auto"/>
              <w:right w:val="single" w:sz="4" w:space="0" w:color="auto"/>
            </w:tcBorders>
            <w:shd w:val="clear" w:color="auto" w:fill="auto"/>
            <w:noWrap/>
            <w:vAlign w:val="bottom"/>
            <w:hideMark/>
          </w:tcPr>
          <w:p w14:paraId="424DC934"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289</w:t>
            </w:r>
          </w:p>
        </w:tc>
      </w:tr>
      <w:tr w:rsidR="00C91F30" w:rsidRPr="00C91F30" w14:paraId="79594264" w14:textId="77777777" w:rsidTr="00816745">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tcPr>
          <w:p w14:paraId="763E93AE" w14:textId="77777777" w:rsidR="00C91F30" w:rsidRPr="00C91F30" w:rsidRDefault="00C91F30" w:rsidP="00C91F30">
            <w:pPr>
              <w:rPr>
                <w:rFonts w:ascii="Calibri" w:eastAsia="Times New Roman" w:hAnsi="Calibri"/>
                <w:color w:val="404040"/>
                <w:szCs w:val="20"/>
              </w:rPr>
            </w:pPr>
            <w:r w:rsidRPr="00C91F30">
              <w:rPr>
                <w:rFonts w:ascii="Calibri" w:eastAsia="Times New Roman" w:hAnsi="Calibri"/>
                <w:color w:val="404040"/>
                <w:szCs w:val="20"/>
              </w:rPr>
              <w:t>Multiple Races</w:t>
            </w:r>
          </w:p>
        </w:tc>
        <w:tc>
          <w:tcPr>
            <w:tcW w:w="1000" w:type="dxa"/>
            <w:tcBorders>
              <w:top w:val="nil"/>
              <w:left w:val="nil"/>
              <w:bottom w:val="single" w:sz="4" w:space="0" w:color="auto"/>
              <w:right w:val="single" w:sz="4" w:space="0" w:color="auto"/>
            </w:tcBorders>
            <w:shd w:val="clear" w:color="auto" w:fill="auto"/>
            <w:noWrap/>
            <w:vAlign w:val="bottom"/>
          </w:tcPr>
          <w:p w14:paraId="59B46A27"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654</w:t>
            </w:r>
          </w:p>
        </w:tc>
      </w:tr>
      <w:tr w:rsidR="00C91F30" w:rsidRPr="00C91F30" w14:paraId="5474B663" w14:textId="77777777" w:rsidTr="00816745">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tcPr>
          <w:p w14:paraId="7054E991" w14:textId="77777777" w:rsidR="00C91F30" w:rsidRPr="00C91F30" w:rsidRDefault="00C91F30" w:rsidP="00C91F30">
            <w:pPr>
              <w:rPr>
                <w:rFonts w:ascii="Calibri" w:eastAsia="Times New Roman" w:hAnsi="Calibri"/>
                <w:color w:val="404040"/>
                <w:szCs w:val="20"/>
              </w:rPr>
            </w:pPr>
            <w:r w:rsidRPr="00C91F30">
              <w:rPr>
                <w:rFonts w:ascii="Calibri" w:eastAsia="Times New Roman" w:hAnsi="Calibri"/>
                <w:color w:val="404040"/>
                <w:szCs w:val="20"/>
              </w:rPr>
              <w:t>Don’t Know/Refused</w:t>
            </w:r>
          </w:p>
        </w:tc>
        <w:tc>
          <w:tcPr>
            <w:tcW w:w="1000" w:type="dxa"/>
            <w:tcBorders>
              <w:top w:val="nil"/>
              <w:left w:val="nil"/>
              <w:bottom w:val="single" w:sz="4" w:space="0" w:color="auto"/>
              <w:right w:val="single" w:sz="4" w:space="0" w:color="auto"/>
            </w:tcBorders>
            <w:shd w:val="clear" w:color="auto" w:fill="auto"/>
            <w:noWrap/>
            <w:vAlign w:val="bottom"/>
          </w:tcPr>
          <w:p w14:paraId="0491479B"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41</w:t>
            </w:r>
          </w:p>
        </w:tc>
      </w:tr>
      <w:tr w:rsidR="00C91F30" w:rsidRPr="00C91F30" w14:paraId="7CF2D909" w14:textId="77777777" w:rsidTr="00816745">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tcPr>
          <w:p w14:paraId="1C85CCD5" w14:textId="77777777" w:rsidR="00C91F30" w:rsidRPr="00C91F30" w:rsidRDefault="00C91F30" w:rsidP="00C91F30">
            <w:pPr>
              <w:rPr>
                <w:rFonts w:ascii="Calibri" w:eastAsia="Times New Roman" w:hAnsi="Calibri"/>
                <w:color w:val="404040"/>
                <w:szCs w:val="20"/>
              </w:rPr>
            </w:pPr>
            <w:r w:rsidRPr="00C91F30">
              <w:rPr>
                <w:rFonts w:ascii="Calibri" w:eastAsia="Times New Roman" w:hAnsi="Calibri"/>
                <w:color w:val="404040"/>
                <w:szCs w:val="20"/>
              </w:rPr>
              <w:t>Information Missing</w:t>
            </w:r>
          </w:p>
        </w:tc>
        <w:tc>
          <w:tcPr>
            <w:tcW w:w="1000" w:type="dxa"/>
            <w:tcBorders>
              <w:top w:val="nil"/>
              <w:left w:val="nil"/>
              <w:bottom w:val="single" w:sz="4" w:space="0" w:color="auto"/>
              <w:right w:val="single" w:sz="4" w:space="0" w:color="auto"/>
            </w:tcBorders>
            <w:shd w:val="clear" w:color="auto" w:fill="auto"/>
            <w:noWrap/>
            <w:vAlign w:val="bottom"/>
          </w:tcPr>
          <w:p w14:paraId="540FCB30"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157</w:t>
            </w:r>
          </w:p>
        </w:tc>
      </w:tr>
      <w:tr w:rsidR="00C91F30" w:rsidRPr="00C91F30" w14:paraId="0B343ECE" w14:textId="77777777" w:rsidTr="00816745">
        <w:trPr>
          <w:trHeight w:val="288"/>
        </w:trPr>
        <w:tc>
          <w:tcPr>
            <w:tcW w:w="3760" w:type="dxa"/>
            <w:tcBorders>
              <w:top w:val="nil"/>
              <w:left w:val="single" w:sz="4" w:space="0" w:color="auto"/>
              <w:bottom w:val="single" w:sz="4" w:space="0" w:color="auto"/>
              <w:right w:val="single" w:sz="4" w:space="0" w:color="auto"/>
            </w:tcBorders>
            <w:shd w:val="clear" w:color="000000" w:fill="D9D9D9"/>
            <w:noWrap/>
            <w:vAlign w:val="bottom"/>
            <w:hideMark/>
          </w:tcPr>
          <w:p w14:paraId="0B7D1DFE" w14:textId="77777777" w:rsidR="00C91F30" w:rsidRPr="00C91F30" w:rsidRDefault="00C91F30" w:rsidP="00C91F30">
            <w:pPr>
              <w:rPr>
                <w:rFonts w:ascii="Calibri" w:eastAsia="Times New Roman" w:hAnsi="Calibri"/>
                <w:b/>
                <w:bCs/>
                <w:color w:val="404040"/>
                <w:szCs w:val="20"/>
              </w:rPr>
            </w:pPr>
            <w:r w:rsidRPr="00C91F30">
              <w:rPr>
                <w:rFonts w:ascii="Calibri" w:eastAsia="Times New Roman" w:hAnsi="Calibri"/>
                <w:b/>
                <w:bCs/>
                <w:color w:val="404040"/>
                <w:szCs w:val="20"/>
              </w:rPr>
              <w:t>Total</w:t>
            </w:r>
          </w:p>
        </w:tc>
        <w:tc>
          <w:tcPr>
            <w:tcW w:w="1000" w:type="dxa"/>
            <w:tcBorders>
              <w:top w:val="nil"/>
              <w:left w:val="nil"/>
              <w:bottom w:val="single" w:sz="4" w:space="0" w:color="auto"/>
              <w:right w:val="single" w:sz="4" w:space="0" w:color="auto"/>
            </w:tcBorders>
            <w:shd w:val="clear" w:color="000000" w:fill="D9D9D9"/>
            <w:noWrap/>
            <w:vAlign w:val="bottom"/>
            <w:hideMark/>
          </w:tcPr>
          <w:p w14:paraId="59F44627" w14:textId="77777777" w:rsidR="00C91F30" w:rsidRPr="00C91F30" w:rsidRDefault="00C91F30" w:rsidP="00C91F30">
            <w:pPr>
              <w:jc w:val="center"/>
              <w:rPr>
                <w:rFonts w:ascii="Calibri" w:eastAsia="Times New Roman" w:hAnsi="Calibri"/>
                <w:b/>
                <w:bCs/>
                <w:color w:val="404040"/>
                <w:szCs w:val="20"/>
              </w:rPr>
            </w:pPr>
            <w:r w:rsidRPr="00C91F30">
              <w:rPr>
                <w:rFonts w:ascii="Calibri" w:eastAsia="Times New Roman" w:hAnsi="Calibri"/>
                <w:b/>
                <w:bCs/>
                <w:color w:val="404040"/>
                <w:szCs w:val="20"/>
              </w:rPr>
              <w:t>13,153</w:t>
            </w:r>
          </w:p>
        </w:tc>
      </w:tr>
      <w:tr w:rsidR="00C91F30" w:rsidRPr="00C91F30" w14:paraId="0C5E2EFB" w14:textId="77777777" w:rsidTr="00816745">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6E5A293E" w14:textId="77777777" w:rsidR="00C91F30" w:rsidRPr="00C91F30" w:rsidRDefault="00C91F30" w:rsidP="00C91F30">
            <w:pPr>
              <w:rPr>
                <w:rFonts w:ascii="Calibri" w:eastAsia="Times New Roman" w:hAnsi="Calibri"/>
                <w:color w:val="404040"/>
                <w:szCs w:val="20"/>
              </w:rPr>
            </w:pPr>
            <w:r w:rsidRPr="00C91F30">
              <w:rPr>
                <w:rFonts w:ascii="Calibri" w:eastAsia="Times New Roman" w:hAnsi="Calibri"/>
                <w:color w:val="404040"/>
                <w:szCs w:val="20"/>
              </w:rPr>
              <w:t>Hispanic</w:t>
            </w:r>
          </w:p>
        </w:tc>
        <w:tc>
          <w:tcPr>
            <w:tcW w:w="1000" w:type="dxa"/>
            <w:tcBorders>
              <w:top w:val="nil"/>
              <w:left w:val="nil"/>
              <w:bottom w:val="single" w:sz="4" w:space="0" w:color="auto"/>
              <w:right w:val="single" w:sz="4" w:space="0" w:color="auto"/>
            </w:tcBorders>
            <w:shd w:val="clear" w:color="auto" w:fill="auto"/>
            <w:noWrap/>
            <w:vAlign w:val="bottom"/>
            <w:hideMark/>
          </w:tcPr>
          <w:p w14:paraId="13ED2982"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2,871</w:t>
            </w:r>
          </w:p>
        </w:tc>
      </w:tr>
      <w:tr w:rsidR="00C91F30" w:rsidRPr="00C91F30" w14:paraId="714647EC" w14:textId="77777777" w:rsidTr="00816745">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143D02FE" w14:textId="77777777" w:rsidR="00C91F30" w:rsidRPr="00C91F30" w:rsidRDefault="00C91F30" w:rsidP="00C91F30">
            <w:pPr>
              <w:rPr>
                <w:rFonts w:ascii="Calibri" w:eastAsia="Times New Roman" w:hAnsi="Calibri"/>
                <w:color w:val="404040"/>
                <w:szCs w:val="20"/>
              </w:rPr>
            </w:pPr>
            <w:r w:rsidRPr="00C91F30">
              <w:rPr>
                <w:rFonts w:ascii="Calibri" w:eastAsia="Times New Roman" w:hAnsi="Calibri"/>
                <w:color w:val="404040"/>
                <w:szCs w:val="20"/>
              </w:rPr>
              <w:t>Not Hispanic</w:t>
            </w:r>
          </w:p>
        </w:tc>
        <w:tc>
          <w:tcPr>
            <w:tcW w:w="1000" w:type="dxa"/>
            <w:tcBorders>
              <w:top w:val="nil"/>
              <w:left w:val="nil"/>
              <w:bottom w:val="single" w:sz="4" w:space="0" w:color="auto"/>
              <w:right w:val="single" w:sz="4" w:space="0" w:color="auto"/>
            </w:tcBorders>
            <w:shd w:val="clear" w:color="auto" w:fill="auto"/>
            <w:noWrap/>
            <w:vAlign w:val="bottom"/>
            <w:hideMark/>
          </w:tcPr>
          <w:p w14:paraId="03A87968" w14:textId="77777777" w:rsidR="00C91F30" w:rsidRPr="00C91F30" w:rsidRDefault="00C91F30" w:rsidP="00C91F30">
            <w:pPr>
              <w:jc w:val="center"/>
              <w:rPr>
                <w:rFonts w:ascii="Calibri" w:eastAsia="Times New Roman" w:hAnsi="Calibri"/>
                <w:color w:val="404040"/>
                <w:szCs w:val="20"/>
              </w:rPr>
            </w:pPr>
            <w:r w:rsidRPr="00C91F30">
              <w:rPr>
                <w:rFonts w:ascii="Calibri" w:eastAsia="Times New Roman" w:hAnsi="Calibri"/>
                <w:color w:val="404040"/>
                <w:szCs w:val="20"/>
              </w:rPr>
              <w:t>10,108</w:t>
            </w:r>
          </w:p>
        </w:tc>
      </w:tr>
    </w:tbl>
    <w:p w14:paraId="30420AF7" w14:textId="77777777" w:rsidR="00C91F30" w:rsidRPr="00C91F30" w:rsidRDefault="00C91F30" w:rsidP="00C91F30">
      <w:pPr>
        <w:spacing w:line="276" w:lineRule="auto"/>
        <w:ind w:right="360"/>
        <w:rPr>
          <w:rFonts w:ascii="Calibri" w:hAnsi="Calibri" w:cs="Calibri"/>
          <w:b/>
          <w:color w:val="FF0000"/>
          <w:szCs w:val="20"/>
        </w:rPr>
      </w:pPr>
    </w:p>
    <w:p w14:paraId="70AB84A9" w14:textId="77777777" w:rsidR="00C91F30" w:rsidRPr="00C91F30" w:rsidRDefault="00C91F30" w:rsidP="00C91F30">
      <w:pPr>
        <w:spacing w:line="276" w:lineRule="auto"/>
        <w:ind w:right="360"/>
        <w:rPr>
          <w:rFonts w:ascii="Calibri" w:hAnsi="Calibri" w:cs="Calibri"/>
          <w:b/>
          <w:color w:val="FF0000"/>
          <w:szCs w:val="20"/>
        </w:rPr>
      </w:pPr>
    </w:p>
    <w:p w14:paraId="7F0D4CEA" w14:textId="77777777" w:rsidR="00C91F30" w:rsidRPr="00C91F30" w:rsidRDefault="00C91F30" w:rsidP="00C91F30">
      <w:pPr>
        <w:spacing w:line="276" w:lineRule="auto"/>
        <w:ind w:right="360"/>
        <w:rPr>
          <w:rFonts w:ascii="Calibri" w:hAnsi="Calibri" w:cs="Calibri"/>
          <w:b/>
          <w:color w:val="FF0000"/>
          <w:szCs w:val="20"/>
        </w:rPr>
      </w:pPr>
    </w:p>
    <w:p w14:paraId="3C4CA139" w14:textId="77777777" w:rsidR="00C91F30" w:rsidRPr="00C91F30" w:rsidRDefault="00C91F30" w:rsidP="00C91F30">
      <w:pPr>
        <w:spacing w:line="276" w:lineRule="auto"/>
        <w:ind w:right="360"/>
        <w:rPr>
          <w:rFonts w:ascii="Calibri" w:hAnsi="Calibri" w:cs="Calibri"/>
          <w:b/>
          <w:color w:val="FF0000"/>
          <w:szCs w:val="20"/>
        </w:rPr>
      </w:pPr>
    </w:p>
    <w:p w14:paraId="62D1D70E" w14:textId="77777777" w:rsidR="00C91F30" w:rsidRPr="00C91F30" w:rsidRDefault="00C91F30" w:rsidP="00C91F30">
      <w:pPr>
        <w:rPr>
          <w:rFonts w:ascii="Calibri" w:hAnsi="Calibri" w:cs="Calibri"/>
          <w:b/>
          <w:color w:val="FF0000"/>
          <w:szCs w:val="20"/>
        </w:rPr>
      </w:pPr>
      <w:r w:rsidRPr="00C91F30">
        <w:rPr>
          <w:rFonts w:ascii="Calibri" w:hAnsi="Calibri" w:cs="Calibri"/>
          <w:b/>
          <w:color w:val="FF0000"/>
          <w:szCs w:val="20"/>
        </w:rPr>
        <w:br w:type="page"/>
      </w:r>
    </w:p>
    <w:p w14:paraId="27341BA4" w14:textId="77777777" w:rsidR="00C91F30" w:rsidRPr="00C91F30" w:rsidRDefault="00C91F30" w:rsidP="00C91F30">
      <w:pPr>
        <w:rPr>
          <w:rFonts w:ascii="Calibri" w:hAnsi="Calibri" w:cs="Calibri"/>
          <w:b/>
          <w:color w:val="404040"/>
          <w:sz w:val="24"/>
        </w:rPr>
      </w:pPr>
      <w:r w:rsidRPr="00C91F30">
        <w:rPr>
          <w:rFonts w:ascii="Calibri" w:hAnsi="Calibri" w:cs="Calibri"/>
          <w:noProof/>
          <w:color w:val="FF0000"/>
          <w:szCs w:val="20"/>
        </w:rPr>
        <mc:AlternateContent>
          <mc:Choice Requires="wps">
            <w:drawing>
              <wp:anchor distT="0" distB="0" distL="114300" distR="114300" simplePos="0" relativeHeight="251780096" behindDoc="0" locked="0" layoutInCell="1" allowOverlap="1" wp14:anchorId="52FAD3F3" wp14:editId="7BA1E5F1">
                <wp:simplePos x="0" y="0"/>
                <wp:positionH relativeFrom="column">
                  <wp:posOffset>-62751</wp:posOffset>
                </wp:positionH>
                <wp:positionV relativeFrom="paragraph">
                  <wp:posOffset>16510</wp:posOffset>
                </wp:positionV>
                <wp:extent cx="6638925" cy="0"/>
                <wp:effectExtent l="6985" t="13970" r="12065" b="5080"/>
                <wp:wrapNone/>
                <wp:docPr id="51"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20E3E6" id="AutoShape 72" o:spid="_x0000_s1026" type="#_x0000_t32" style="position:absolute;margin-left:-4.95pt;margin-top:1.3pt;width:522.7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" strokecolor="#548dd4"/>
            </w:pict>
          </mc:Fallback>
        </mc:AlternateContent>
      </w:r>
      <w:r w:rsidRPr="00C91F30">
        <w:rPr>
          <w:rFonts w:ascii="Calibri" w:hAnsi="Calibri" w:cs="Calibri"/>
          <w:b/>
          <w:color w:val="404040"/>
          <w:sz w:val="24"/>
        </w:rPr>
        <w:t xml:space="preserve">CR-70 EMERGENCY SOLUTIONS GRANT ASSISTANCE PROVIDED AND OUTCOMES </w:t>
      </w:r>
      <w:r w:rsidRPr="00C91F30">
        <w:rPr>
          <w:rFonts w:ascii="Calibri" w:hAnsi="Calibri" w:cs="Calibri"/>
          <w:i/>
          <w:color w:val="404040"/>
          <w:sz w:val="18"/>
          <w:szCs w:val="18"/>
        </w:rPr>
        <w:t>– 91.520(g)</w:t>
      </w:r>
      <w:r w:rsidRPr="00C91F30">
        <w:rPr>
          <w:rFonts w:ascii="Calibri" w:hAnsi="Calibri" w:cs="Calibri"/>
          <w:b/>
          <w:color w:val="404040"/>
          <w:sz w:val="18"/>
          <w:szCs w:val="18"/>
        </w:rPr>
        <w:t xml:space="preserve"> </w:t>
      </w:r>
    </w:p>
    <w:p w14:paraId="1515171B" w14:textId="77777777" w:rsidR="00C91F30" w:rsidRPr="00C91F30" w:rsidRDefault="00C91F30" w:rsidP="00C91F30">
      <w:pPr>
        <w:spacing w:line="276" w:lineRule="auto"/>
        <w:ind w:right="360"/>
        <w:rPr>
          <w:rFonts w:ascii="Calibri" w:hAnsi="Calibri" w:cs="Calibri"/>
          <w:b/>
          <w:color w:val="404040"/>
          <w:szCs w:val="20"/>
        </w:rPr>
      </w:pPr>
    </w:p>
    <w:p w14:paraId="652426F2" w14:textId="77777777" w:rsidR="00C91F30" w:rsidRPr="00C91F30" w:rsidRDefault="00C91F30" w:rsidP="00C91F30">
      <w:pPr>
        <w:spacing w:line="276" w:lineRule="auto"/>
        <w:ind w:right="360"/>
        <w:rPr>
          <w:rFonts w:ascii="Calibri" w:hAnsi="Calibri" w:cs="Calibri"/>
          <w:b/>
          <w:color w:val="404040"/>
          <w:szCs w:val="20"/>
        </w:rPr>
      </w:pPr>
      <w:r w:rsidRPr="00C91F30">
        <w:rPr>
          <w:rFonts w:ascii="Calibri" w:hAnsi="Calibri" w:cs="Calibri"/>
          <w:b/>
          <w:color w:val="404040"/>
          <w:szCs w:val="20"/>
        </w:rPr>
        <w:tab/>
      </w:r>
      <w:r w:rsidRPr="00C91F30">
        <w:rPr>
          <w:rFonts w:ascii="Calibri" w:hAnsi="Calibri" w:cs="Calibri"/>
          <w:b/>
          <w:color w:val="404040"/>
          <w:szCs w:val="20"/>
        </w:rPr>
        <w:tab/>
      </w:r>
      <w:r w:rsidRPr="00C91F30">
        <w:rPr>
          <w:rFonts w:ascii="Calibri" w:hAnsi="Calibri" w:cs="Calibri"/>
          <w:b/>
          <w:color w:val="404040"/>
          <w:szCs w:val="20"/>
        </w:rPr>
        <w:tab/>
        <w:t xml:space="preserve">    SHELTER UTILITZATION</w:t>
      </w:r>
    </w:p>
    <w:tbl>
      <w:tblPr>
        <w:tblStyle w:val="TableGrid1"/>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94"/>
        <w:gridCol w:w="1674"/>
      </w:tblGrid>
      <w:tr w:rsidR="00C91F30" w:rsidRPr="00C91F30" w14:paraId="47F6B94B" w14:textId="77777777" w:rsidTr="00C91F30">
        <w:trPr>
          <w:jc w:val="center"/>
        </w:trPr>
        <w:tc>
          <w:tcPr>
            <w:tcW w:w="3294" w:type="dxa"/>
            <w:shd w:val="clear" w:color="auto" w:fill="D5DCE4"/>
            <w:vAlign w:val="center"/>
          </w:tcPr>
          <w:p w14:paraId="36F6FE56" w14:textId="77777777" w:rsidR="00C91F30" w:rsidRPr="00C91F30" w:rsidRDefault="00C91F30" w:rsidP="00C91F30">
            <w:pPr>
              <w:spacing w:line="276" w:lineRule="auto"/>
              <w:ind w:right="-108"/>
              <w:jc w:val="center"/>
              <w:rPr>
                <w:rFonts w:ascii="Calibri" w:hAnsi="Calibri" w:cs="Calibri"/>
                <w:b/>
                <w:color w:val="404040"/>
                <w:szCs w:val="20"/>
              </w:rPr>
            </w:pPr>
            <w:r w:rsidRPr="00C91F30">
              <w:rPr>
                <w:rFonts w:ascii="Calibri" w:hAnsi="Calibri" w:cs="Calibri"/>
                <w:b/>
                <w:color w:val="404040"/>
                <w:szCs w:val="20"/>
              </w:rPr>
              <w:t>Shelter Utilization</w:t>
            </w:r>
          </w:p>
        </w:tc>
        <w:tc>
          <w:tcPr>
            <w:tcW w:w="1674" w:type="dxa"/>
            <w:shd w:val="clear" w:color="auto" w:fill="D5DCE4"/>
            <w:vAlign w:val="center"/>
          </w:tcPr>
          <w:p w14:paraId="3C87FCB6" w14:textId="77777777" w:rsidR="00C91F30" w:rsidRPr="00C91F30" w:rsidRDefault="00C91F30" w:rsidP="00C91F30">
            <w:pPr>
              <w:spacing w:line="276" w:lineRule="auto"/>
              <w:ind w:right="-18"/>
              <w:jc w:val="center"/>
              <w:rPr>
                <w:rFonts w:ascii="Calibri" w:hAnsi="Calibri" w:cs="Calibri"/>
                <w:b/>
                <w:color w:val="404040"/>
                <w:szCs w:val="20"/>
              </w:rPr>
            </w:pPr>
            <w:r w:rsidRPr="00C91F30">
              <w:rPr>
                <w:rFonts w:ascii="Calibri" w:hAnsi="Calibri" w:cs="Calibri"/>
                <w:b/>
                <w:color w:val="404040"/>
                <w:szCs w:val="20"/>
              </w:rPr>
              <w:t>Output Number of Bed Nights</w:t>
            </w:r>
          </w:p>
        </w:tc>
      </w:tr>
      <w:tr w:rsidR="00C91F30" w:rsidRPr="00C91F30" w14:paraId="7654C37A" w14:textId="77777777" w:rsidTr="00816745">
        <w:trPr>
          <w:jc w:val="center"/>
        </w:trPr>
        <w:tc>
          <w:tcPr>
            <w:tcW w:w="3294" w:type="dxa"/>
            <w:vAlign w:val="center"/>
          </w:tcPr>
          <w:p w14:paraId="5F2F50A7" w14:textId="77777777" w:rsidR="00C91F30" w:rsidRPr="00C91F30" w:rsidRDefault="00C91F30" w:rsidP="00C91F30">
            <w:pPr>
              <w:spacing w:line="276" w:lineRule="auto"/>
              <w:ind w:right="-108"/>
              <w:rPr>
                <w:rFonts w:ascii="Calibri" w:hAnsi="Calibri" w:cs="Calibri"/>
                <w:color w:val="404040"/>
                <w:szCs w:val="20"/>
              </w:rPr>
            </w:pPr>
            <w:r w:rsidRPr="00C91F30">
              <w:rPr>
                <w:rFonts w:ascii="Calibri" w:hAnsi="Calibri" w:cs="Calibri"/>
                <w:color w:val="404040"/>
                <w:szCs w:val="20"/>
              </w:rPr>
              <w:t>New Units – Rehabbed</w:t>
            </w:r>
          </w:p>
        </w:tc>
        <w:tc>
          <w:tcPr>
            <w:tcW w:w="1674" w:type="dxa"/>
            <w:vAlign w:val="center"/>
          </w:tcPr>
          <w:p w14:paraId="353611C7" w14:textId="77777777" w:rsidR="00C91F30" w:rsidRPr="00C91F30" w:rsidRDefault="00C91F30" w:rsidP="00C91F30">
            <w:pPr>
              <w:spacing w:line="276" w:lineRule="auto"/>
              <w:ind w:right="-18"/>
              <w:jc w:val="center"/>
              <w:rPr>
                <w:rFonts w:ascii="Calibri" w:hAnsi="Calibri" w:cs="Calibri"/>
                <w:color w:val="404040"/>
                <w:szCs w:val="20"/>
              </w:rPr>
            </w:pPr>
            <w:r w:rsidRPr="00C91F30">
              <w:rPr>
                <w:rFonts w:ascii="Calibri" w:hAnsi="Calibri" w:cs="Calibri"/>
                <w:color w:val="404040"/>
                <w:szCs w:val="20"/>
              </w:rPr>
              <w:t>0</w:t>
            </w:r>
          </w:p>
        </w:tc>
      </w:tr>
      <w:tr w:rsidR="00C91F30" w:rsidRPr="00C91F30" w14:paraId="455A5E89" w14:textId="77777777" w:rsidTr="00816745">
        <w:trPr>
          <w:jc w:val="center"/>
        </w:trPr>
        <w:tc>
          <w:tcPr>
            <w:tcW w:w="3294" w:type="dxa"/>
            <w:vAlign w:val="center"/>
          </w:tcPr>
          <w:p w14:paraId="2CDC0466" w14:textId="77777777" w:rsidR="00C91F30" w:rsidRPr="00C91F30" w:rsidRDefault="00C91F30" w:rsidP="00C91F30">
            <w:pPr>
              <w:spacing w:line="276" w:lineRule="auto"/>
              <w:ind w:right="-108"/>
              <w:rPr>
                <w:rFonts w:ascii="Calibri" w:hAnsi="Calibri" w:cs="Calibri"/>
                <w:color w:val="404040"/>
                <w:szCs w:val="20"/>
              </w:rPr>
            </w:pPr>
            <w:r w:rsidRPr="00C91F30">
              <w:rPr>
                <w:rFonts w:ascii="Calibri" w:hAnsi="Calibri" w:cs="Calibri"/>
                <w:color w:val="404040"/>
                <w:szCs w:val="20"/>
              </w:rPr>
              <w:t>New Units – Conversion</w:t>
            </w:r>
          </w:p>
        </w:tc>
        <w:tc>
          <w:tcPr>
            <w:tcW w:w="1674" w:type="dxa"/>
            <w:vAlign w:val="center"/>
          </w:tcPr>
          <w:p w14:paraId="0FA1983F" w14:textId="77777777" w:rsidR="00C91F30" w:rsidRPr="00C91F30" w:rsidRDefault="00C91F30" w:rsidP="00C91F30">
            <w:pPr>
              <w:spacing w:line="276" w:lineRule="auto"/>
              <w:ind w:right="-18"/>
              <w:jc w:val="center"/>
              <w:rPr>
                <w:rFonts w:ascii="Calibri" w:hAnsi="Calibri" w:cs="Calibri"/>
                <w:color w:val="404040"/>
                <w:szCs w:val="20"/>
              </w:rPr>
            </w:pPr>
            <w:r w:rsidRPr="00C91F30">
              <w:rPr>
                <w:rFonts w:ascii="Calibri" w:hAnsi="Calibri" w:cs="Calibri"/>
                <w:color w:val="404040"/>
                <w:szCs w:val="20"/>
              </w:rPr>
              <w:t>0</w:t>
            </w:r>
          </w:p>
        </w:tc>
      </w:tr>
      <w:tr w:rsidR="00C91F30" w:rsidRPr="00C91F30" w14:paraId="2565C74C" w14:textId="77777777" w:rsidTr="00816745">
        <w:trPr>
          <w:jc w:val="center"/>
        </w:trPr>
        <w:tc>
          <w:tcPr>
            <w:tcW w:w="3294" w:type="dxa"/>
            <w:vAlign w:val="center"/>
          </w:tcPr>
          <w:p w14:paraId="36E989B5" w14:textId="77777777" w:rsidR="00C91F30" w:rsidRPr="00C91F30" w:rsidRDefault="00C91F30" w:rsidP="00C91F30">
            <w:pPr>
              <w:spacing w:line="276" w:lineRule="auto"/>
              <w:ind w:right="-108"/>
              <w:rPr>
                <w:rFonts w:ascii="Calibri" w:hAnsi="Calibri" w:cs="Calibri"/>
                <w:color w:val="404040"/>
                <w:szCs w:val="20"/>
              </w:rPr>
            </w:pPr>
            <w:r w:rsidRPr="00C91F30">
              <w:rPr>
                <w:rFonts w:ascii="Calibri" w:hAnsi="Calibri" w:cs="Calibri"/>
                <w:color w:val="404040"/>
                <w:szCs w:val="20"/>
              </w:rPr>
              <w:t>Number of Bed Nights Available</w:t>
            </w:r>
          </w:p>
        </w:tc>
        <w:tc>
          <w:tcPr>
            <w:tcW w:w="1674" w:type="dxa"/>
            <w:vAlign w:val="center"/>
          </w:tcPr>
          <w:p w14:paraId="3854B9B9" w14:textId="2937630B" w:rsidR="00C91F30" w:rsidRPr="00972E5E" w:rsidRDefault="00972E5E" w:rsidP="004F24BF">
            <w:pPr>
              <w:spacing w:line="276" w:lineRule="auto"/>
              <w:ind w:right="-18"/>
              <w:jc w:val="center"/>
              <w:rPr>
                <w:rFonts w:ascii="Calibri" w:hAnsi="Calibri" w:cs="Calibri"/>
                <w:color w:val="404040"/>
                <w:szCs w:val="20"/>
              </w:rPr>
            </w:pPr>
            <w:r w:rsidRPr="00972E5E">
              <w:rPr>
                <w:rFonts w:ascii="Calibri" w:hAnsi="Calibri" w:cs="Calibri"/>
                <w:color w:val="404040"/>
                <w:szCs w:val="20"/>
              </w:rPr>
              <w:t>4</w:t>
            </w:r>
            <w:r w:rsidR="004F24BF">
              <w:rPr>
                <w:rFonts w:ascii="Calibri" w:hAnsi="Calibri" w:cs="Calibri"/>
                <w:color w:val="404040"/>
                <w:szCs w:val="20"/>
              </w:rPr>
              <w:t>54</w:t>
            </w:r>
            <w:r w:rsidRPr="00972E5E">
              <w:rPr>
                <w:rFonts w:ascii="Calibri" w:hAnsi="Calibri" w:cs="Calibri"/>
                <w:color w:val="404040"/>
                <w:szCs w:val="20"/>
              </w:rPr>
              <w:t>,</w:t>
            </w:r>
            <w:r w:rsidR="004F24BF">
              <w:rPr>
                <w:rFonts w:ascii="Calibri" w:hAnsi="Calibri" w:cs="Calibri"/>
                <w:color w:val="404040"/>
                <w:szCs w:val="20"/>
              </w:rPr>
              <w:t>060</w:t>
            </w:r>
          </w:p>
        </w:tc>
      </w:tr>
      <w:tr w:rsidR="00C91F30" w:rsidRPr="00C91F30" w14:paraId="665C61CE" w14:textId="77777777" w:rsidTr="00816745">
        <w:trPr>
          <w:jc w:val="center"/>
        </w:trPr>
        <w:tc>
          <w:tcPr>
            <w:tcW w:w="3294" w:type="dxa"/>
            <w:vAlign w:val="center"/>
          </w:tcPr>
          <w:p w14:paraId="4C9B8753" w14:textId="77777777" w:rsidR="00C91F30" w:rsidRPr="00C91F30" w:rsidRDefault="00C91F30" w:rsidP="00C91F30">
            <w:pPr>
              <w:spacing w:line="276" w:lineRule="auto"/>
              <w:ind w:right="-108"/>
              <w:rPr>
                <w:rFonts w:ascii="Calibri" w:hAnsi="Calibri" w:cs="Calibri"/>
                <w:color w:val="404040"/>
                <w:szCs w:val="20"/>
              </w:rPr>
            </w:pPr>
            <w:r w:rsidRPr="00C91F30">
              <w:rPr>
                <w:rFonts w:ascii="Calibri" w:hAnsi="Calibri" w:cs="Calibri"/>
                <w:color w:val="404040"/>
                <w:szCs w:val="20"/>
              </w:rPr>
              <w:t>Number of Bed Nights Provided</w:t>
            </w:r>
          </w:p>
        </w:tc>
        <w:tc>
          <w:tcPr>
            <w:tcW w:w="1674" w:type="dxa"/>
            <w:vAlign w:val="center"/>
          </w:tcPr>
          <w:p w14:paraId="05A35765" w14:textId="5CD29732" w:rsidR="00C91F30" w:rsidRPr="00972E5E" w:rsidRDefault="001A1F24" w:rsidP="004F24BF">
            <w:pPr>
              <w:spacing w:line="276" w:lineRule="auto"/>
              <w:ind w:right="-18"/>
              <w:jc w:val="center"/>
              <w:rPr>
                <w:rFonts w:ascii="Calibri" w:hAnsi="Calibri" w:cs="Calibri"/>
                <w:color w:val="404040"/>
                <w:szCs w:val="20"/>
              </w:rPr>
            </w:pPr>
            <w:r>
              <w:rPr>
                <w:rFonts w:ascii="Calibri" w:hAnsi="Calibri" w:cs="Calibri"/>
                <w:color w:val="404040"/>
                <w:szCs w:val="20"/>
              </w:rPr>
              <w:t>424,039</w:t>
            </w:r>
          </w:p>
        </w:tc>
      </w:tr>
      <w:tr w:rsidR="00C91F30" w:rsidRPr="00C91F30" w14:paraId="34B9CFE0" w14:textId="77777777" w:rsidTr="00816745">
        <w:trPr>
          <w:jc w:val="center"/>
        </w:trPr>
        <w:tc>
          <w:tcPr>
            <w:tcW w:w="3294" w:type="dxa"/>
            <w:vAlign w:val="center"/>
          </w:tcPr>
          <w:p w14:paraId="01210ACF" w14:textId="77777777" w:rsidR="00C91F30" w:rsidRPr="00972E5E" w:rsidRDefault="00C91F30" w:rsidP="00C91F30">
            <w:pPr>
              <w:spacing w:line="276" w:lineRule="auto"/>
              <w:ind w:right="-18"/>
              <w:jc w:val="right"/>
              <w:rPr>
                <w:rFonts w:ascii="Calibri" w:hAnsi="Calibri" w:cs="Calibri"/>
                <w:b/>
                <w:color w:val="404040"/>
                <w:szCs w:val="20"/>
              </w:rPr>
            </w:pPr>
            <w:r w:rsidRPr="00972E5E">
              <w:rPr>
                <w:rFonts w:ascii="Calibri" w:hAnsi="Calibri" w:cs="Calibri"/>
                <w:b/>
                <w:color w:val="404040"/>
                <w:szCs w:val="20"/>
              </w:rPr>
              <w:t>Capacity Utilization</w:t>
            </w:r>
          </w:p>
        </w:tc>
        <w:tc>
          <w:tcPr>
            <w:tcW w:w="1674" w:type="dxa"/>
            <w:vAlign w:val="center"/>
          </w:tcPr>
          <w:p w14:paraId="6BA85B0C" w14:textId="7EE94A44" w:rsidR="00C91F30" w:rsidRPr="00972E5E" w:rsidRDefault="00972E5E" w:rsidP="00C91F30">
            <w:pPr>
              <w:spacing w:line="276" w:lineRule="auto"/>
              <w:ind w:right="-18"/>
              <w:jc w:val="center"/>
              <w:rPr>
                <w:rFonts w:ascii="Calibri" w:hAnsi="Calibri" w:cs="Calibri"/>
                <w:b/>
                <w:color w:val="404040"/>
                <w:szCs w:val="20"/>
              </w:rPr>
            </w:pPr>
            <w:r w:rsidRPr="00972E5E">
              <w:rPr>
                <w:rFonts w:ascii="Calibri" w:hAnsi="Calibri" w:cs="Calibri"/>
                <w:b/>
                <w:color w:val="404040"/>
                <w:szCs w:val="20"/>
              </w:rPr>
              <w:t>93</w:t>
            </w:r>
            <w:r w:rsidR="001A1F24">
              <w:rPr>
                <w:rFonts w:ascii="Calibri" w:hAnsi="Calibri" w:cs="Calibri"/>
                <w:b/>
                <w:color w:val="404040"/>
                <w:szCs w:val="20"/>
              </w:rPr>
              <w:t>.39</w:t>
            </w:r>
            <w:r w:rsidR="00C91F30" w:rsidRPr="00972E5E">
              <w:rPr>
                <w:rFonts w:ascii="Calibri" w:hAnsi="Calibri" w:cs="Calibri"/>
                <w:b/>
                <w:color w:val="404040"/>
                <w:szCs w:val="20"/>
              </w:rPr>
              <w:t>%</w:t>
            </w:r>
          </w:p>
        </w:tc>
      </w:tr>
    </w:tbl>
    <w:p w14:paraId="622045F2" w14:textId="77777777" w:rsidR="00C91F30" w:rsidRDefault="00C91F30" w:rsidP="00C91F30">
      <w:pPr>
        <w:spacing w:line="276" w:lineRule="auto"/>
        <w:ind w:right="360"/>
        <w:rPr>
          <w:rFonts w:ascii="Calibri" w:hAnsi="Calibri" w:cs="Calibri"/>
          <w:color w:val="FF0000"/>
          <w:szCs w:val="20"/>
        </w:rPr>
      </w:pPr>
    </w:p>
    <w:p w14:paraId="0C0F6C7D" w14:textId="74C6D755" w:rsidR="00B75392" w:rsidRPr="00B75392" w:rsidRDefault="00B75392" w:rsidP="00B75392">
      <w:pPr>
        <w:spacing w:line="360" w:lineRule="auto"/>
        <w:contextualSpacing/>
        <w:rPr>
          <w:rFonts w:ascii="Calibri" w:hAnsi="Calibri"/>
          <w:color w:val="404040"/>
          <w:szCs w:val="20"/>
        </w:rPr>
      </w:pPr>
      <w:r w:rsidRPr="00B75392">
        <w:rPr>
          <w:rFonts w:ascii="Calibri" w:hAnsi="Calibri"/>
          <w:color w:val="404040"/>
          <w:szCs w:val="20"/>
        </w:rPr>
        <w:t xml:space="preserve">Emergency </w:t>
      </w:r>
      <w:r w:rsidR="004F24BF">
        <w:rPr>
          <w:rFonts w:ascii="Calibri" w:hAnsi="Calibri"/>
          <w:color w:val="404040"/>
          <w:szCs w:val="20"/>
        </w:rPr>
        <w:t xml:space="preserve">Shelters including in the Shelter Utilization are The Road Home Downtown Community Shelter and Midvale Family Shelter, the VOA Youth Resource Center, and the YWCA Women in Jeopardy and Residential Self-Sufficiency programs. These were included because Salt Lake City provides either Federal or General funds to these emergency shelter programs. </w:t>
      </w:r>
    </w:p>
    <w:p w14:paraId="3D8E02D5" w14:textId="77777777" w:rsidR="00B75392" w:rsidRPr="00C91F30" w:rsidRDefault="00B75392" w:rsidP="00C91F30">
      <w:pPr>
        <w:spacing w:line="276" w:lineRule="auto"/>
        <w:ind w:right="360"/>
        <w:rPr>
          <w:rFonts w:ascii="Calibri" w:hAnsi="Calibri" w:cs="Calibri"/>
          <w:b/>
          <w:color w:val="FF0000"/>
          <w:szCs w:val="20"/>
        </w:rPr>
      </w:pPr>
    </w:p>
    <w:p w14:paraId="0B2842D6" w14:textId="77777777" w:rsidR="00C91F30" w:rsidRPr="00C91F30" w:rsidRDefault="00C91F30" w:rsidP="00C91F30">
      <w:pPr>
        <w:spacing w:line="360" w:lineRule="auto"/>
        <w:ind w:right="360"/>
        <w:rPr>
          <w:rFonts w:ascii="Calibri" w:hAnsi="Calibri" w:cs="Calibri"/>
          <w:b/>
          <w:color w:val="404040"/>
          <w:szCs w:val="20"/>
        </w:rPr>
      </w:pPr>
      <w:r w:rsidRPr="00C91F30">
        <w:rPr>
          <w:rFonts w:ascii="Calibri" w:hAnsi="Calibri" w:cs="Calibri"/>
          <w:b/>
          <w:color w:val="404040"/>
          <w:szCs w:val="20"/>
        </w:rPr>
        <w:t>PROJECT OUTCOMES DATA MEASURED UNDER THE PERFORMANCE STANDARDS DEVELOPED IN CONSULTATION WITH THE COC(s).</w:t>
      </w:r>
    </w:p>
    <w:p w14:paraId="2298D121" w14:textId="627CEF38" w:rsidR="00C91F30" w:rsidRPr="00C91F30" w:rsidRDefault="00C91F30" w:rsidP="00C91F30">
      <w:pPr>
        <w:spacing w:line="360" w:lineRule="auto"/>
        <w:contextualSpacing/>
        <w:rPr>
          <w:rFonts w:ascii="Calibri" w:hAnsi="Calibri"/>
          <w:color w:val="404040"/>
          <w:szCs w:val="20"/>
        </w:rPr>
      </w:pPr>
      <w:r w:rsidRPr="00C91F30">
        <w:rPr>
          <w:rFonts w:ascii="Calibri" w:hAnsi="Calibri"/>
          <w:color w:val="404040"/>
          <w:szCs w:val="20"/>
        </w:rPr>
        <w:t>Salt Lake City grades programs receiving Emergency Solutions Grant fund</w:t>
      </w:r>
      <w:r w:rsidR="006D5CB8">
        <w:rPr>
          <w:rFonts w:ascii="Calibri" w:hAnsi="Calibri"/>
          <w:color w:val="404040"/>
          <w:szCs w:val="20"/>
        </w:rPr>
        <w:t>ing by how those programs meet o</w:t>
      </w:r>
      <w:r w:rsidRPr="00C91F30">
        <w:rPr>
          <w:rFonts w:ascii="Calibri" w:hAnsi="Calibri"/>
          <w:color w:val="404040"/>
          <w:szCs w:val="20"/>
        </w:rPr>
        <w:t xml:space="preserve">bjectives and </w:t>
      </w:r>
      <w:r w:rsidR="006D5CB8">
        <w:rPr>
          <w:rFonts w:ascii="Calibri" w:hAnsi="Calibri"/>
          <w:color w:val="404040"/>
          <w:szCs w:val="20"/>
        </w:rPr>
        <w:t>o</w:t>
      </w:r>
      <w:r w:rsidRPr="00C91F30">
        <w:rPr>
          <w:rFonts w:ascii="Calibri" w:hAnsi="Calibri"/>
          <w:color w:val="404040"/>
          <w:szCs w:val="20"/>
        </w:rPr>
        <w:t>utcomes as outlined by the U.S. Department of Housing and Urban Development (HUD). Objectives help define the grantee’s intended purpose for the activity being funded. Objective choices include Creating Suitable Living Environments or Providing Decent Housing. Outcomes are benefits to an individual or community that result from the program’s Activities. Outcome choices include Availability/Accessibility and Affordability.</w:t>
      </w:r>
    </w:p>
    <w:p w14:paraId="5B9B9A1B" w14:textId="77777777" w:rsidR="00C91F30" w:rsidRPr="00C91F30" w:rsidRDefault="00C91F30" w:rsidP="00C91F30">
      <w:pPr>
        <w:spacing w:line="360" w:lineRule="auto"/>
        <w:contextualSpacing/>
        <w:rPr>
          <w:rFonts w:ascii="Calibri" w:hAnsi="Calibri"/>
          <w:color w:val="404040"/>
          <w:szCs w:val="20"/>
        </w:rPr>
      </w:pPr>
    </w:p>
    <w:p w14:paraId="7B73E3B5" w14:textId="77777777" w:rsidR="00C91F30" w:rsidRPr="00C91F30" w:rsidRDefault="00C91F30" w:rsidP="00C91F30">
      <w:pPr>
        <w:spacing w:line="360" w:lineRule="auto"/>
        <w:contextualSpacing/>
        <w:rPr>
          <w:rFonts w:ascii="Calibri" w:hAnsi="Calibri"/>
          <w:color w:val="404040"/>
          <w:szCs w:val="20"/>
        </w:rPr>
      </w:pPr>
      <w:r w:rsidRPr="00C91F30">
        <w:rPr>
          <w:rFonts w:ascii="Calibri" w:hAnsi="Calibri"/>
          <w:color w:val="404040"/>
          <w:szCs w:val="20"/>
        </w:rPr>
        <w:t xml:space="preserve">Additionally, the Salt Lake Continuum of Care contracts with the State of Utah to administer HMIS, or Homeless Information Management System. All service agencies in the region and the rest of the state are under a uniform data standard for HUD reporting and local ESG funders. All ESG funded organizations participate in HMIS. HMIS is supported by Client Track. Salt Lake City reviews HMIS data to ensure grantees are properly using funds as promised in their contracts and meeting larger, City, Continuum of Care and State goals. HAND staff participate on the HMIS Steering Committee. </w:t>
      </w:r>
    </w:p>
    <w:p w14:paraId="27F39828" w14:textId="77777777" w:rsidR="00C91F30" w:rsidRPr="00C91F30" w:rsidRDefault="00C91F30" w:rsidP="00C91F30">
      <w:pPr>
        <w:rPr>
          <w:rFonts w:ascii="Calibri" w:hAnsi="Calibri" w:cs="Calibri"/>
          <w:b/>
          <w:color w:val="404040"/>
          <w:szCs w:val="20"/>
        </w:rPr>
      </w:pPr>
      <w:r w:rsidRPr="00C91F30">
        <w:rPr>
          <w:rFonts w:ascii="Calibri" w:hAnsi="Calibri" w:cs="Calibri"/>
          <w:b/>
          <w:color w:val="404040"/>
          <w:szCs w:val="20"/>
        </w:rPr>
        <w:br w:type="page"/>
      </w:r>
    </w:p>
    <w:p w14:paraId="472104AE" w14:textId="77777777" w:rsidR="00C91F30" w:rsidRPr="00C91F30" w:rsidRDefault="00C91F30" w:rsidP="00C91F30">
      <w:pPr>
        <w:rPr>
          <w:rFonts w:ascii="Calibri" w:hAnsi="Calibri" w:cs="Calibri"/>
          <w:color w:val="404040"/>
          <w:szCs w:val="20"/>
        </w:rPr>
      </w:pPr>
      <w:r w:rsidRPr="00C91F30">
        <w:rPr>
          <w:rFonts w:ascii="Calibri" w:hAnsi="Calibri" w:cs="Calibri"/>
          <w:noProof/>
          <w:color w:val="404040"/>
          <w:szCs w:val="20"/>
        </w:rPr>
        <mc:AlternateContent>
          <mc:Choice Requires="wps">
            <w:drawing>
              <wp:anchor distT="0" distB="0" distL="114300" distR="114300" simplePos="0" relativeHeight="251781120" behindDoc="0" locked="0" layoutInCell="1" allowOverlap="1" wp14:anchorId="0CFF587F" wp14:editId="3AF2C30C">
                <wp:simplePos x="0" y="0"/>
                <wp:positionH relativeFrom="column">
                  <wp:posOffset>-145415</wp:posOffset>
                </wp:positionH>
                <wp:positionV relativeFrom="paragraph">
                  <wp:posOffset>147955</wp:posOffset>
                </wp:positionV>
                <wp:extent cx="6638925" cy="0"/>
                <wp:effectExtent l="6985" t="5080" r="12065" b="13970"/>
                <wp:wrapNone/>
                <wp:docPr id="52"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E677F7" id="AutoShape 73" o:spid="_x0000_s1026" type="#_x0000_t32" style="position:absolute;margin-left:-11.45pt;margin-top:11.65pt;width:522.75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" strokecolor="#548dd4"/>
            </w:pict>
          </mc:Fallback>
        </mc:AlternateContent>
      </w:r>
    </w:p>
    <w:p w14:paraId="58BD725B" w14:textId="77777777" w:rsidR="00C91F30" w:rsidRPr="00C91F30" w:rsidRDefault="00C91F30" w:rsidP="00C91F30">
      <w:pPr>
        <w:spacing w:line="276" w:lineRule="auto"/>
        <w:ind w:right="360"/>
        <w:rPr>
          <w:rFonts w:ascii="Calibri" w:hAnsi="Calibri" w:cs="Calibri"/>
          <w:b/>
          <w:color w:val="404040"/>
          <w:sz w:val="24"/>
        </w:rPr>
      </w:pPr>
      <w:r w:rsidRPr="00C91F30">
        <w:rPr>
          <w:rFonts w:ascii="Calibri" w:hAnsi="Calibri" w:cs="Calibri"/>
          <w:b/>
          <w:color w:val="404040"/>
          <w:sz w:val="24"/>
        </w:rPr>
        <w:t xml:space="preserve">CR-75 ESG EXPENDITURES </w:t>
      </w:r>
    </w:p>
    <w:p w14:paraId="76D90384" w14:textId="77777777" w:rsidR="00C91F30" w:rsidRPr="00C91F30" w:rsidRDefault="00C91F30" w:rsidP="00C91F30">
      <w:pPr>
        <w:spacing w:line="276" w:lineRule="auto"/>
        <w:ind w:right="360"/>
        <w:rPr>
          <w:rFonts w:ascii="Calibri" w:hAnsi="Calibri" w:cs="Calibri"/>
          <w:i/>
          <w:color w:val="404040"/>
          <w:sz w:val="16"/>
          <w:szCs w:val="16"/>
        </w:rPr>
      </w:pPr>
      <w:r w:rsidRPr="00C91F30">
        <w:rPr>
          <w:rFonts w:ascii="Calibri" w:hAnsi="Calibri" w:cs="Calibri"/>
          <w:i/>
          <w:color w:val="404040"/>
          <w:sz w:val="16"/>
          <w:szCs w:val="16"/>
        </w:rPr>
        <w:t>Identify how ESG funds were spent over the last three program years.</w:t>
      </w:r>
    </w:p>
    <w:p w14:paraId="7E68E5D2" w14:textId="77777777" w:rsidR="00C91F30" w:rsidRPr="00C91F30" w:rsidRDefault="00C91F30" w:rsidP="00C91F30">
      <w:pPr>
        <w:spacing w:line="276" w:lineRule="auto"/>
        <w:ind w:right="360"/>
        <w:rPr>
          <w:rFonts w:ascii="Calibri" w:hAnsi="Calibri" w:cs="Calibri"/>
          <w:b/>
          <w:color w:val="404040"/>
          <w:szCs w:val="20"/>
        </w:rPr>
      </w:pPr>
    </w:p>
    <w:p w14:paraId="1945A7B2" w14:textId="77777777" w:rsidR="00C91F30" w:rsidRPr="00C91F30" w:rsidRDefault="00C91F30" w:rsidP="00C91F30">
      <w:pPr>
        <w:spacing w:line="276" w:lineRule="auto"/>
        <w:ind w:right="360"/>
        <w:rPr>
          <w:rFonts w:ascii="Calibri" w:hAnsi="Calibri" w:cs="Calibri"/>
          <w:b/>
          <w:i/>
          <w:color w:val="404040"/>
          <w:szCs w:val="20"/>
        </w:rPr>
      </w:pPr>
      <w:r w:rsidRPr="00C91F30">
        <w:rPr>
          <w:rFonts w:ascii="Calibri" w:hAnsi="Calibri" w:cs="Calibri"/>
          <w:b/>
          <w:color w:val="404040"/>
          <w:szCs w:val="20"/>
        </w:rPr>
        <w:tab/>
        <w:t>ESG EXPENDITURES FOR HOMELESS PREVENTION ACTIVITIES</w:t>
      </w:r>
    </w:p>
    <w:tbl>
      <w:tblPr>
        <w:tblStyle w:val="TableGrid1"/>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45"/>
        <w:gridCol w:w="1413"/>
        <w:gridCol w:w="1355"/>
        <w:gridCol w:w="1355"/>
        <w:gridCol w:w="1355"/>
        <w:gridCol w:w="1227"/>
      </w:tblGrid>
      <w:tr w:rsidR="00C91F30" w:rsidRPr="00C91F30" w14:paraId="4A94609D" w14:textId="77777777" w:rsidTr="00C91F30">
        <w:trPr>
          <w:jc w:val="center"/>
        </w:trPr>
        <w:tc>
          <w:tcPr>
            <w:tcW w:w="2645" w:type="dxa"/>
            <w:shd w:val="clear" w:color="auto" w:fill="D5DCE4"/>
            <w:vAlign w:val="center"/>
          </w:tcPr>
          <w:p w14:paraId="203F1BA0" w14:textId="77777777" w:rsidR="00C91F30" w:rsidRPr="00C91F30" w:rsidRDefault="00C91F30" w:rsidP="00C91F30">
            <w:pPr>
              <w:spacing w:line="276" w:lineRule="auto"/>
              <w:ind w:right="-72"/>
              <w:jc w:val="center"/>
              <w:rPr>
                <w:rFonts w:ascii="Calibri" w:hAnsi="Calibri" w:cs="Calibri"/>
                <w:b/>
                <w:color w:val="404040"/>
                <w:szCs w:val="20"/>
              </w:rPr>
            </w:pPr>
            <w:r w:rsidRPr="00C91F30">
              <w:rPr>
                <w:rFonts w:ascii="Calibri" w:hAnsi="Calibri" w:cs="Calibri"/>
                <w:b/>
                <w:color w:val="404040"/>
                <w:szCs w:val="20"/>
              </w:rPr>
              <w:t>Activity</w:t>
            </w:r>
          </w:p>
        </w:tc>
        <w:tc>
          <w:tcPr>
            <w:tcW w:w="1413" w:type="dxa"/>
            <w:shd w:val="clear" w:color="auto" w:fill="D5DCE4"/>
          </w:tcPr>
          <w:p w14:paraId="3013994D" w14:textId="77777777" w:rsidR="00C91F30" w:rsidRPr="00C91F30" w:rsidRDefault="00C91F30" w:rsidP="00C91F30">
            <w:pPr>
              <w:spacing w:line="276" w:lineRule="auto"/>
              <w:ind w:right="-72"/>
              <w:jc w:val="center"/>
            </w:pPr>
            <w:r w:rsidRPr="00C91F30">
              <w:rPr>
                <w:rFonts w:ascii="Calibri" w:hAnsi="Calibri" w:cs="Calibri"/>
                <w:b/>
                <w:color w:val="404040"/>
                <w:szCs w:val="20"/>
              </w:rPr>
              <w:t>2013-14</w:t>
            </w:r>
          </w:p>
        </w:tc>
        <w:tc>
          <w:tcPr>
            <w:tcW w:w="1355" w:type="dxa"/>
            <w:shd w:val="clear" w:color="auto" w:fill="D5DCE4"/>
          </w:tcPr>
          <w:p w14:paraId="7AECE015" w14:textId="77777777" w:rsidR="00C91F30" w:rsidRPr="00C91F30" w:rsidRDefault="00C91F30" w:rsidP="00C91F30">
            <w:pPr>
              <w:spacing w:line="276" w:lineRule="auto"/>
              <w:ind w:right="-72"/>
              <w:jc w:val="center"/>
              <w:rPr>
                <w:rFonts w:ascii="Calibri" w:hAnsi="Calibri" w:cs="Calibri"/>
                <w:b/>
                <w:color w:val="404040"/>
                <w:szCs w:val="20"/>
              </w:rPr>
            </w:pPr>
            <w:r w:rsidRPr="00C91F30">
              <w:rPr>
                <w:rFonts w:ascii="Calibri" w:hAnsi="Calibri" w:cs="Calibri"/>
                <w:b/>
                <w:color w:val="404040"/>
                <w:szCs w:val="20"/>
              </w:rPr>
              <w:t>2014-15</w:t>
            </w:r>
          </w:p>
        </w:tc>
        <w:tc>
          <w:tcPr>
            <w:tcW w:w="1355" w:type="dxa"/>
            <w:shd w:val="clear" w:color="auto" w:fill="D5DCE4"/>
          </w:tcPr>
          <w:p w14:paraId="6C5D7FE9" w14:textId="77777777" w:rsidR="00C91F30" w:rsidRPr="00C91F30" w:rsidRDefault="00C91F30" w:rsidP="00C91F30">
            <w:pPr>
              <w:spacing w:line="276" w:lineRule="auto"/>
              <w:ind w:right="-72"/>
              <w:jc w:val="center"/>
              <w:rPr>
                <w:rFonts w:ascii="Calibri" w:hAnsi="Calibri" w:cs="Calibri"/>
                <w:b/>
                <w:color w:val="404040"/>
                <w:szCs w:val="20"/>
              </w:rPr>
            </w:pPr>
            <w:r w:rsidRPr="00C91F30">
              <w:rPr>
                <w:rFonts w:ascii="Calibri" w:hAnsi="Calibri" w:cs="Calibri"/>
                <w:b/>
                <w:color w:val="404040"/>
                <w:szCs w:val="20"/>
              </w:rPr>
              <w:t>2015-16</w:t>
            </w:r>
          </w:p>
        </w:tc>
        <w:tc>
          <w:tcPr>
            <w:tcW w:w="1355" w:type="dxa"/>
            <w:shd w:val="clear" w:color="auto" w:fill="D5DCE4"/>
          </w:tcPr>
          <w:p w14:paraId="5A00F844" w14:textId="77777777" w:rsidR="00C91F30" w:rsidRPr="00C91F30" w:rsidRDefault="00C91F30" w:rsidP="00C91F30">
            <w:pPr>
              <w:spacing w:line="276" w:lineRule="auto"/>
              <w:ind w:right="-72"/>
              <w:jc w:val="center"/>
              <w:rPr>
                <w:rFonts w:ascii="Calibri" w:hAnsi="Calibri" w:cs="Calibri"/>
                <w:b/>
                <w:color w:val="404040"/>
                <w:szCs w:val="20"/>
              </w:rPr>
            </w:pPr>
            <w:r w:rsidRPr="00C91F30">
              <w:rPr>
                <w:rFonts w:ascii="Calibri" w:hAnsi="Calibri" w:cs="Calibri"/>
                <w:b/>
                <w:color w:val="404040"/>
                <w:szCs w:val="20"/>
              </w:rPr>
              <w:t>2016-17</w:t>
            </w:r>
          </w:p>
        </w:tc>
        <w:tc>
          <w:tcPr>
            <w:tcW w:w="1227" w:type="dxa"/>
            <w:shd w:val="clear" w:color="auto" w:fill="D5DCE4"/>
          </w:tcPr>
          <w:p w14:paraId="724134D2" w14:textId="77777777" w:rsidR="00C91F30" w:rsidRPr="00C91F30" w:rsidRDefault="00C91F30" w:rsidP="00C91F30">
            <w:pPr>
              <w:spacing w:line="276" w:lineRule="auto"/>
              <w:ind w:right="-72"/>
              <w:jc w:val="center"/>
              <w:rPr>
                <w:rFonts w:ascii="Calibri" w:hAnsi="Calibri" w:cs="Calibri"/>
                <w:b/>
                <w:color w:val="404040"/>
                <w:szCs w:val="20"/>
              </w:rPr>
            </w:pPr>
            <w:r w:rsidRPr="00C91F30">
              <w:rPr>
                <w:rFonts w:ascii="Calibri" w:hAnsi="Calibri" w:cs="Calibri"/>
                <w:b/>
                <w:color w:val="404040"/>
                <w:szCs w:val="20"/>
              </w:rPr>
              <w:t>2017-18</w:t>
            </w:r>
          </w:p>
        </w:tc>
      </w:tr>
      <w:tr w:rsidR="00C91F30" w:rsidRPr="00C91F30" w14:paraId="442E4CD2" w14:textId="77777777" w:rsidTr="00816745">
        <w:trPr>
          <w:jc w:val="center"/>
        </w:trPr>
        <w:tc>
          <w:tcPr>
            <w:tcW w:w="2645" w:type="dxa"/>
            <w:vAlign w:val="center"/>
          </w:tcPr>
          <w:p w14:paraId="394B387C" w14:textId="77777777" w:rsidR="00C91F30" w:rsidRPr="00C91F30" w:rsidRDefault="00C91F30" w:rsidP="00C91F30">
            <w:pPr>
              <w:spacing w:line="276" w:lineRule="auto"/>
              <w:ind w:right="-72"/>
              <w:rPr>
                <w:rFonts w:ascii="Calibri" w:hAnsi="Calibri" w:cs="Calibri"/>
                <w:color w:val="404040"/>
                <w:szCs w:val="20"/>
              </w:rPr>
            </w:pPr>
            <w:r w:rsidRPr="00C91F30">
              <w:rPr>
                <w:rFonts w:ascii="Calibri" w:hAnsi="Calibri" w:cs="Calibri"/>
                <w:color w:val="404040"/>
                <w:szCs w:val="20"/>
              </w:rPr>
              <w:t>Rental Assistance</w:t>
            </w:r>
          </w:p>
        </w:tc>
        <w:tc>
          <w:tcPr>
            <w:tcW w:w="1413" w:type="dxa"/>
          </w:tcPr>
          <w:p w14:paraId="15C2B189"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$6,440</w:t>
            </w:r>
          </w:p>
        </w:tc>
        <w:tc>
          <w:tcPr>
            <w:tcW w:w="1355" w:type="dxa"/>
          </w:tcPr>
          <w:p w14:paraId="692188FE"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$4,560</w:t>
            </w:r>
          </w:p>
        </w:tc>
        <w:tc>
          <w:tcPr>
            <w:tcW w:w="1355" w:type="dxa"/>
          </w:tcPr>
          <w:p w14:paraId="46916944"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$67,980</w:t>
            </w:r>
          </w:p>
        </w:tc>
        <w:tc>
          <w:tcPr>
            <w:tcW w:w="1355" w:type="dxa"/>
          </w:tcPr>
          <w:p w14:paraId="53802C3F"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$22,000</w:t>
            </w:r>
          </w:p>
        </w:tc>
        <w:tc>
          <w:tcPr>
            <w:tcW w:w="1227" w:type="dxa"/>
          </w:tcPr>
          <w:p w14:paraId="772E3EDB"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$30,000</w:t>
            </w:r>
          </w:p>
        </w:tc>
      </w:tr>
      <w:tr w:rsidR="00C91F30" w:rsidRPr="00C91F30" w14:paraId="0AC2FEFD" w14:textId="77777777" w:rsidTr="00816745">
        <w:trPr>
          <w:jc w:val="center"/>
        </w:trPr>
        <w:tc>
          <w:tcPr>
            <w:tcW w:w="2645" w:type="dxa"/>
            <w:vAlign w:val="center"/>
          </w:tcPr>
          <w:p w14:paraId="3F45F878" w14:textId="77777777" w:rsidR="00C91F30" w:rsidRPr="00C91F30" w:rsidRDefault="00C91F30" w:rsidP="00C91F30">
            <w:pPr>
              <w:spacing w:line="276" w:lineRule="auto"/>
              <w:ind w:right="-72"/>
              <w:rPr>
                <w:rFonts w:ascii="Calibri" w:hAnsi="Calibri" w:cs="Calibri"/>
                <w:color w:val="404040"/>
                <w:szCs w:val="20"/>
              </w:rPr>
            </w:pPr>
            <w:r w:rsidRPr="00C91F30">
              <w:rPr>
                <w:rFonts w:ascii="Calibri" w:hAnsi="Calibri" w:cs="Calibri"/>
                <w:color w:val="404040"/>
                <w:szCs w:val="20"/>
              </w:rPr>
              <w:t>Housing Relocation &amp; Stabilization Services: Financial Assistance</w:t>
            </w:r>
          </w:p>
        </w:tc>
        <w:tc>
          <w:tcPr>
            <w:tcW w:w="1413" w:type="dxa"/>
          </w:tcPr>
          <w:p w14:paraId="7A59E7CF"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0</w:t>
            </w:r>
          </w:p>
        </w:tc>
        <w:tc>
          <w:tcPr>
            <w:tcW w:w="1355" w:type="dxa"/>
          </w:tcPr>
          <w:p w14:paraId="661EF6B2"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0</w:t>
            </w:r>
          </w:p>
        </w:tc>
        <w:tc>
          <w:tcPr>
            <w:tcW w:w="1355" w:type="dxa"/>
          </w:tcPr>
          <w:p w14:paraId="4CEAE64D"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0</w:t>
            </w:r>
          </w:p>
        </w:tc>
        <w:tc>
          <w:tcPr>
            <w:tcW w:w="1355" w:type="dxa"/>
          </w:tcPr>
          <w:p w14:paraId="6A91F76E"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0</w:t>
            </w:r>
          </w:p>
        </w:tc>
        <w:tc>
          <w:tcPr>
            <w:tcW w:w="1227" w:type="dxa"/>
          </w:tcPr>
          <w:p w14:paraId="7CCE2088"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0</w:t>
            </w:r>
          </w:p>
        </w:tc>
      </w:tr>
      <w:tr w:rsidR="00C91F30" w:rsidRPr="00C91F30" w14:paraId="00D7CDD7" w14:textId="77777777" w:rsidTr="00816745">
        <w:trPr>
          <w:jc w:val="center"/>
        </w:trPr>
        <w:tc>
          <w:tcPr>
            <w:tcW w:w="2645" w:type="dxa"/>
            <w:vAlign w:val="center"/>
          </w:tcPr>
          <w:p w14:paraId="75BCF3DE" w14:textId="77777777" w:rsidR="00C91F30" w:rsidRPr="00C91F30" w:rsidRDefault="00C91F30" w:rsidP="00C91F30">
            <w:pPr>
              <w:spacing w:line="276" w:lineRule="auto"/>
              <w:ind w:right="-72"/>
              <w:rPr>
                <w:rFonts w:ascii="Calibri" w:hAnsi="Calibri" w:cs="Calibri"/>
                <w:color w:val="404040"/>
                <w:szCs w:val="20"/>
              </w:rPr>
            </w:pPr>
            <w:r w:rsidRPr="00C91F30">
              <w:rPr>
                <w:rFonts w:ascii="Calibri" w:hAnsi="Calibri" w:cs="Calibri"/>
                <w:color w:val="404040"/>
                <w:szCs w:val="20"/>
              </w:rPr>
              <w:t>Housing Relocation &amp; Stabilization Services: Services</w:t>
            </w:r>
          </w:p>
        </w:tc>
        <w:tc>
          <w:tcPr>
            <w:tcW w:w="1413" w:type="dxa"/>
          </w:tcPr>
          <w:p w14:paraId="6CE4822F"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$4,560</w:t>
            </w:r>
          </w:p>
        </w:tc>
        <w:tc>
          <w:tcPr>
            <w:tcW w:w="1355" w:type="dxa"/>
          </w:tcPr>
          <w:p w14:paraId="15632CB4"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$5,593</w:t>
            </w:r>
          </w:p>
        </w:tc>
        <w:tc>
          <w:tcPr>
            <w:tcW w:w="1355" w:type="dxa"/>
          </w:tcPr>
          <w:p w14:paraId="18B6B0F6"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0</w:t>
            </w:r>
          </w:p>
        </w:tc>
        <w:tc>
          <w:tcPr>
            <w:tcW w:w="1355" w:type="dxa"/>
          </w:tcPr>
          <w:p w14:paraId="33AF905B"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0</w:t>
            </w:r>
          </w:p>
        </w:tc>
        <w:tc>
          <w:tcPr>
            <w:tcW w:w="1227" w:type="dxa"/>
          </w:tcPr>
          <w:p w14:paraId="7141B55E"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0</w:t>
            </w:r>
          </w:p>
        </w:tc>
      </w:tr>
      <w:tr w:rsidR="00C91F30" w:rsidRPr="00C91F30" w14:paraId="5E146361" w14:textId="77777777" w:rsidTr="00816745">
        <w:trPr>
          <w:jc w:val="center"/>
        </w:trPr>
        <w:tc>
          <w:tcPr>
            <w:tcW w:w="2645" w:type="dxa"/>
            <w:vAlign w:val="center"/>
          </w:tcPr>
          <w:p w14:paraId="720059CA" w14:textId="77777777" w:rsidR="00C91F30" w:rsidRPr="00C91F30" w:rsidRDefault="00C91F30" w:rsidP="00C91F30">
            <w:pPr>
              <w:spacing w:line="276" w:lineRule="auto"/>
              <w:ind w:right="-72"/>
              <w:rPr>
                <w:rFonts w:ascii="Calibri" w:hAnsi="Calibri" w:cs="Calibri"/>
                <w:color w:val="404040"/>
                <w:szCs w:val="20"/>
              </w:rPr>
            </w:pPr>
            <w:r w:rsidRPr="00C91F30">
              <w:rPr>
                <w:rFonts w:ascii="Calibri" w:hAnsi="Calibri" w:cs="Calibri"/>
                <w:color w:val="404040"/>
                <w:szCs w:val="20"/>
              </w:rPr>
              <w:t>Homeless Prevention</w:t>
            </w:r>
          </w:p>
        </w:tc>
        <w:tc>
          <w:tcPr>
            <w:tcW w:w="1413" w:type="dxa"/>
          </w:tcPr>
          <w:p w14:paraId="12818C6E"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0</w:t>
            </w:r>
          </w:p>
        </w:tc>
        <w:tc>
          <w:tcPr>
            <w:tcW w:w="1355" w:type="dxa"/>
          </w:tcPr>
          <w:p w14:paraId="0EF50226"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0</w:t>
            </w:r>
          </w:p>
        </w:tc>
        <w:tc>
          <w:tcPr>
            <w:tcW w:w="1355" w:type="dxa"/>
          </w:tcPr>
          <w:p w14:paraId="68602965"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0</w:t>
            </w:r>
          </w:p>
        </w:tc>
        <w:tc>
          <w:tcPr>
            <w:tcW w:w="1355" w:type="dxa"/>
          </w:tcPr>
          <w:p w14:paraId="4C20ED5E"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0</w:t>
            </w:r>
          </w:p>
        </w:tc>
        <w:tc>
          <w:tcPr>
            <w:tcW w:w="1227" w:type="dxa"/>
          </w:tcPr>
          <w:p w14:paraId="263F1BA6"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0</w:t>
            </w:r>
          </w:p>
        </w:tc>
      </w:tr>
      <w:tr w:rsidR="00C91F30" w:rsidRPr="00C91F30" w14:paraId="0EDBD117" w14:textId="77777777" w:rsidTr="00816745">
        <w:trPr>
          <w:jc w:val="center"/>
        </w:trPr>
        <w:tc>
          <w:tcPr>
            <w:tcW w:w="2645" w:type="dxa"/>
            <w:vAlign w:val="center"/>
          </w:tcPr>
          <w:p w14:paraId="4F35634B" w14:textId="77777777" w:rsidR="00C91F30" w:rsidRPr="00C91F30" w:rsidRDefault="00C91F30" w:rsidP="00C91F30">
            <w:pPr>
              <w:spacing w:line="276" w:lineRule="auto"/>
              <w:ind w:right="-72"/>
              <w:jc w:val="right"/>
              <w:rPr>
                <w:rFonts w:ascii="Calibri" w:hAnsi="Calibri" w:cs="Calibri"/>
                <w:b/>
                <w:color w:val="404040"/>
                <w:szCs w:val="20"/>
              </w:rPr>
            </w:pPr>
            <w:r w:rsidRPr="00C91F30">
              <w:rPr>
                <w:rFonts w:ascii="Calibri" w:hAnsi="Calibri" w:cs="Calibri"/>
                <w:b/>
                <w:color w:val="404040"/>
                <w:szCs w:val="20"/>
              </w:rPr>
              <w:t>Total</w:t>
            </w:r>
          </w:p>
        </w:tc>
        <w:tc>
          <w:tcPr>
            <w:tcW w:w="1413" w:type="dxa"/>
          </w:tcPr>
          <w:p w14:paraId="4E2F1308" w14:textId="77777777" w:rsidR="00C91F30" w:rsidRPr="00C91F30" w:rsidRDefault="00C91F30" w:rsidP="00C91F30">
            <w:pPr>
              <w:spacing w:line="276" w:lineRule="auto"/>
              <w:ind w:right="-72"/>
              <w:jc w:val="center"/>
            </w:pPr>
            <w:r w:rsidRPr="00C91F30">
              <w:rPr>
                <w:rFonts w:ascii="Calibri" w:hAnsi="Calibri" w:cs="Calibri"/>
                <w:b/>
                <w:color w:val="404040"/>
                <w:szCs w:val="20"/>
              </w:rPr>
              <w:t>$11,000</w:t>
            </w:r>
          </w:p>
        </w:tc>
        <w:tc>
          <w:tcPr>
            <w:tcW w:w="1355" w:type="dxa"/>
          </w:tcPr>
          <w:p w14:paraId="7EF9EB20" w14:textId="77777777" w:rsidR="00C91F30" w:rsidRPr="00C91F30" w:rsidRDefault="00C91F30" w:rsidP="00C91F30">
            <w:pPr>
              <w:spacing w:line="276" w:lineRule="auto"/>
              <w:ind w:right="-72"/>
              <w:jc w:val="center"/>
              <w:rPr>
                <w:rFonts w:ascii="Calibri" w:hAnsi="Calibri" w:cs="Calibri"/>
                <w:b/>
                <w:color w:val="404040"/>
                <w:szCs w:val="20"/>
              </w:rPr>
            </w:pPr>
            <w:r w:rsidRPr="00C91F30">
              <w:rPr>
                <w:rFonts w:ascii="Calibri" w:hAnsi="Calibri" w:cs="Calibri"/>
                <w:b/>
                <w:color w:val="404040"/>
                <w:szCs w:val="20"/>
              </w:rPr>
              <w:t>$10,153</w:t>
            </w:r>
          </w:p>
        </w:tc>
        <w:tc>
          <w:tcPr>
            <w:tcW w:w="1355" w:type="dxa"/>
          </w:tcPr>
          <w:p w14:paraId="54BE26EE" w14:textId="77777777" w:rsidR="00C91F30" w:rsidRPr="00C91F30" w:rsidRDefault="00C91F30" w:rsidP="00C91F30">
            <w:pPr>
              <w:spacing w:line="276" w:lineRule="auto"/>
              <w:ind w:right="-72"/>
              <w:jc w:val="center"/>
              <w:rPr>
                <w:rFonts w:ascii="Calibri" w:hAnsi="Calibri" w:cs="Calibri"/>
                <w:b/>
                <w:color w:val="404040"/>
                <w:szCs w:val="20"/>
              </w:rPr>
            </w:pPr>
            <w:r w:rsidRPr="00C91F30">
              <w:rPr>
                <w:rFonts w:ascii="Calibri" w:hAnsi="Calibri" w:cs="Calibri"/>
                <w:b/>
                <w:color w:val="404040"/>
                <w:szCs w:val="20"/>
              </w:rPr>
              <w:t>$67,980</w:t>
            </w:r>
          </w:p>
        </w:tc>
        <w:tc>
          <w:tcPr>
            <w:tcW w:w="1355" w:type="dxa"/>
          </w:tcPr>
          <w:p w14:paraId="1DE85F7D" w14:textId="77777777" w:rsidR="00C91F30" w:rsidRPr="00C91F30" w:rsidRDefault="00C91F30" w:rsidP="00C91F30">
            <w:pPr>
              <w:spacing w:line="276" w:lineRule="auto"/>
              <w:ind w:right="-72"/>
              <w:jc w:val="center"/>
              <w:rPr>
                <w:rFonts w:ascii="Calibri" w:hAnsi="Calibri" w:cs="Calibri"/>
                <w:b/>
                <w:color w:val="404040"/>
                <w:szCs w:val="20"/>
              </w:rPr>
            </w:pPr>
            <w:r w:rsidRPr="00C91F30">
              <w:rPr>
                <w:rFonts w:ascii="Calibri" w:hAnsi="Calibri" w:cs="Calibri"/>
                <w:b/>
                <w:color w:val="404040"/>
                <w:szCs w:val="20"/>
              </w:rPr>
              <w:t>$22,000</w:t>
            </w:r>
          </w:p>
        </w:tc>
        <w:tc>
          <w:tcPr>
            <w:tcW w:w="1227" w:type="dxa"/>
          </w:tcPr>
          <w:p w14:paraId="76A40EE1" w14:textId="77777777" w:rsidR="00C91F30" w:rsidRPr="00C91F30" w:rsidRDefault="00C91F30" w:rsidP="00C91F30">
            <w:pPr>
              <w:spacing w:line="276" w:lineRule="auto"/>
              <w:ind w:right="-72"/>
              <w:jc w:val="center"/>
              <w:rPr>
                <w:rFonts w:ascii="Calibri" w:hAnsi="Calibri" w:cs="Calibri"/>
                <w:b/>
                <w:color w:val="404040"/>
                <w:szCs w:val="20"/>
              </w:rPr>
            </w:pPr>
            <w:r w:rsidRPr="00C91F30">
              <w:rPr>
                <w:rFonts w:ascii="Calibri" w:hAnsi="Calibri" w:cs="Calibri"/>
                <w:b/>
                <w:color w:val="404040"/>
                <w:szCs w:val="20"/>
              </w:rPr>
              <w:t>$30,000</w:t>
            </w:r>
          </w:p>
        </w:tc>
      </w:tr>
    </w:tbl>
    <w:p w14:paraId="21F122DE" w14:textId="77777777" w:rsidR="00C91F30" w:rsidRPr="00C91F30" w:rsidRDefault="00C91F30" w:rsidP="00C91F30">
      <w:pPr>
        <w:spacing w:line="276" w:lineRule="auto"/>
        <w:ind w:right="360"/>
        <w:rPr>
          <w:rFonts w:ascii="Calibri" w:hAnsi="Calibri" w:cs="Calibri"/>
          <w:color w:val="404040"/>
          <w:szCs w:val="20"/>
        </w:rPr>
      </w:pPr>
    </w:p>
    <w:p w14:paraId="3AD36B60" w14:textId="77777777" w:rsidR="00C91F30" w:rsidRPr="00C91F30" w:rsidRDefault="00C91F30" w:rsidP="00C91F30">
      <w:pPr>
        <w:spacing w:line="276" w:lineRule="auto"/>
        <w:ind w:right="360"/>
        <w:rPr>
          <w:rFonts w:ascii="Calibri" w:hAnsi="Calibri" w:cs="Calibri"/>
          <w:b/>
          <w:i/>
          <w:color w:val="404040"/>
          <w:szCs w:val="20"/>
        </w:rPr>
      </w:pPr>
    </w:p>
    <w:p w14:paraId="5BCB1BB6" w14:textId="77777777" w:rsidR="00C91F30" w:rsidRPr="00C91F30" w:rsidRDefault="00C91F30" w:rsidP="00C91F30">
      <w:pPr>
        <w:spacing w:line="276" w:lineRule="auto"/>
        <w:ind w:right="360"/>
        <w:rPr>
          <w:rFonts w:ascii="Calibri" w:hAnsi="Calibri" w:cs="Calibri"/>
          <w:b/>
          <w:color w:val="404040"/>
          <w:szCs w:val="20"/>
        </w:rPr>
      </w:pPr>
      <w:r w:rsidRPr="00C91F30">
        <w:rPr>
          <w:rFonts w:ascii="Calibri" w:hAnsi="Calibri" w:cs="Calibri"/>
          <w:b/>
          <w:color w:val="404040"/>
          <w:szCs w:val="20"/>
        </w:rPr>
        <w:tab/>
        <w:t>ESG EXPENDITURES FOR RAPID RE-HOUSING ACTIVITIES</w:t>
      </w:r>
    </w:p>
    <w:tbl>
      <w:tblPr>
        <w:tblStyle w:val="TableGrid1"/>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62"/>
        <w:gridCol w:w="1382"/>
        <w:gridCol w:w="1328"/>
        <w:gridCol w:w="1328"/>
        <w:gridCol w:w="1328"/>
        <w:gridCol w:w="1247"/>
      </w:tblGrid>
      <w:tr w:rsidR="00C91F30" w:rsidRPr="00C91F30" w14:paraId="39A6EC6B" w14:textId="77777777" w:rsidTr="00C91F30">
        <w:trPr>
          <w:jc w:val="center"/>
        </w:trPr>
        <w:tc>
          <w:tcPr>
            <w:tcW w:w="2562" w:type="dxa"/>
            <w:shd w:val="clear" w:color="auto" w:fill="D5DCE4"/>
            <w:vAlign w:val="center"/>
          </w:tcPr>
          <w:p w14:paraId="19F30D28" w14:textId="77777777" w:rsidR="00C91F30" w:rsidRPr="00C91F30" w:rsidRDefault="00C91F30" w:rsidP="00C91F30">
            <w:pPr>
              <w:spacing w:line="276" w:lineRule="auto"/>
              <w:ind w:right="-72"/>
              <w:jc w:val="center"/>
              <w:rPr>
                <w:rFonts w:ascii="Calibri" w:hAnsi="Calibri" w:cs="Calibri"/>
                <w:b/>
                <w:color w:val="404040"/>
                <w:szCs w:val="20"/>
              </w:rPr>
            </w:pPr>
            <w:r w:rsidRPr="00C91F30">
              <w:rPr>
                <w:rFonts w:ascii="Calibri" w:hAnsi="Calibri" w:cs="Calibri"/>
                <w:b/>
                <w:color w:val="404040"/>
                <w:szCs w:val="20"/>
              </w:rPr>
              <w:t>Activity</w:t>
            </w:r>
          </w:p>
        </w:tc>
        <w:tc>
          <w:tcPr>
            <w:tcW w:w="1382" w:type="dxa"/>
            <w:shd w:val="clear" w:color="auto" w:fill="D5DCE4"/>
          </w:tcPr>
          <w:p w14:paraId="1C4C6A8F" w14:textId="77777777" w:rsidR="00C91F30" w:rsidRPr="00C91F30" w:rsidRDefault="00C91F30" w:rsidP="00C91F30">
            <w:pPr>
              <w:spacing w:line="276" w:lineRule="auto"/>
              <w:ind w:right="-72"/>
              <w:jc w:val="center"/>
              <w:rPr>
                <w:rFonts w:ascii="Calibri" w:hAnsi="Calibri" w:cs="Calibri"/>
                <w:b/>
                <w:color w:val="404040"/>
                <w:szCs w:val="20"/>
              </w:rPr>
            </w:pPr>
            <w:r w:rsidRPr="00C91F30">
              <w:rPr>
                <w:rFonts w:ascii="Calibri" w:hAnsi="Calibri" w:cs="Calibri"/>
                <w:b/>
                <w:color w:val="404040"/>
                <w:szCs w:val="20"/>
              </w:rPr>
              <w:t>2013-14</w:t>
            </w:r>
          </w:p>
        </w:tc>
        <w:tc>
          <w:tcPr>
            <w:tcW w:w="1328" w:type="dxa"/>
            <w:shd w:val="clear" w:color="auto" w:fill="D5DCE4"/>
          </w:tcPr>
          <w:p w14:paraId="3AA0BE2D" w14:textId="77777777" w:rsidR="00C91F30" w:rsidRPr="00C91F30" w:rsidRDefault="00C91F30" w:rsidP="00C91F30">
            <w:pPr>
              <w:spacing w:line="276" w:lineRule="auto"/>
              <w:ind w:right="-72"/>
              <w:jc w:val="center"/>
              <w:rPr>
                <w:rFonts w:ascii="Calibri" w:hAnsi="Calibri" w:cs="Calibri"/>
                <w:b/>
                <w:color w:val="404040"/>
                <w:szCs w:val="20"/>
              </w:rPr>
            </w:pPr>
            <w:r w:rsidRPr="00C91F30">
              <w:rPr>
                <w:rFonts w:ascii="Calibri" w:hAnsi="Calibri" w:cs="Calibri"/>
                <w:b/>
                <w:color w:val="404040"/>
                <w:szCs w:val="20"/>
              </w:rPr>
              <w:t>2014-15</w:t>
            </w:r>
          </w:p>
        </w:tc>
        <w:tc>
          <w:tcPr>
            <w:tcW w:w="1328" w:type="dxa"/>
            <w:shd w:val="clear" w:color="auto" w:fill="D5DCE4"/>
          </w:tcPr>
          <w:p w14:paraId="43AC901A" w14:textId="77777777" w:rsidR="00C91F30" w:rsidRPr="00C91F30" w:rsidRDefault="00C91F30" w:rsidP="00C91F30">
            <w:pPr>
              <w:spacing w:line="276" w:lineRule="auto"/>
              <w:ind w:right="-72"/>
              <w:jc w:val="center"/>
              <w:rPr>
                <w:rFonts w:ascii="Calibri" w:hAnsi="Calibri" w:cs="Calibri"/>
                <w:b/>
                <w:color w:val="404040"/>
                <w:szCs w:val="20"/>
              </w:rPr>
            </w:pPr>
            <w:r w:rsidRPr="00C91F30">
              <w:rPr>
                <w:rFonts w:ascii="Calibri" w:hAnsi="Calibri" w:cs="Calibri"/>
                <w:b/>
                <w:color w:val="404040"/>
                <w:szCs w:val="20"/>
              </w:rPr>
              <w:t>2015-16</w:t>
            </w:r>
          </w:p>
        </w:tc>
        <w:tc>
          <w:tcPr>
            <w:tcW w:w="1328" w:type="dxa"/>
            <w:shd w:val="clear" w:color="auto" w:fill="D5DCE4"/>
          </w:tcPr>
          <w:p w14:paraId="4E21016C" w14:textId="77777777" w:rsidR="00C91F30" w:rsidRPr="00C91F30" w:rsidRDefault="00C91F30" w:rsidP="00C91F30">
            <w:pPr>
              <w:spacing w:line="276" w:lineRule="auto"/>
              <w:ind w:right="-72"/>
              <w:jc w:val="center"/>
              <w:rPr>
                <w:rFonts w:ascii="Calibri" w:hAnsi="Calibri" w:cs="Calibri"/>
                <w:b/>
                <w:color w:val="404040"/>
                <w:szCs w:val="20"/>
              </w:rPr>
            </w:pPr>
            <w:r w:rsidRPr="00C91F30">
              <w:rPr>
                <w:rFonts w:ascii="Calibri" w:hAnsi="Calibri" w:cs="Calibri"/>
                <w:b/>
                <w:color w:val="404040"/>
                <w:szCs w:val="20"/>
              </w:rPr>
              <w:t>2016-17</w:t>
            </w:r>
          </w:p>
        </w:tc>
        <w:tc>
          <w:tcPr>
            <w:tcW w:w="1247" w:type="dxa"/>
            <w:shd w:val="clear" w:color="auto" w:fill="D5DCE4"/>
          </w:tcPr>
          <w:p w14:paraId="63406D1D" w14:textId="77777777" w:rsidR="00C91F30" w:rsidRPr="00C91F30" w:rsidRDefault="00C91F30" w:rsidP="00C91F30">
            <w:pPr>
              <w:spacing w:line="276" w:lineRule="auto"/>
              <w:ind w:right="-72"/>
              <w:jc w:val="center"/>
              <w:rPr>
                <w:rFonts w:ascii="Calibri" w:hAnsi="Calibri" w:cs="Calibri"/>
                <w:b/>
                <w:color w:val="404040"/>
                <w:szCs w:val="20"/>
              </w:rPr>
            </w:pPr>
            <w:r w:rsidRPr="00C91F30">
              <w:rPr>
                <w:rFonts w:ascii="Calibri" w:hAnsi="Calibri" w:cs="Calibri"/>
                <w:b/>
                <w:color w:val="404040"/>
                <w:szCs w:val="20"/>
              </w:rPr>
              <w:t>2017-18</w:t>
            </w:r>
          </w:p>
        </w:tc>
      </w:tr>
      <w:tr w:rsidR="00C91F30" w:rsidRPr="00C91F30" w14:paraId="6B625F5E" w14:textId="77777777" w:rsidTr="00816745">
        <w:trPr>
          <w:jc w:val="center"/>
        </w:trPr>
        <w:tc>
          <w:tcPr>
            <w:tcW w:w="2562" w:type="dxa"/>
            <w:vAlign w:val="center"/>
          </w:tcPr>
          <w:p w14:paraId="53C89A83" w14:textId="77777777" w:rsidR="00C91F30" w:rsidRPr="00C91F30" w:rsidRDefault="00C91F30" w:rsidP="00C91F30">
            <w:pPr>
              <w:spacing w:line="276" w:lineRule="auto"/>
              <w:ind w:right="-72"/>
              <w:rPr>
                <w:rFonts w:ascii="Calibri" w:hAnsi="Calibri" w:cs="Calibri"/>
                <w:color w:val="404040"/>
                <w:szCs w:val="20"/>
              </w:rPr>
            </w:pPr>
            <w:r w:rsidRPr="00C91F30">
              <w:rPr>
                <w:rFonts w:ascii="Calibri" w:hAnsi="Calibri" w:cs="Calibri"/>
                <w:color w:val="404040"/>
                <w:szCs w:val="20"/>
              </w:rPr>
              <w:t>Rental Assistance</w:t>
            </w:r>
          </w:p>
        </w:tc>
        <w:tc>
          <w:tcPr>
            <w:tcW w:w="1382" w:type="dxa"/>
          </w:tcPr>
          <w:p w14:paraId="51DC8508"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$66,850</w:t>
            </w:r>
          </w:p>
        </w:tc>
        <w:tc>
          <w:tcPr>
            <w:tcW w:w="1328" w:type="dxa"/>
          </w:tcPr>
          <w:p w14:paraId="13E85DE6"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$92,929</w:t>
            </w:r>
          </w:p>
        </w:tc>
        <w:tc>
          <w:tcPr>
            <w:tcW w:w="1328" w:type="dxa"/>
          </w:tcPr>
          <w:p w14:paraId="5466F9CD"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87,695</w:t>
            </w:r>
          </w:p>
        </w:tc>
        <w:tc>
          <w:tcPr>
            <w:tcW w:w="1328" w:type="dxa"/>
          </w:tcPr>
          <w:p w14:paraId="0D89FEA0"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$87,198</w:t>
            </w:r>
          </w:p>
        </w:tc>
        <w:tc>
          <w:tcPr>
            <w:tcW w:w="1247" w:type="dxa"/>
          </w:tcPr>
          <w:p w14:paraId="01F9E8BE"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$85,508</w:t>
            </w:r>
          </w:p>
        </w:tc>
      </w:tr>
      <w:tr w:rsidR="00C91F30" w:rsidRPr="00C91F30" w14:paraId="36BB3EDA" w14:textId="77777777" w:rsidTr="00816745">
        <w:trPr>
          <w:jc w:val="center"/>
        </w:trPr>
        <w:tc>
          <w:tcPr>
            <w:tcW w:w="2562" w:type="dxa"/>
            <w:vAlign w:val="center"/>
          </w:tcPr>
          <w:p w14:paraId="37F188A5" w14:textId="77777777" w:rsidR="00C91F30" w:rsidRPr="00C91F30" w:rsidRDefault="00C91F30" w:rsidP="00C91F30">
            <w:pPr>
              <w:spacing w:line="276" w:lineRule="auto"/>
              <w:ind w:right="-72"/>
              <w:rPr>
                <w:rFonts w:ascii="Calibri" w:hAnsi="Calibri" w:cs="Calibri"/>
                <w:color w:val="404040"/>
                <w:szCs w:val="20"/>
              </w:rPr>
            </w:pPr>
            <w:r w:rsidRPr="00C91F30">
              <w:rPr>
                <w:rFonts w:ascii="Calibri" w:hAnsi="Calibri" w:cs="Calibri"/>
                <w:color w:val="404040"/>
                <w:szCs w:val="20"/>
              </w:rPr>
              <w:t>Housing Relocation &amp; Stabilization Services: Financial Assistance</w:t>
            </w:r>
          </w:p>
        </w:tc>
        <w:tc>
          <w:tcPr>
            <w:tcW w:w="1382" w:type="dxa"/>
          </w:tcPr>
          <w:p w14:paraId="4813F749"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0</w:t>
            </w:r>
          </w:p>
        </w:tc>
        <w:tc>
          <w:tcPr>
            <w:tcW w:w="1328" w:type="dxa"/>
          </w:tcPr>
          <w:p w14:paraId="41028117"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0</w:t>
            </w:r>
          </w:p>
        </w:tc>
        <w:tc>
          <w:tcPr>
            <w:tcW w:w="1328" w:type="dxa"/>
          </w:tcPr>
          <w:p w14:paraId="181F1378"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0</w:t>
            </w:r>
          </w:p>
        </w:tc>
        <w:tc>
          <w:tcPr>
            <w:tcW w:w="1328" w:type="dxa"/>
          </w:tcPr>
          <w:p w14:paraId="7B3A9A56"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0</w:t>
            </w:r>
          </w:p>
        </w:tc>
        <w:tc>
          <w:tcPr>
            <w:tcW w:w="1247" w:type="dxa"/>
          </w:tcPr>
          <w:p w14:paraId="123FDAD8"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0</w:t>
            </w:r>
          </w:p>
        </w:tc>
      </w:tr>
      <w:tr w:rsidR="00C91F30" w:rsidRPr="00C91F30" w14:paraId="6C1A7F8F" w14:textId="77777777" w:rsidTr="00816745">
        <w:trPr>
          <w:jc w:val="center"/>
        </w:trPr>
        <w:tc>
          <w:tcPr>
            <w:tcW w:w="2562" w:type="dxa"/>
            <w:vAlign w:val="center"/>
          </w:tcPr>
          <w:p w14:paraId="4866F561" w14:textId="77777777" w:rsidR="00C91F30" w:rsidRPr="00C91F30" w:rsidRDefault="00C91F30" w:rsidP="00C91F30">
            <w:pPr>
              <w:spacing w:line="276" w:lineRule="auto"/>
              <w:ind w:right="-72"/>
              <w:rPr>
                <w:rFonts w:ascii="Calibri" w:hAnsi="Calibri" w:cs="Calibri"/>
                <w:color w:val="404040"/>
                <w:szCs w:val="20"/>
              </w:rPr>
            </w:pPr>
            <w:r w:rsidRPr="00C91F30">
              <w:rPr>
                <w:rFonts w:ascii="Calibri" w:hAnsi="Calibri" w:cs="Calibri"/>
                <w:color w:val="404040"/>
                <w:szCs w:val="20"/>
              </w:rPr>
              <w:t>Housing Relocation &amp; Stabilization Services: Services</w:t>
            </w:r>
          </w:p>
        </w:tc>
        <w:tc>
          <w:tcPr>
            <w:tcW w:w="1382" w:type="dxa"/>
          </w:tcPr>
          <w:p w14:paraId="30E06F51"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$28,650</w:t>
            </w:r>
          </w:p>
        </w:tc>
        <w:tc>
          <w:tcPr>
            <w:tcW w:w="1328" w:type="dxa"/>
          </w:tcPr>
          <w:p w14:paraId="2D1B518A"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0</w:t>
            </w:r>
          </w:p>
        </w:tc>
        <w:tc>
          <w:tcPr>
            <w:tcW w:w="1328" w:type="dxa"/>
          </w:tcPr>
          <w:p w14:paraId="0C13F02E"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0</w:t>
            </w:r>
          </w:p>
        </w:tc>
        <w:tc>
          <w:tcPr>
            <w:tcW w:w="1328" w:type="dxa"/>
          </w:tcPr>
          <w:p w14:paraId="73F1CE67"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0</w:t>
            </w:r>
          </w:p>
        </w:tc>
        <w:tc>
          <w:tcPr>
            <w:tcW w:w="1247" w:type="dxa"/>
          </w:tcPr>
          <w:p w14:paraId="1E884061"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0</w:t>
            </w:r>
          </w:p>
        </w:tc>
      </w:tr>
      <w:tr w:rsidR="00C91F30" w:rsidRPr="00C91F30" w14:paraId="359473AA" w14:textId="77777777" w:rsidTr="00816745">
        <w:trPr>
          <w:jc w:val="center"/>
        </w:trPr>
        <w:tc>
          <w:tcPr>
            <w:tcW w:w="2562" w:type="dxa"/>
            <w:vAlign w:val="center"/>
          </w:tcPr>
          <w:p w14:paraId="4F9C853D" w14:textId="77777777" w:rsidR="00C91F30" w:rsidRPr="00C91F30" w:rsidRDefault="00C91F30" w:rsidP="00C91F30">
            <w:pPr>
              <w:spacing w:line="276" w:lineRule="auto"/>
              <w:ind w:right="-72"/>
              <w:rPr>
                <w:rFonts w:ascii="Calibri" w:hAnsi="Calibri" w:cs="Calibri"/>
                <w:color w:val="404040"/>
                <w:szCs w:val="20"/>
              </w:rPr>
            </w:pPr>
            <w:r w:rsidRPr="00C91F30">
              <w:rPr>
                <w:rFonts w:ascii="Calibri" w:hAnsi="Calibri" w:cs="Calibri"/>
                <w:color w:val="404040"/>
                <w:szCs w:val="20"/>
              </w:rPr>
              <w:t>Homeless Prevention</w:t>
            </w:r>
          </w:p>
        </w:tc>
        <w:tc>
          <w:tcPr>
            <w:tcW w:w="1382" w:type="dxa"/>
          </w:tcPr>
          <w:p w14:paraId="42B04B67"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0</w:t>
            </w:r>
          </w:p>
        </w:tc>
        <w:tc>
          <w:tcPr>
            <w:tcW w:w="1328" w:type="dxa"/>
          </w:tcPr>
          <w:p w14:paraId="00498AE2"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0</w:t>
            </w:r>
          </w:p>
        </w:tc>
        <w:tc>
          <w:tcPr>
            <w:tcW w:w="1328" w:type="dxa"/>
          </w:tcPr>
          <w:p w14:paraId="2061B920"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0</w:t>
            </w:r>
          </w:p>
        </w:tc>
        <w:tc>
          <w:tcPr>
            <w:tcW w:w="1328" w:type="dxa"/>
          </w:tcPr>
          <w:p w14:paraId="6007BCDE"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0</w:t>
            </w:r>
          </w:p>
        </w:tc>
        <w:tc>
          <w:tcPr>
            <w:tcW w:w="1247" w:type="dxa"/>
          </w:tcPr>
          <w:p w14:paraId="23E57A60"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0</w:t>
            </w:r>
          </w:p>
        </w:tc>
      </w:tr>
      <w:tr w:rsidR="00C91F30" w:rsidRPr="00C91F30" w14:paraId="451C561C" w14:textId="77777777" w:rsidTr="00816745">
        <w:trPr>
          <w:jc w:val="center"/>
        </w:trPr>
        <w:tc>
          <w:tcPr>
            <w:tcW w:w="2562" w:type="dxa"/>
            <w:vAlign w:val="center"/>
          </w:tcPr>
          <w:p w14:paraId="1B2622D7" w14:textId="77777777" w:rsidR="00C91F30" w:rsidRPr="00C91F30" w:rsidRDefault="00C91F30" w:rsidP="00C91F30">
            <w:pPr>
              <w:spacing w:line="276" w:lineRule="auto"/>
              <w:ind w:right="-72"/>
              <w:jc w:val="right"/>
              <w:rPr>
                <w:rFonts w:ascii="Calibri" w:hAnsi="Calibri" w:cs="Calibri"/>
                <w:b/>
                <w:color w:val="404040"/>
                <w:szCs w:val="20"/>
              </w:rPr>
            </w:pPr>
            <w:r w:rsidRPr="00C91F30">
              <w:rPr>
                <w:rFonts w:ascii="Calibri" w:hAnsi="Calibri" w:cs="Calibri"/>
                <w:b/>
                <w:color w:val="404040"/>
                <w:szCs w:val="20"/>
              </w:rPr>
              <w:t>Total</w:t>
            </w:r>
          </w:p>
        </w:tc>
        <w:tc>
          <w:tcPr>
            <w:tcW w:w="1382" w:type="dxa"/>
          </w:tcPr>
          <w:p w14:paraId="21136308" w14:textId="77777777" w:rsidR="00C91F30" w:rsidRPr="00C91F30" w:rsidRDefault="00C91F30" w:rsidP="00C91F30">
            <w:pPr>
              <w:spacing w:line="276" w:lineRule="auto"/>
              <w:ind w:right="-72"/>
              <w:jc w:val="center"/>
              <w:rPr>
                <w:rFonts w:ascii="Calibri" w:hAnsi="Calibri" w:cs="Calibri"/>
                <w:b/>
                <w:color w:val="404040"/>
                <w:szCs w:val="20"/>
              </w:rPr>
            </w:pPr>
            <w:r w:rsidRPr="00C91F30">
              <w:rPr>
                <w:rFonts w:ascii="Calibri" w:hAnsi="Calibri" w:cs="Calibri"/>
                <w:b/>
                <w:color w:val="404040"/>
                <w:szCs w:val="20"/>
              </w:rPr>
              <w:t>$95,500</w:t>
            </w:r>
          </w:p>
        </w:tc>
        <w:tc>
          <w:tcPr>
            <w:tcW w:w="1328" w:type="dxa"/>
          </w:tcPr>
          <w:p w14:paraId="7FCAE3F9" w14:textId="77777777" w:rsidR="00C91F30" w:rsidRPr="00C91F30" w:rsidRDefault="00C91F30" w:rsidP="00C91F30">
            <w:pPr>
              <w:spacing w:line="276" w:lineRule="auto"/>
              <w:ind w:right="-72"/>
              <w:jc w:val="center"/>
              <w:rPr>
                <w:rFonts w:ascii="Calibri" w:hAnsi="Calibri" w:cs="Calibri"/>
                <w:b/>
                <w:color w:val="404040"/>
                <w:szCs w:val="20"/>
              </w:rPr>
            </w:pPr>
            <w:r w:rsidRPr="00C91F30">
              <w:rPr>
                <w:rFonts w:ascii="Calibri" w:hAnsi="Calibri" w:cs="Calibri"/>
                <w:b/>
                <w:color w:val="404040"/>
                <w:szCs w:val="20"/>
              </w:rPr>
              <w:t>$92,929</w:t>
            </w:r>
          </w:p>
        </w:tc>
        <w:tc>
          <w:tcPr>
            <w:tcW w:w="1328" w:type="dxa"/>
          </w:tcPr>
          <w:p w14:paraId="2598BEE5" w14:textId="77777777" w:rsidR="00C91F30" w:rsidRPr="00C91F30" w:rsidRDefault="00C91F30" w:rsidP="00C91F30">
            <w:pPr>
              <w:spacing w:line="276" w:lineRule="auto"/>
              <w:ind w:right="-72"/>
              <w:jc w:val="center"/>
              <w:rPr>
                <w:rFonts w:ascii="Calibri" w:hAnsi="Calibri" w:cs="Calibri"/>
                <w:b/>
                <w:color w:val="404040"/>
                <w:szCs w:val="20"/>
              </w:rPr>
            </w:pPr>
            <w:r w:rsidRPr="00C91F30">
              <w:rPr>
                <w:rFonts w:ascii="Calibri" w:hAnsi="Calibri" w:cs="Calibri"/>
                <w:b/>
                <w:color w:val="404040"/>
                <w:szCs w:val="20"/>
              </w:rPr>
              <w:t>$87,695</w:t>
            </w:r>
          </w:p>
        </w:tc>
        <w:tc>
          <w:tcPr>
            <w:tcW w:w="1328" w:type="dxa"/>
          </w:tcPr>
          <w:p w14:paraId="6FE01F58" w14:textId="77777777" w:rsidR="00C91F30" w:rsidRPr="00C91F30" w:rsidRDefault="00C91F30" w:rsidP="00C91F30">
            <w:pPr>
              <w:spacing w:line="276" w:lineRule="auto"/>
              <w:ind w:right="-72"/>
              <w:jc w:val="center"/>
              <w:rPr>
                <w:rFonts w:ascii="Calibri" w:hAnsi="Calibri" w:cs="Calibri"/>
                <w:b/>
                <w:color w:val="404040"/>
                <w:szCs w:val="20"/>
              </w:rPr>
            </w:pPr>
            <w:r w:rsidRPr="00C91F30">
              <w:rPr>
                <w:rFonts w:ascii="Calibri" w:hAnsi="Calibri" w:cs="Calibri"/>
                <w:b/>
                <w:color w:val="404040"/>
                <w:szCs w:val="20"/>
              </w:rPr>
              <w:t>$87,198</w:t>
            </w:r>
          </w:p>
        </w:tc>
        <w:tc>
          <w:tcPr>
            <w:tcW w:w="1247" w:type="dxa"/>
          </w:tcPr>
          <w:p w14:paraId="041F701A" w14:textId="77777777" w:rsidR="00C91F30" w:rsidRPr="00C91F30" w:rsidRDefault="00C91F30" w:rsidP="00C91F30">
            <w:pPr>
              <w:spacing w:line="276" w:lineRule="auto"/>
              <w:ind w:right="-72"/>
              <w:jc w:val="center"/>
              <w:rPr>
                <w:rFonts w:ascii="Calibri" w:hAnsi="Calibri" w:cs="Calibri"/>
                <w:b/>
                <w:color w:val="404040"/>
                <w:szCs w:val="20"/>
              </w:rPr>
            </w:pPr>
            <w:r w:rsidRPr="00C91F30">
              <w:rPr>
                <w:rFonts w:ascii="Calibri" w:hAnsi="Calibri" w:cs="Calibri"/>
                <w:b/>
                <w:color w:val="404040"/>
                <w:szCs w:val="20"/>
              </w:rPr>
              <w:t>$85,508</w:t>
            </w:r>
          </w:p>
        </w:tc>
      </w:tr>
    </w:tbl>
    <w:p w14:paraId="6B2040A4" w14:textId="77777777" w:rsidR="00C91F30" w:rsidRPr="00C91F30" w:rsidRDefault="00C91F30" w:rsidP="00C91F30">
      <w:pPr>
        <w:spacing w:line="276" w:lineRule="auto"/>
        <w:ind w:right="360"/>
        <w:rPr>
          <w:rFonts w:ascii="Calibri" w:hAnsi="Calibri" w:cs="Calibri"/>
          <w:color w:val="404040"/>
          <w:szCs w:val="20"/>
        </w:rPr>
      </w:pPr>
    </w:p>
    <w:p w14:paraId="4F5CD6ED" w14:textId="77777777" w:rsidR="00C91F30" w:rsidRPr="00C91F30" w:rsidRDefault="00C91F30" w:rsidP="00C91F30">
      <w:pPr>
        <w:spacing w:line="276" w:lineRule="auto"/>
        <w:ind w:right="360"/>
        <w:rPr>
          <w:rFonts w:ascii="Calibri" w:hAnsi="Calibri" w:cs="Calibri"/>
          <w:color w:val="404040"/>
          <w:szCs w:val="20"/>
        </w:rPr>
      </w:pPr>
    </w:p>
    <w:p w14:paraId="37AE2BF9" w14:textId="77777777" w:rsidR="00C91F30" w:rsidRPr="00C91F30" w:rsidRDefault="00C91F30" w:rsidP="00C91F30">
      <w:pPr>
        <w:spacing w:line="276" w:lineRule="auto"/>
        <w:ind w:right="360"/>
        <w:rPr>
          <w:rFonts w:ascii="Calibri" w:hAnsi="Calibri" w:cs="Calibri"/>
          <w:b/>
          <w:color w:val="404040"/>
          <w:szCs w:val="20"/>
        </w:rPr>
      </w:pPr>
      <w:r w:rsidRPr="00C91F30">
        <w:rPr>
          <w:rFonts w:ascii="Calibri" w:hAnsi="Calibri" w:cs="Calibri"/>
          <w:b/>
          <w:color w:val="404040"/>
          <w:szCs w:val="20"/>
        </w:rPr>
        <w:tab/>
        <w:t xml:space="preserve">              ESG EXPENDITURES FOR EMERGENCY SHELTER</w:t>
      </w:r>
    </w:p>
    <w:tbl>
      <w:tblPr>
        <w:tblStyle w:val="TableGrid1"/>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71"/>
        <w:gridCol w:w="1413"/>
        <w:gridCol w:w="1342"/>
        <w:gridCol w:w="1483"/>
        <w:gridCol w:w="1483"/>
        <w:gridCol w:w="1458"/>
      </w:tblGrid>
      <w:tr w:rsidR="00C91F30" w:rsidRPr="00C91F30" w14:paraId="3B387F87" w14:textId="77777777" w:rsidTr="00816745">
        <w:trPr>
          <w:jc w:val="center"/>
        </w:trPr>
        <w:tc>
          <w:tcPr>
            <w:tcW w:w="2171" w:type="dxa"/>
            <w:shd w:val="clear" w:color="auto" w:fill="C6D9F1"/>
            <w:vAlign w:val="center"/>
          </w:tcPr>
          <w:p w14:paraId="2FD9BC2F" w14:textId="77777777" w:rsidR="00C91F30" w:rsidRPr="00C91F30" w:rsidRDefault="00C91F30" w:rsidP="00C91F30">
            <w:pPr>
              <w:spacing w:line="276" w:lineRule="auto"/>
              <w:ind w:right="-72"/>
              <w:jc w:val="center"/>
              <w:rPr>
                <w:rFonts w:ascii="Calibri" w:hAnsi="Calibri" w:cs="Calibri"/>
                <w:b/>
                <w:color w:val="404040"/>
                <w:szCs w:val="20"/>
              </w:rPr>
            </w:pPr>
            <w:r w:rsidRPr="00C91F30">
              <w:rPr>
                <w:rFonts w:ascii="Calibri" w:hAnsi="Calibri" w:cs="Calibri"/>
                <w:b/>
                <w:color w:val="404040"/>
                <w:szCs w:val="20"/>
              </w:rPr>
              <w:t>Activity</w:t>
            </w:r>
          </w:p>
        </w:tc>
        <w:tc>
          <w:tcPr>
            <w:tcW w:w="1413" w:type="dxa"/>
            <w:shd w:val="clear" w:color="auto" w:fill="C6D9F1"/>
          </w:tcPr>
          <w:p w14:paraId="4F1530EA" w14:textId="77777777" w:rsidR="00C91F30" w:rsidRPr="00C91F30" w:rsidRDefault="00C91F30" w:rsidP="00C91F30">
            <w:pPr>
              <w:spacing w:line="276" w:lineRule="auto"/>
              <w:ind w:right="-72"/>
              <w:jc w:val="center"/>
              <w:rPr>
                <w:rFonts w:ascii="Calibri" w:hAnsi="Calibri" w:cs="Calibri"/>
                <w:b/>
                <w:color w:val="404040"/>
                <w:szCs w:val="20"/>
              </w:rPr>
            </w:pPr>
            <w:r w:rsidRPr="00C91F30">
              <w:rPr>
                <w:rFonts w:ascii="Calibri" w:hAnsi="Calibri" w:cs="Calibri"/>
                <w:b/>
                <w:color w:val="404040"/>
                <w:szCs w:val="20"/>
              </w:rPr>
              <w:t>2013-14</w:t>
            </w:r>
          </w:p>
        </w:tc>
        <w:tc>
          <w:tcPr>
            <w:tcW w:w="1342" w:type="dxa"/>
            <w:shd w:val="clear" w:color="auto" w:fill="C6D9F1"/>
          </w:tcPr>
          <w:p w14:paraId="7B0252AD" w14:textId="77777777" w:rsidR="00C91F30" w:rsidRPr="00C91F30" w:rsidRDefault="00C91F30" w:rsidP="00C91F30">
            <w:pPr>
              <w:spacing w:line="276" w:lineRule="auto"/>
              <w:ind w:right="-72"/>
              <w:jc w:val="center"/>
              <w:rPr>
                <w:rFonts w:ascii="Calibri" w:hAnsi="Calibri" w:cs="Calibri"/>
                <w:b/>
                <w:color w:val="404040"/>
                <w:szCs w:val="20"/>
              </w:rPr>
            </w:pPr>
            <w:r w:rsidRPr="00C91F30">
              <w:rPr>
                <w:rFonts w:ascii="Calibri" w:hAnsi="Calibri" w:cs="Calibri"/>
                <w:b/>
                <w:color w:val="404040"/>
                <w:szCs w:val="20"/>
              </w:rPr>
              <w:t>2014-15</w:t>
            </w:r>
          </w:p>
        </w:tc>
        <w:tc>
          <w:tcPr>
            <w:tcW w:w="1483" w:type="dxa"/>
            <w:shd w:val="clear" w:color="auto" w:fill="C6D9F1"/>
          </w:tcPr>
          <w:p w14:paraId="232AB69A" w14:textId="77777777" w:rsidR="00C91F30" w:rsidRPr="00C91F30" w:rsidRDefault="00C91F30" w:rsidP="00C91F30">
            <w:pPr>
              <w:spacing w:line="276" w:lineRule="auto"/>
              <w:ind w:right="-72"/>
              <w:jc w:val="center"/>
              <w:rPr>
                <w:rFonts w:ascii="Calibri" w:hAnsi="Calibri" w:cs="Calibri"/>
                <w:b/>
                <w:color w:val="404040"/>
                <w:szCs w:val="20"/>
              </w:rPr>
            </w:pPr>
            <w:r w:rsidRPr="00C91F30">
              <w:rPr>
                <w:rFonts w:ascii="Calibri" w:hAnsi="Calibri" w:cs="Calibri"/>
                <w:b/>
                <w:color w:val="404040"/>
                <w:szCs w:val="20"/>
              </w:rPr>
              <w:t>2015-16</w:t>
            </w:r>
          </w:p>
        </w:tc>
        <w:tc>
          <w:tcPr>
            <w:tcW w:w="1483" w:type="dxa"/>
            <w:shd w:val="clear" w:color="auto" w:fill="C6D9F1"/>
          </w:tcPr>
          <w:p w14:paraId="38AC003F" w14:textId="77777777" w:rsidR="00C91F30" w:rsidRPr="00C91F30" w:rsidRDefault="00C91F30" w:rsidP="00C91F30">
            <w:pPr>
              <w:spacing w:line="276" w:lineRule="auto"/>
              <w:ind w:right="-72"/>
              <w:jc w:val="center"/>
              <w:rPr>
                <w:rFonts w:ascii="Calibri" w:hAnsi="Calibri" w:cs="Calibri"/>
                <w:b/>
                <w:color w:val="404040"/>
                <w:szCs w:val="20"/>
              </w:rPr>
            </w:pPr>
            <w:r w:rsidRPr="00C91F30">
              <w:rPr>
                <w:rFonts w:ascii="Calibri" w:hAnsi="Calibri" w:cs="Calibri"/>
                <w:b/>
                <w:color w:val="404040"/>
                <w:szCs w:val="20"/>
              </w:rPr>
              <w:t>2016-17</w:t>
            </w:r>
          </w:p>
        </w:tc>
        <w:tc>
          <w:tcPr>
            <w:tcW w:w="1458" w:type="dxa"/>
            <w:shd w:val="clear" w:color="auto" w:fill="C6D9F1"/>
          </w:tcPr>
          <w:p w14:paraId="3992439C" w14:textId="77777777" w:rsidR="00C91F30" w:rsidRPr="00C91F30" w:rsidRDefault="00C91F30" w:rsidP="00C91F30">
            <w:pPr>
              <w:spacing w:line="276" w:lineRule="auto"/>
              <w:ind w:right="-72"/>
              <w:jc w:val="center"/>
              <w:rPr>
                <w:rFonts w:ascii="Calibri" w:hAnsi="Calibri" w:cs="Calibri"/>
                <w:b/>
                <w:color w:val="404040"/>
                <w:szCs w:val="20"/>
              </w:rPr>
            </w:pPr>
            <w:r w:rsidRPr="00C91F30">
              <w:rPr>
                <w:rFonts w:ascii="Calibri" w:hAnsi="Calibri" w:cs="Calibri"/>
                <w:b/>
                <w:color w:val="404040"/>
                <w:szCs w:val="20"/>
              </w:rPr>
              <w:t>2017-18</w:t>
            </w:r>
          </w:p>
        </w:tc>
      </w:tr>
      <w:tr w:rsidR="00C91F30" w:rsidRPr="00C91F30" w14:paraId="00E55BA2" w14:textId="77777777" w:rsidTr="00816745">
        <w:trPr>
          <w:jc w:val="center"/>
        </w:trPr>
        <w:tc>
          <w:tcPr>
            <w:tcW w:w="2171" w:type="dxa"/>
            <w:vAlign w:val="center"/>
          </w:tcPr>
          <w:p w14:paraId="01813F4E" w14:textId="77777777" w:rsidR="00C91F30" w:rsidRPr="00C91F30" w:rsidRDefault="00C91F30" w:rsidP="00C91F30">
            <w:pPr>
              <w:spacing w:line="276" w:lineRule="auto"/>
              <w:ind w:right="-72"/>
              <w:rPr>
                <w:rFonts w:ascii="Calibri" w:hAnsi="Calibri" w:cs="Calibri"/>
                <w:color w:val="404040"/>
                <w:szCs w:val="20"/>
              </w:rPr>
            </w:pPr>
            <w:r w:rsidRPr="00C91F30">
              <w:rPr>
                <w:rFonts w:ascii="Calibri" w:hAnsi="Calibri" w:cs="Calibri"/>
                <w:color w:val="404040"/>
                <w:szCs w:val="20"/>
              </w:rPr>
              <w:t>Essential Services</w:t>
            </w:r>
          </w:p>
        </w:tc>
        <w:tc>
          <w:tcPr>
            <w:tcW w:w="1413" w:type="dxa"/>
          </w:tcPr>
          <w:p w14:paraId="56663DF8"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0</w:t>
            </w:r>
          </w:p>
        </w:tc>
        <w:tc>
          <w:tcPr>
            <w:tcW w:w="1342" w:type="dxa"/>
          </w:tcPr>
          <w:p w14:paraId="2B643A7F"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0</w:t>
            </w:r>
          </w:p>
        </w:tc>
        <w:tc>
          <w:tcPr>
            <w:tcW w:w="1483" w:type="dxa"/>
          </w:tcPr>
          <w:p w14:paraId="3F24F28D"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0</w:t>
            </w:r>
          </w:p>
        </w:tc>
        <w:tc>
          <w:tcPr>
            <w:tcW w:w="1483" w:type="dxa"/>
          </w:tcPr>
          <w:p w14:paraId="0779F1F4"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0</w:t>
            </w:r>
          </w:p>
        </w:tc>
        <w:tc>
          <w:tcPr>
            <w:tcW w:w="1458" w:type="dxa"/>
          </w:tcPr>
          <w:p w14:paraId="6C43D23D"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0</w:t>
            </w:r>
          </w:p>
        </w:tc>
      </w:tr>
      <w:tr w:rsidR="00C91F30" w:rsidRPr="00C91F30" w14:paraId="77D85E63" w14:textId="77777777" w:rsidTr="00816745">
        <w:trPr>
          <w:jc w:val="center"/>
        </w:trPr>
        <w:tc>
          <w:tcPr>
            <w:tcW w:w="2171" w:type="dxa"/>
            <w:vAlign w:val="center"/>
          </w:tcPr>
          <w:p w14:paraId="79F917DC" w14:textId="77777777" w:rsidR="00C91F30" w:rsidRPr="00C91F30" w:rsidRDefault="00C91F30" w:rsidP="00C91F30">
            <w:pPr>
              <w:spacing w:line="276" w:lineRule="auto"/>
              <w:ind w:right="-72"/>
              <w:rPr>
                <w:rFonts w:ascii="Calibri" w:hAnsi="Calibri" w:cs="Calibri"/>
                <w:color w:val="404040"/>
                <w:szCs w:val="20"/>
              </w:rPr>
            </w:pPr>
            <w:r w:rsidRPr="00C91F30">
              <w:rPr>
                <w:rFonts w:ascii="Calibri" w:hAnsi="Calibri" w:cs="Calibri"/>
                <w:color w:val="404040"/>
                <w:szCs w:val="20"/>
              </w:rPr>
              <w:t>Operations</w:t>
            </w:r>
          </w:p>
        </w:tc>
        <w:tc>
          <w:tcPr>
            <w:tcW w:w="1413" w:type="dxa"/>
          </w:tcPr>
          <w:p w14:paraId="64155419"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$113,923</w:t>
            </w:r>
          </w:p>
        </w:tc>
        <w:tc>
          <w:tcPr>
            <w:tcW w:w="1342" w:type="dxa"/>
          </w:tcPr>
          <w:p w14:paraId="21482E28"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$143,323</w:t>
            </w:r>
          </w:p>
        </w:tc>
        <w:tc>
          <w:tcPr>
            <w:tcW w:w="1483" w:type="dxa"/>
          </w:tcPr>
          <w:p w14:paraId="691F7DA9"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$143,323</w:t>
            </w:r>
          </w:p>
        </w:tc>
        <w:tc>
          <w:tcPr>
            <w:tcW w:w="1483" w:type="dxa"/>
          </w:tcPr>
          <w:p w14:paraId="7824A105"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$164,115</w:t>
            </w:r>
          </w:p>
        </w:tc>
        <w:tc>
          <w:tcPr>
            <w:tcW w:w="1458" w:type="dxa"/>
          </w:tcPr>
          <w:p w14:paraId="30423AD9"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$164,115</w:t>
            </w:r>
          </w:p>
        </w:tc>
      </w:tr>
      <w:tr w:rsidR="00C91F30" w:rsidRPr="00C91F30" w14:paraId="61523417" w14:textId="77777777" w:rsidTr="00816745">
        <w:trPr>
          <w:jc w:val="center"/>
        </w:trPr>
        <w:tc>
          <w:tcPr>
            <w:tcW w:w="2171" w:type="dxa"/>
            <w:vAlign w:val="center"/>
          </w:tcPr>
          <w:p w14:paraId="42A9E7B6" w14:textId="77777777" w:rsidR="00C91F30" w:rsidRPr="00C91F30" w:rsidRDefault="00C91F30" w:rsidP="00C91F30">
            <w:pPr>
              <w:spacing w:line="276" w:lineRule="auto"/>
              <w:ind w:right="-72"/>
              <w:rPr>
                <w:rFonts w:ascii="Calibri" w:hAnsi="Calibri" w:cs="Calibri"/>
                <w:color w:val="404040"/>
                <w:szCs w:val="20"/>
              </w:rPr>
            </w:pPr>
            <w:r w:rsidRPr="00C91F30">
              <w:rPr>
                <w:rFonts w:ascii="Calibri" w:hAnsi="Calibri" w:cs="Calibri"/>
                <w:color w:val="404040"/>
                <w:szCs w:val="20"/>
              </w:rPr>
              <w:t>Renovation</w:t>
            </w:r>
          </w:p>
        </w:tc>
        <w:tc>
          <w:tcPr>
            <w:tcW w:w="1413" w:type="dxa"/>
          </w:tcPr>
          <w:p w14:paraId="0B2B12C1"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0</w:t>
            </w:r>
          </w:p>
        </w:tc>
        <w:tc>
          <w:tcPr>
            <w:tcW w:w="1342" w:type="dxa"/>
          </w:tcPr>
          <w:p w14:paraId="0E7B1D3B"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0</w:t>
            </w:r>
          </w:p>
        </w:tc>
        <w:tc>
          <w:tcPr>
            <w:tcW w:w="1483" w:type="dxa"/>
          </w:tcPr>
          <w:p w14:paraId="241D0CDE"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0</w:t>
            </w:r>
          </w:p>
        </w:tc>
        <w:tc>
          <w:tcPr>
            <w:tcW w:w="1483" w:type="dxa"/>
          </w:tcPr>
          <w:p w14:paraId="09836F7A"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0</w:t>
            </w:r>
          </w:p>
        </w:tc>
        <w:tc>
          <w:tcPr>
            <w:tcW w:w="1458" w:type="dxa"/>
          </w:tcPr>
          <w:p w14:paraId="12585219"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0</w:t>
            </w:r>
          </w:p>
        </w:tc>
      </w:tr>
      <w:tr w:rsidR="00C91F30" w:rsidRPr="00C91F30" w14:paraId="42F6D1B2" w14:textId="77777777" w:rsidTr="00816745">
        <w:trPr>
          <w:jc w:val="center"/>
        </w:trPr>
        <w:tc>
          <w:tcPr>
            <w:tcW w:w="2171" w:type="dxa"/>
            <w:vAlign w:val="center"/>
          </w:tcPr>
          <w:p w14:paraId="29A53A3D" w14:textId="77777777" w:rsidR="00C91F30" w:rsidRPr="00C91F30" w:rsidRDefault="00C91F30" w:rsidP="00C91F30">
            <w:pPr>
              <w:spacing w:line="276" w:lineRule="auto"/>
              <w:ind w:right="-72"/>
              <w:rPr>
                <w:rFonts w:ascii="Calibri" w:hAnsi="Calibri" w:cs="Calibri"/>
                <w:color w:val="404040"/>
                <w:szCs w:val="20"/>
              </w:rPr>
            </w:pPr>
            <w:r w:rsidRPr="00C91F30">
              <w:rPr>
                <w:rFonts w:ascii="Calibri" w:hAnsi="Calibri" w:cs="Calibri"/>
                <w:color w:val="404040"/>
                <w:szCs w:val="20"/>
              </w:rPr>
              <w:t>Major Rehab</w:t>
            </w:r>
          </w:p>
        </w:tc>
        <w:tc>
          <w:tcPr>
            <w:tcW w:w="1413" w:type="dxa"/>
          </w:tcPr>
          <w:p w14:paraId="42B7EE82"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0</w:t>
            </w:r>
          </w:p>
        </w:tc>
        <w:tc>
          <w:tcPr>
            <w:tcW w:w="1342" w:type="dxa"/>
          </w:tcPr>
          <w:p w14:paraId="2545BB7C"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0</w:t>
            </w:r>
          </w:p>
        </w:tc>
        <w:tc>
          <w:tcPr>
            <w:tcW w:w="1483" w:type="dxa"/>
          </w:tcPr>
          <w:p w14:paraId="7F3637BE"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0</w:t>
            </w:r>
          </w:p>
        </w:tc>
        <w:tc>
          <w:tcPr>
            <w:tcW w:w="1483" w:type="dxa"/>
          </w:tcPr>
          <w:p w14:paraId="5E0580F6"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0</w:t>
            </w:r>
          </w:p>
        </w:tc>
        <w:tc>
          <w:tcPr>
            <w:tcW w:w="1458" w:type="dxa"/>
          </w:tcPr>
          <w:p w14:paraId="143150D6"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0</w:t>
            </w:r>
          </w:p>
        </w:tc>
      </w:tr>
      <w:tr w:rsidR="00C91F30" w:rsidRPr="00C91F30" w14:paraId="501B33C3" w14:textId="77777777" w:rsidTr="00816745">
        <w:trPr>
          <w:jc w:val="center"/>
        </w:trPr>
        <w:tc>
          <w:tcPr>
            <w:tcW w:w="2171" w:type="dxa"/>
            <w:vAlign w:val="center"/>
          </w:tcPr>
          <w:p w14:paraId="11D77D19" w14:textId="77777777" w:rsidR="00C91F30" w:rsidRPr="00C91F30" w:rsidRDefault="00C91F30" w:rsidP="00C91F30">
            <w:pPr>
              <w:spacing w:line="276" w:lineRule="auto"/>
              <w:ind w:right="-72"/>
              <w:rPr>
                <w:rFonts w:ascii="Calibri" w:hAnsi="Calibri" w:cs="Calibri"/>
                <w:color w:val="404040"/>
                <w:szCs w:val="20"/>
              </w:rPr>
            </w:pPr>
            <w:r w:rsidRPr="00C91F30">
              <w:rPr>
                <w:rFonts w:ascii="Calibri" w:hAnsi="Calibri" w:cs="Calibri"/>
                <w:color w:val="404040"/>
                <w:szCs w:val="20"/>
              </w:rPr>
              <w:t>Conversion</w:t>
            </w:r>
          </w:p>
        </w:tc>
        <w:tc>
          <w:tcPr>
            <w:tcW w:w="1413" w:type="dxa"/>
          </w:tcPr>
          <w:p w14:paraId="12E6DCFC"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0</w:t>
            </w:r>
          </w:p>
        </w:tc>
        <w:tc>
          <w:tcPr>
            <w:tcW w:w="1342" w:type="dxa"/>
          </w:tcPr>
          <w:p w14:paraId="3DB86C2A"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0</w:t>
            </w:r>
          </w:p>
        </w:tc>
        <w:tc>
          <w:tcPr>
            <w:tcW w:w="1483" w:type="dxa"/>
          </w:tcPr>
          <w:p w14:paraId="671A5F12"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0</w:t>
            </w:r>
          </w:p>
        </w:tc>
        <w:tc>
          <w:tcPr>
            <w:tcW w:w="1483" w:type="dxa"/>
          </w:tcPr>
          <w:p w14:paraId="79BE313E"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0</w:t>
            </w:r>
          </w:p>
        </w:tc>
        <w:tc>
          <w:tcPr>
            <w:tcW w:w="1458" w:type="dxa"/>
          </w:tcPr>
          <w:p w14:paraId="10741375"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0</w:t>
            </w:r>
          </w:p>
        </w:tc>
      </w:tr>
      <w:tr w:rsidR="00C91F30" w:rsidRPr="00C91F30" w14:paraId="2A2CCFC6" w14:textId="77777777" w:rsidTr="00816745">
        <w:trPr>
          <w:jc w:val="center"/>
        </w:trPr>
        <w:tc>
          <w:tcPr>
            <w:tcW w:w="2171" w:type="dxa"/>
            <w:vAlign w:val="center"/>
          </w:tcPr>
          <w:p w14:paraId="3E9DABE3" w14:textId="77777777" w:rsidR="00C91F30" w:rsidRPr="00C91F30" w:rsidRDefault="00C91F30" w:rsidP="00C91F30">
            <w:pPr>
              <w:spacing w:line="276" w:lineRule="auto"/>
              <w:ind w:right="-72"/>
              <w:jc w:val="right"/>
              <w:rPr>
                <w:rFonts w:ascii="Calibri" w:hAnsi="Calibri" w:cs="Calibri"/>
                <w:b/>
                <w:color w:val="404040"/>
                <w:szCs w:val="20"/>
              </w:rPr>
            </w:pPr>
            <w:r w:rsidRPr="00C91F30">
              <w:rPr>
                <w:rFonts w:ascii="Calibri" w:hAnsi="Calibri" w:cs="Calibri"/>
                <w:b/>
                <w:color w:val="404040"/>
                <w:szCs w:val="20"/>
              </w:rPr>
              <w:t>Total</w:t>
            </w:r>
          </w:p>
        </w:tc>
        <w:tc>
          <w:tcPr>
            <w:tcW w:w="1413" w:type="dxa"/>
          </w:tcPr>
          <w:p w14:paraId="41D7FA75" w14:textId="77777777" w:rsidR="00C91F30" w:rsidRPr="00C91F30" w:rsidRDefault="00C91F30" w:rsidP="00C91F30">
            <w:pPr>
              <w:spacing w:line="276" w:lineRule="auto"/>
              <w:ind w:right="-72"/>
              <w:jc w:val="center"/>
              <w:rPr>
                <w:rFonts w:ascii="Calibri" w:hAnsi="Calibri" w:cs="Calibri"/>
                <w:b/>
                <w:color w:val="404040"/>
                <w:szCs w:val="20"/>
              </w:rPr>
            </w:pPr>
            <w:r w:rsidRPr="00C91F30">
              <w:rPr>
                <w:rFonts w:ascii="Calibri" w:hAnsi="Calibri" w:cs="Calibri"/>
                <w:b/>
                <w:color w:val="404040"/>
                <w:szCs w:val="20"/>
              </w:rPr>
              <w:t>$125,923</w:t>
            </w:r>
          </w:p>
        </w:tc>
        <w:tc>
          <w:tcPr>
            <w:tcW w:w="1342" w:type="dxa"/>
          </w:tcPr>
          <w:p w14:paraId="15B02FED" w14:textId="77777777" w:rsidR="00C91F30" w:rsidRPr="00C91F30" w:rsidRDefault="00C91F30" w:rsidP="00C91F30">
            <w:pPr>
              <w:spacing w:line="276" w:lineRule="auto"/>
              <w:ind w:right="-72"/>
              <w:jc w:val="center"/>
              <w:rPr>
                <w:rFonts w:ascii="Calibri" w:hAnsi="Calibri" w:cs="Calibri"/>
                <w:b/>
                <w:color w:val="404040"/>
                <w:szCs w:val="20"/>
              </w:rPr>
            </w:pPr>
            <w:r w:rsidRPr="00C91F30">
              <w:rPr>
                <w:rFonts w:ascii="Calibri" w:hAnsi="Calibri" w:cs="Calibri"/>
                <w:b/>
                <w:color w:val="404040"/>
                <w:szCs w:val="20"/>
              </w:rPr>
              <w:t>$143,323</w:t>
            </w:r>
          </w:p>
        </w:tc>
        <w:tc>
          <w:tcPr>
            <w:tcW w:w="1483" w:type="dxa"/>
          </w:tcPr>
          <w:p w14:paraId="232B4D46" w14:textId="77777777" w:rsidR="00C91F30" w:rsidRPr="00C91F30" w:rsidRDefault="00C91F30" w:rsidP="00C91F30">
            <w:pPr>
              <w:spacing w:line="276" w:lineRule="auto"/>
              <w:ind w:right="-72"/>
              <w:jc w:val="center"/>
              <w:rPr>
                <w:rFonts w:ascii="Calibri" w:hAnsi="Calibri" w:cs="Calibri"/>
                <w:b/>
                <w:color w:val="404040"/>
                <w:szCs w:val="20"/>
              </w:rPr>
            </w:pPr>
            <w:r w:rsidRPr="00C91F30">
              <w:rPr>
                <w:rFonts w:ascii="Calibri" w:hAnsi="Calibri" w:cs="Calibri"/>
                <w:b/>
                <w:color w:val="404040"/>
                <w:szCs w:val="20"/>
              </w:rPr>
              <w:t>$138,765</w:t>
            </w:r>
          </w:p>
        </w:tc>
        <w:tc>
          <w:tcPr>
            <w:tcW w:w="1483" w:type="dxa"/>
          </w:tcPr>
          <w:p w14:paraId="4F40366B" w14:textId="77777777" w:rsidR="00C91F30" w:rsidRPr="00C91F30" w:rsidRDefault="00C91F30" w:rsidP="00C91F30">
            <w:pPr>
              <w:spacing w:line="276" w:lineRule="auto"/>
              <w:ind w:right="-72"/>
              <w:jc w:val="center"/>
              <w:rPr>
                <w:rFonts w:ascii="Calibri" w:hAnsi="Calibri" w:cs="Calibri"/>
                <w:b/>
                <w:color w:val="404040"/>
                <w:szCs w:val="20"/>
              </w:rPr>
            </w:pPr>
            <w:r w:rsidRPr="00C91F30">
              <w:rPr>
                <w:rFonts w:ascii="Calibri" w:hAnsi="Calibri" w:cs="Calibri"/>
                <w:b/>
                <w:color w:val="404040"/>
                <w:szCs w:val="20"/>
              </w:rPr>
              <w:t>$164,115</w:t>
            </w:r>
          </w:p>
        </w:tc>
        <w:tc>
          <w:tcPr>
            <w:tcW w:w="1458" w:type="dxa"/>
          </w:tcPr>
          <w:p w14:paraId="6D74855A" w14:textId="77777777" w:rsidR="00C91F30" w:rsidRPr="00C91F30" w:rsidRDefault="00C91F30" w:rsidP="00C91F30">
            <w:pPr>
              <w:spacing w:line="276" w:lineRule="auto"/>
              <w:ind w:right="-72"/>
              <w:jc w:val="center"/>
              <w:rPr>
                <w:rFonts w:ascii="Calibri" w:hAnsi="Calibri" w:cs="Calibri"/>
                <w:b/>
                <w:color w:val="404040"/>
                <w:szCs w:val="20"/>
              </w:rPr>
            </w:pPr>
            <w:r w:rsidRPr="00C91F30">
              <w:rPr>
                <w:rFonts w:ascii="Calibri" w:hAnsi="Calibri" w:cs="Calibri"/>
                <w:b/>
                <w:color w:val="404040"/>
                <w:szCs w:val="20"/>
              </w:rPr>
              <w:t>$164,115</w:t>
            </w:r>
          </w:p>
        </w:tc>
      </w:tr>
    </w:tbl>
    <w:p w14:paraId="142B9EFF" w14:textId="77777777" w:rsidR="00C91F30" w:rsidRPr="00C91F30" w:rsidRDefault="00C91F30" w:rsidP="00C91F30">
      <w:pPr>
        <w:rPr>
          <w:color w:val="404040"/>
        </w:rPr>
      </w:pPr>
    </w:p>
    <w:p w14:paraId="687F5BB9" w14:textId="77777777" w:rsidR="00C91F30" w:rsidRPr="00C91F30" w:rsidRDefault="00C91F30" w:rsidP="00C91F30">
      <w:pPr>
        <w:rPr>
          <w:color w:val="404040"/>
        </w:rPr>
      </w:pPr>
    </w:p>
    <w:p w14:paraId="78EEC629" w14:textId="77777777" w:rsidR="00C91F30" w:rsidRPr="00C91F30" w:rsidRDefault="00C91F30" w:rsidP="00C91F30">
      <w:pPr>
        <w:rPr>
          <w:rFonts w:ascii="Calibri" w:hAnsi="Calibri"/>
          <w:b/>
          <w:color w:val="404040"/>
          <w:szCs w:val="20"/>
        </w:rPr>
      </w:pPr>
      <w:r w:rsidRPr="00C91F30">
        <w:rPr>
          <w:b/>
          <w:color w:val="404040"/>
        </w:rPr>
        <w:tab/>
      </w:r>
      <w:r w:rsidRPr="00C91F30">
        <w:rPr>
          <w:b/>
          <w:color w:val="404040"/>
        </w:rPr>
        <w:tab/>
        <w:t xml:space="preserve">    </w:t>
      </w:r>
      <w:r w:rsidRPr="00C91F30">
        <w:rPr>
          <w:rFonts w:ascii="Calibri" w:hAnsi="Calibri"/>
          <w:b/>
          <w:color w:val="404040"/>
          <w:szCs w:val="20"/>
        </w:rPr>
        <w:t>OTHER GRANT EXPENDITURES</w:t>
      </w:r>
    </w:p>
    <w:tbl>
      <w:tblPr>
        <w:tblStyle w:val="TableGrid1"/>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98"/>
        <w:gridCol w:w="1530"/>
        <w:gridCol w:w="1440"/>
        <w:gridCol w:w="1350"/>
        <w:gridCol w:w="1350"/>
        <w:gridCol w:w="1350"/>
      </w:tblGrid>
      <w:tr w:rsidR="00C91F30" w:rsidRPr="00C91F30" w14:paraId="12366C7B" w14:textId="77777777" w:rsidTr="00C91F30">
        <w:trPr>
          <w:jc w:val="center"/>
        </w:trPr>
        <w:tc>
          <w:tcPr>
            <w:tcW w:w="1998" w:type="dxa"/>
            <w:shd w:val="clear" w:color="auto" w:fill="D5DCE4"/>
          </w:tcPr>
          <w:p w14:paraId="7B34F9B1" w14:textId="77777777" w:rsidR="00C91F30" w:rsidRPr="00C91F30" w:rsidRDefault="00C91F30" w:rsidP="00C91F30">
            <w:pPr>
              <w:spacing w:line="276" w:lineRule="auto"/>
              <w:ind w:right="-72"/>
              <w:jc w:val="center"/>
              <w:rPr>
                <w:rFonts w:ascii="Calibri" w:hAnsi="Calibri" w:cs="Calibri"/>
                <w:b/>
                <w:color w:val="404040"/>
                <w:szCs w:val="20"/>
              </w:rPr>
            </w:pPr>
            <w:r w:rsidRPr="00C91F30">
              <w:rPr>
                <w:rFonts w:ascii="Calibri" w:hAnsi="Calibri" w:cs="Calibri"/>
                <w:b/>
                <w:color w:val="404040"/>
                <w:szCs w:val="20"/>
              </w:rPr>
              <w:t>Activity</w:t>
            </w:r>
          </w:p>
        </w:tc>
        <w:tc>
          <w:tcPr>
            <w:tcW w:w="1530" w:type="dxa"/>
            <w:shd w:val="clear" w:color="auto" w:fill="D5DCE4"/>
          </w:tcPr>
          <w:p w14:paraId="3A5C0399" w14:textId="77777777" w:rsidR="00C91F30" w:rsidRPr="00C91F30" w:rsidRDefault="00C91F30" w:rsidP="00C91F30">
            <w:pPr>
              <w:spacing w:line="276" w:lineRule="auto"/>
              <w:ind w:right="-72"/>
              <w:jc w:val="center"/>
              <w:rPr>
                <w:rFonts w:ascii="Calibri" w:hAnsi="Calibri" w:cs="Calibri"/>
                <w:b/>
                <w:color w:val="404040"/>
                <w:szCs w:val="20"/>
              </w:rPr>
            </w:pPr>
            <w:r w:rsidRPr="00C91F30">
              <w:rPr>
                <w:rFonts w:ascii="Calibri" w:hAnsi="Calibri" w:cs="Calibri"/>
                <w:b/>
                <w:color w:val="404040"/>
                <w:szCs w:val="20"/>
              </w:rPr>
              <w:t>2013-14</w:t>
            </w:r>
          </w:p>
        </w:tc>
        <w:tc>
          <w:tcPr>
            <w:tcW w:w="1440" w:type="dxa"/>
            <w:shd w:val="clear" w:color="auto" w:fill="D5DCE4"/>
          </w:tcPr>
          <w:p w14:paraId="7702C7A4" w14:textId="77777777" w:rsidR="00C91F30" w:rsidRPr="00C91F30" w:rsidRDefault="00C91F30" w:rsidP="00C91F30">
            <w:pPr>
              <w:spacing w:line="276" w:lineRule="auto"/>
              <w:ind w:right="-72"/>
              <w:jc w:val="center"/>
              <w:rPr>
                <w:rFonts w:ascii="Calibri" w:hAnsi="Calibri" w:cs="Calibri"/>
                <w:b/>
                <w:color w:val="404040"/>
                <w:szCs w:val="20"/>
              </w:rPr>
            </w:pPr>
            <w:r w:rsidRPr="00C91F30">
              <w:rPr>
                <w:rFonts w:ascii="Calibri" w:hAnsi="Calibri" w:cs="Calibri"/>
                <w:b/>
                <w:color w:val="404040"/>
                <w:szCs w:val="20"/>
              </w:rPr>
              <w:t>2014-15</w:t>
            </w:r>
          </w:p>
        </w:tc>
        <w:tc>
          <w:tcPr>
            <w:tcW w:w="1350" w:type="dxa"/>
            <w:shd w:val="clear" w:color="auto" w:fill="D5DCE4"/>
          </w:tcPr>
          <w:p w14:paraId="40B1CE39" w14:textId="77777777" w:rsidR="00C91F30" w:rsidRPr="00C91F30" w:rsidRDefault="00C91F30" w:rsidP="00C91F30">
            <w:pPr>
              <w:spacing w:line="276" w:lineRule="auto"/>
              <w:ind w:right="-72"/>
              <w:jc w:val="center"/>
              <w:rPr>
                <w:rFonts w:ascii="Calibri" w:hAnsi="Calibri" w:cs="Calibri"/>
                <w:b/>
                <w:color w:val="404040"/>
                <w:szCs w:val="20"/>
              </w:rPr>
            </w:pPr>
            <w:r w:rsidRPr="00C91F30">
              <w:rPr>
                <w:rFonts w:ascii="Calibri" w:hAnsi="Calibri" w:cs="Calibri"/>
                <w:b/>
                <w:color w:val="404040"/>
                <w:szCs w:val="20"/>
              </w:rPr>
              <w:t>2015-16</w:t>
            </w:r>
          </w:p>
        </w:tc>
        <w:tc>
          <w:tcPr>
            <w:tcW w:w="1350" w:type="dxa"/>
            <w:shd w:val="clear" w:color="auto" w:fill="D5DCE4"/>
          </w:tcPr>
          <w:p w14:paraId="00412D10" w14:textId="77777777" w:rsidR="00C91F30" w:rsidRPr="00C91F30" w:rsidRDefault="00C91F30" w:rsidP="00C91F30">
            <w:pPr>
              <w:spacing w:line="276" w:lineRule="auto"/>
              <w:ind w:right="-72"/>
              <w:jc w:val="center"/>
              <w:rPr>
                <w:rFonts w:ascii="Calibri" w:hAnsi="Calibri" w:cs="Calibri"/>
                <w:b/>
                <w:color w:val="404040"/>
                <w:szCs w:val="20"/>
              </w:rPr>
            </w:pPr>
            <w:r w:rsidRPr="00C91F30">
              <w:rPr>
                <w:rFonts w:ascii="Calibri" w:hAnsi="Calibri" w:cs="Calibri"/>
                <w:b/>
                <w:color w:val="404040"/>
                <w:szCs w:val="20"/>
              </w:rPr>
              <w:t>2016-17</w:t>
            </w:r>
          </w:p>
        </w:tc>
        <w:tc>
          <w:tcPr>
            <w:tcW w:w="1350" w:type="dxa"/>
            <w:shd w:val="clear" w:color="auto" w:fill="D5DCE4"/>
          </w:tcPr>
          <w:p w14:paraId="5F6A75CF" w14:textId="77777777" w:rsidR="00C91F30" w:rsidRPr="00C91F30" w:rsidRDefault="00C91F30" w:rsidP="00C91F30">
            <w:pPr>
              <w:spacing w:line="276" w:lineRule="auto"/>
              <w:ind w:right="-72"/>
              <w:jc w:val="center"/>
              <w:rPr>
                <w:rFonts w:ascii="Calibri" w:hAnsi="Calibri" w:cs="Calibri"/>
                <w:b/>
                <w:color w:val="404040"/>
                <w:szCs w:val="20"/>
              </w:rPr>
            </w:pPr>
            <w:r w:rsidRPr="00C91F30">
              <w:rPr>
                <w:rFonts w:ascii="Calibri" w:hAnsi="Calibri" w:cs="Calibri"/>
                <w:b/>
                <w:color w:val="404040"/>
                <w:szCs w:val="20"/>
              </w:rPr>
              <w:t>2017-18</w:t>
            </w:r>
          </w:p>
        </w:tc>
      </w:tr>
      <w:tr w:rsidR="00C91F30" w:rsidRPr="00C91F30" w14:paraId="3AC3631E" w14:textId="77777777" w:rsidTr="00816745">
        <w:trPr>
          <w:jc w:val="center"/>
        </w:trPr>
        <w:tc>
          <w:tcPr>
            <w:tcW w:w="1998" w:type="dxa"/>
          </w:tcPr>
          <w:p w14:paraId="4CEC6A39" w14:textId="77777777" w:rsidR="00C91F30" w:rsidRPr="00C91F30" w:rsidRDefault="00C91F30" w:rsidP="00C91F30">
            <w:pPr>
              <w:spacing w:line="276" w:lineRule="auto"/>
              <w:ind w:right="-72"/>
              <w:rPr>
                <w:rFonts w:ascii="Calibri" w:hAnsi="Calibri" w:cs="Calibri"/>
                <w:color w:val="404040"/>
                <w:szCs w:val="20"/>
              </w:rPr>
            </w:pPr>
            <w:r w:rsidRPr="00C91F30">
              <w:rPr>
                <w:rFonts w:ascii="Calibri" w:hAnsi="Calibri" w:cs="Calibri"/>
                <w:color w:val="404040"/>
                <w:szCs w:val="20"/>
              </w:rPr>
              <w:t>HMIS</w:t>
            </w:r>
          </w:p>
        </w:tc>
        <w:tc>
          <w:tcPr>
            <w:tcW w:w="1530" w:type="dxa"/>
          </w:tcPr>
          <w:p w14:paraId="24B3E7BF"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0</w:t>
            </w:r>
          </w:p>
        </w:tc>
        <w:tc>
          <w:tcPr>
            <w:tcW w:w="1440" w:type="dxa"/>
          </w:tcPr>
          <w:p w14:paraId="24CE5877"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0</w:t>
            </w:r>
          </w:p>
        </w:tc>
        <w:tc>
          <w:tcPr>
            <w:tcW w:w="1350" w:type="dxa"/>
          </w:tcPr>
          <w:p w14:paraId="1B248B0D"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0</w:t>
            </w:r>
          </w:p>
        </w:tc>
        <w:tc>
          <w:tcPr>
            <w:tcW w:w="1350" w:type="dxa"/>
          </w:tcPr>
          <w:p w14:paraId="63F71F94"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0</w:t>
            </w:r>
          </w:p>
        </w:tc>
        <w:tc>
          <w:tcPr>
            <w:tcW w:w="1350" w:type="dxa"/>
          </w:tcPr>
          <w:p w14:paraId="1A8350E7"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0</w:t>
            </w:r>
          </w:p>
        </w:tc>
      </w:tr>
      <w:tr w:rsidR="00C91F30" w:rsidRPr="00C91F30" w14:paraId="717AB2B3" w14:textId="77777777" w:rsidTr="00816745">
        <w:trPr>
          <w:jc w:val="center"/>
        </w:trPr>
        <w:tc>
          <w:tcPr>
            <w:tcW w:w="1998" w:type="dxa"/>
          </w:tcPr>
          <w:p w14:paraId="74BE4E63" w14:textId="77777777" w:rsidR="00C91F30" w:rsidRPr="00C91F30" w:rsidRDefault="00C91F30" w:rsidP="00C91F30">
            <w:pPr>
              <w:spacing w:line="276" w:lineRule="auto"/>
              <w:ind w:right="-72"/>
              <w:rPr>
                <w:rFonts w:ascii="Calibri" w:hAnsi="Calibri" w:cs="Calibri"/>
                <w:color w:val="404040"/>
                <w:szCs w:val="20"/>
              </w:rPr>
            </w:pPr>
            <w:r w:rsidRPr="00C91F30">
              <w:rPr>
                <w:rFonts w:ascii="Calibri" w:hAnsi="Calibri" w:cs="Calibri"/>
                <w:color w:val="404040"/>
                <w:szCs w:val="20"/>
              </w:rPr>
              <w:t>Administration</w:t>
            </w:r>
          </w:p>
        </w:tc>
        <w:tc>
          <w:tcPr>
            <w:tcW w:w="1530" w:type="dxa"/>
          </w:tcPr>
          <w:p w14:paraId="43D219A9"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$17,536</w:t>
            </w:r>
          </w:p>
        </w:tc>
        <w:tc>
          <w:tcPr>
            <w:tcW w:w="1440" w:type="dxa"/>
          </w:tcPr>
          <w:p w14:paraId="6E2F3F3C"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$17,537</w:t>
            </w:r>
          </w:p>
        </w:tc>
        <w:tc>
          <w:tcPr>
            <w:tcW w:w="1350" w:type="dxa"/>
          </w:tcPr>
          <w:p w14:paraId="2599CEA5"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$17,537</w:t>
            </w:r>
          </w:p>
        </w:tc>
        <w:tc>
          <w:tcPr>
            <w:tcW w:w="1350" w:type="dxa"/>
          </w:tcPr>
          <w:p w14:paraId="18994E82"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$18,666</w:t>
            </w:r>
          </w:p>
        </w:tc>
        <w:tc>
          <w:tcPr>
            <w:tcW w:w="1350" w:type="dxa"/>
          </w:tcPr>
          <w:p w14:paraId="4C659E67" w14:textId="5568EFB1" w:rsidR="00C91F30" w:rsidRPr="00C91F30" w:rsidRDefault="00F5317B" w:rsidP="00C91F30">
            <w:pPr>
              <w:spacing w:line="276" w:lineRule="auto"/>
              <w:ind w:right="-72"/>
              <w:jc w:val="center"/>
              <w:rPr>
                <w:rFonts w:ascii="Calibri" w:hAnsi="Calibri" w:cs="Calibri"/>
                <w:color w:val="404040"/>
                <w:szCs w:val="20"/>
              </w:rPr>
            </w:pPr>
            <w:r>
              <w:rPr>
                <w:rFonts w:ascii="Calibri" w:hAnsi="Calibri" w:cs="Calibri"/>
                <w:color w:val="404040"/>
                <w:szCs w:val="20"/>
              </w:rPr>
              <w:t>$3,525</w:t>
            </w:r>
          </w:p>
        </w:tc>
      </w:tr>
      <w:tr w:rsidR="00C91F30" w:rsidRPr="00C91F30" w14:paraId="34E6FE49" w14:textId="77777777" w:rsidTr="00816745">
        <w:trPr>
          <w:jc w:val="center"/>
        </w:trPr>
        <w:tc>
          <w:tcPr>
            <w:tcW w:w="1998" w:type="dxa"/>
          </w:tcPr>
          <w:p w14:paraId="0B2682B4" w14:textId="77777777" w:rsidR="00C91F30" w:rsidRPr="00C91F30" w:rsidRDefault="00C91F30" w:rsidP="00C91F30">
            <w:pPr>
              <w:spacing w:line="276" w:lineRule="auto"/>
              <w:ind w:right="-72"/>
              <w:rPr>
                <w:rFonts w:ascii="Calibri" w:hAnsi="Calibri" w:cs="Calibri"/>
                <w:color w:val="404040"/>
                <w:szCs w:val="20"/>
              </w:rPr>
            </w:pPr>
            <w:r w:rsidRPr="00C91F30">
              <w:rPr>
                <w:rFonts w:ascii="Calibri" w:hAnsi="Calibri" w:cs="Calibri"/>
                <w:color w:val="404040"/>
                <w:szCs w:val="20"/>
              </w:rPr>
              <w:t>Street Outreach</w:t>
            </w:r>
          </w:p>
        </w:tc>
        <w:tc>
          <w:tcPr>
            <w:tcW w:w="1530" w:type="dxa"/>
          </w:tcPr>
          <w:p w14:paraId="5F70E8AA"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0</w:t>
            </w:r>
          </w:p>
        </w:tc>
        <w:tc>
          <w:tcPr>
            <w:tcW w:w="1440" w:type="dxa"/>
          </w:tcPr>
          <w:p w14:paraId="099AA138"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0</w:t>
            </w:r>
          </w:p>
        </w:tc>
        <w:tc>
          <w:tcPr>
            <w:tcW w:w="1350" w:type="dxa"/>
          </w:tcPr>
          <w:p w14:paraId="0C27A48F"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$11,132</w:t>
            </w:r>
          </w:p>
        </w:tc>
        <w:tc>
          <w:tcPr>
            <w:tcW w:w="1350" w:type="dxa"/>
          </w:tcPr>
          <w:p w14:paraId="67E0B2CD"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0</w:t>
            </w:r>
          </w:p>
        </w:tc>
        <w:tc>
          <w:tcPr>
            <w:tcW w:w="1350" w:type="dxa"/>
          </w:tcPr>
          <w:p w14:paraId="32384CCC" w14:textId="77777777" w:rsidR="00C91F30" w:rsidRPr="00C91F30" w:rsidRDefault="00C91F30" w:rsidP="00C91F30">
            <w:pPr>
              <w:spacing w:line="276" w:lineRule="auto"/>
              <w:ind w:right="-72"/>
              <w:jc w:val="center"/>
              <w:rPr>
                <w:rFonts w:ascii="Calibri" w:hAnsi="Calibri" w:cs="Calibri"/>
                <w:color w:val="404040"/>
                <w:szCs w:val="20"/>
              </w:rPr>
            </w:pPr>
            <w:r w:rsidRPr="00C91F30">
              <w:rPr>
                <w:rFonts w:ascii="Calibri" w:hAnsi="Calibri" w:cs="Calibri"/>
                <w:color w:val="404040"/>
                <w:szCs w:val="20"/>
              </w:rPr>
              <w:t>0</w:t>
            </w:r>
          </w:p>
        </w:tc>
      </w:tr>
      <w:tr w:rsidR="00C91F30" w:rsidRPr="00C91F30" w14:paraId="0DF1AE43" w14:textId="77777777" w:rsidTr="00816745">
        <w:trPr>
          <w:jc w:val="center"/>
        </w:trPr>
        <w:tc>
          <w:tcPr>
            <w:tcW w:w="1998" w:type="dxa"/>
          </w:tcPr>
          <w:p w14:paraId="1CB5F7A2" w14:textId="77777777" w:rsidR="00C91F30" w:rsidRPr="00C91F30" w:rsidRDefault="00C91F30" w:rsidP="00C91F30">
            <w:pPr>
              <w:tabs>
                <w:tab w:val="center" w:pos="1215"/>
              </w:tabs>
              <w:spacing w:line="276" w:lineRule="auto"/>
              <w:ind w:right="-72"/>
              <w:jc w:val="right"/>
              <w:rPr>
                <w:rFonts w:ascii="Calibri" w:hAnsi="Calibri" w:cs="Calibri"/>
                <w:b/>
                <w:color w:val="404040"/>
                <w:szCs w:val="20"/>
              </w:rPr>
            </w:pPr>
            <w:r w:rsidRPr="00C91F30">
              <w:rPr>
                <w:rFonts w:ascii="Calibri" w:hAnsi="Calibri" w:cs="Calibri"/>
                <w:b/>
                <w:color w:val="404040"/>
                <w:szCs w:val="20"/>
              </w:rPr>
              <w:t>Total</w:t>
            </w:r>
          </w:p>
        </w:tc>
        <w:tc>
          <w:tcPr>
            <w:tcW w:w="1530" w:type="dxa"/>
          </w:tcPr>
          <w:p w14:paraId="0BE9D5C6" w14:textId="77777777" w:rsidR="00C91F30" w:rsidRPr="00C91F30" w:rsidRDefault="00C91F30" w:rsidP="00C91F30">
            <w:pPr>
              <w:spacing w:line="276" w:lineRule="auto"/>
              <w:ind w:right="-72"/>
              <w:jc w:val="center"/>
              <w:rPr>
                <w:rFonts w:ascii="Calibri" w:hAnsi="Calibri" w:cs="Calibri"/>
                <w:b/>
                <w:color w:val="404040"/>
                <w:szCs w:val="20"/>
              </w:rPr>
            </w:pPr>
            <w:r w:rsidRPr="00C91F30">
              <w:rPr>
                <w:rFonts w:ascii="Calibri" w:hAnsi="Calibri" w:cs="Calibri"/>
                <w:b/>
                <w:color w:val="404040"/>
                <w:szCs w:val="20"/>
              </w:rPr>
              <w:t>$17,536</w:t>
            </w:r>
          </w:p>
        </w:tc>
        <w:tc>
          <w:tcPr>
            <w:tcW w:w="1440" w:type="dxa"/>
          </w:tcPr>
          <w:p w14:paraId="24BAD131" w14:textId="77777777" w:rsidR="00C91F30" w:rsidRPr="00C91F30" w:rsidRDefault="00C91F30" w:rsidP="00C91F30">
            <w:pPr>
              <w:spacing w:line="276" w:lineRule="auto"/>
              <w:ind w:right="-72"/>
              <w:jc w:val="center"/>
              <w:rPr>
                <w:rFonts w:ascii="Calibri" w:hAnsi="Calibri" w:cs="Calibri"/>
                <w:b/>
                <w:color w:val="404040"/>
                <w:szCs w:val="20"/>
              </w:rPr>
            </w:pPr>
            <w:r w:rsidRPr="00C91F30">
              <w:rPr>
                <w:rFonts w:ascii="Calibri" w:hAnsi="Calibri" w:cs="Calibri"/>
                <w:b/>
                <w:color w:val="404040"/>
                <w:szCs w:val="20"/>
              </w:rPr>
              <w:t>$17,537</w:t>
            </w:r>
          </w:p>
        </w:tc>
        <w:tc>
          <w:tcPr>
            <w:tcW w:w="1350" w:type="dxa"/>
          </w:tcPr>
          <w:p w14:paraId="2DF80A7C" w14:textId="77777777" w:rsidR="00C91F30" w:rsidRPr="00C91F30" w:rsidRDefault="00C91F30" w:rsidP="00C91F30">
            <w:pPr>
              <w:spacing w:line="276" w:lineRule="auto"/>
              <w:ind w:right="-72"/>
              <w:jc w:val="center"/>
              <w:rPr>
                <w:rFonts w:ascii="Calibri" w:hAnsi="Calibri" w:cs="Calibri"/>
                <w:b/>
                <w:color w:val="404040"/>
                <w:szCs w:val="20"/>
              </w:rPr>
            </w:pPr>
            <w:r w:rsidRPr="00C91F30">
              <w:rPr>
                <w:rFonts w:ascii="Calibri" w:hAnsi="Calibri" w:cs="Calibri"/>
                <w:b/>
                <w:color w:val="404040"/>
                <w:szCs w:val="20"/>
              </w:rPr>
              <w:t>$28,669</w:t>
            </w:r>
          </w:p>
        </w:tc>
        <w:tc>
          <w:tcPr>
            <w:tcW w:w="1350" w:type="dxa"/>
          </w:tcPr>
          <w:p w14:paraId="1FB70E0A" w14:textId="77777777" w:rsidR="00C91F30" w:rsidRPr="00C91F30" w:rsidRDefault="00C91F30" w:rsidP="00C91F30">
            <w:pPr>
              <w:spacing w:line="276" w:lineRule="auto"/>
              <w:ind w:right="-72"/>
              <w:jc w:val="center"/>
              <w:rPr>
                <w:rFonts w:ascii="Calibri" w:hAnsi="Calibri" w:cs="Calibri"/>
                <w:b/>
                <w:color w:val="404040"/>
                <w:szCs w:val="20"/>
              </w:rPr>
            </w:pPr>
            <w:r w:rsidRPr="00C91F30">
              <w:rPr>
                <w:rFonts w:ascii="Calibri" w:hAnsi="Calibri" w:cs="Calibri"/>
                <w:b/>
                <w:color w:val="404040"/>
                <w:szCs w:val="20"/>
              </w:rPr>
              <w:t>$18,666</w:t>
            </w:r>
          </w:p>
        </w:tc>
        <w:tc>
          <w:tcPr>
            <w:tcW w:w="1350" w:type="dxa"/>
          </w:tcPr>
          <w:p w14:paraId="4CA26B0D" w14:textId="103A9F69" w:rsidR="00C91F30" w:rsidRPr="00C91F30" w:rsidRDefault="00C91F30" w:rsidP="00F5317B">
            <w:pPr>
              <w:spacing w:line="276" w:lineRule="auto"/>
              <w:ind w:right="-72"/>
              <w:jc w:val="center"/>
              <w:rPr>
                <w:rFonts w:ascii="Calibri" w:hAnsi="Calibri" w:cs="Calibri"/>
                <w:b/>
                <w:color w:val="404040"/>
                <w:szCs w:val="20"/>
              </w:rPr>
            </w:pPr>
            <w:r w:rsidRPr="00C91F30">
              <w:rPr>
                <w:rFonts w:ascii="Calibri" w:hAnsi="Calibri" w:cs="Calibri"/>
                <w:b/>
                <w:color w:val="404040"/>
                <w:szCs w:val="20"/>
              </w:rPr>
              <w:t>$</w:t>
            </w:r>
            <w:r w:rsidR="00F5317B">
              <w:rPr>
                <w:rFonts w:ascii="Calibri" w:hAnsi="Calibri" w:cs="Calibri"/>
                <w:b/>
                <w:color w:val="404040"/>
                <w:szCs w:val="20"/>
              </w:rPr>
              <w:t>3,525</w:t>
            </w:r>
          </w:p>
        </w:tc>
      </w:tr>
    </w:tbl>
    <w:p w14:paraId="0BB70055" w14:textId="77777777" w:rsidR="00C91F30" w:rsidRPr="00C91F30" w:rsidRDefault="00C91F30" w:rsidP="00C91F30">
      <w:pPr>
        <w:pageBreakBefore/>
        <w:widowControl w:val="0"/>
        <w:suppressAutoHyphens/>
        <w:overflowPunct w:val="0"/>
        <w:autoSpaceDE w:val="0"/>
        <w:autoSpaceDN w:val="0"/>
        <w:adjustRightInd w:val="0"/>
        <w:outlineLvl w:val="1"/>
        <w:rPr>
          <w:rFonts w:ascii="Calibri" w:eastAsia="Arial Unicode MS" w:hAnsi="Calibri"/>
          <w:b/>
          <w:color w:val="404040"/>
          <w:szCs w:val="20"/>
        </w:rPr>
      </w:pPr>
    </w:p>
    <w:p w14:paraId="06947501" w14:textId="77777777" w:rsidR="00C91F30" w:rsidRPr="00C91F30" w:rsidRDefault="00C91F30" w:rsidP="00C91F30">
      <w:pPr>
        <w:rPr>
          <w:color w:val="404040"/>
        </w:rPr>
      </w:pPr>
    </w:p>
    <w:p w14:paraId="08595CB7" w14:textId="77777777" w:rsidR="00C91F30" w:rsidRPr="00C91F30" w:rsidRDefault="00C91F30" w:rsidP="00C91F30">
      <w:pPr>
        <w:rPr>
          <w:rFonts w:ascii="Calibri" w:hAnsi="Calibri" w:cs="Calibri"/>
          <w:b/>
          <w:color w:val="404040"/>
          <w:szCs w:val="20"/>
        </w:rPr>
      </w:pPr>
      <w:r w:rsidRPr="00C91F30">
        <w:rPr>
          <w:b/>
          <w:color w:val="404040"/>
        </w:rPr>
        <w:tab/>
      </w:r>
      <w:r w:rsidRPr="00C91F30">
        <w:rPr>
          <w:b/>
          <w:color w:val="404040"/>
        </w:rPr>
        <w:tab/>
      </w:r>
      <w:r w:rsidRPr="00C91F30">
        <w:rPr>
          <w:rFonts w:ascii="Calibri" w:hAnsi="Calibri" w:cs="Calibri"/>
          <w:b/>
          <w:color w:val="404040"/>
          <w:szCs w:val="20"/>
        </w:rPr>
        <w:t>TOTAL ESG GRANT FUNDS EXPENDED</w:t>
      </w:r>
    </w:p>
    <w:tbl>
      <w:tblPr>
        <w:tblStyle w:val="TableGrid1"/>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15"/>
        <w:gridCol w:w="1674"/>
        <w:gridCol w:w="1620"/>
        <w:gridCol w:w="1530"/>
        <w:gridCol w:w="1530"/>
        <w:gridCol w:w="1530"/>
      </w:tblGrid>
      <w:tr w:rsidR="00C91F30" w:rsidRPr="00C91F30" w14:paraId="4B57BCFE" w14:textId="77777777" w:rsidTr="00C91F30">
        <w:trPr>
          <w:jc w:val="center"/>
        </w:trPr>
        <w:tc>
          <w:tcPr>
            <w:tcW w:w="2115" w:type="dxa"/>
            <w:shd w:val="clear" w:color="auto" w:fill="D5DCE4"/>
            <w:vAlign w:val="center"/>
          </w:tcPr>
          <w:p w14:paraId="3D045E70" w14:textId="77777777" w:rsidR="00C91F30" w:rsidRDefault="00C91F30" w:rsidP="00C91F30">
            <w:pPr>
              <w:jc w:val="center"/>
              <w:rPr>
                <w:rFonts w:ascii="Calibri" w:hAnsi="Calibri" w:cs="Calibri"/>
                <w:b/>
                <w:color w:val="404040"/>
                <w:szCs w:val="20"/>
              </w:rPr>
            </w:pPr>
            <w:r w:rsidRPr="00C91F30">
              <w:rPr>
                <w:rFonts w:ascii="Calibri" w:hAnsi="Calibri" w:cs="Calibri"/>
                <w:b/>
                <w:color w:val="404040"/>
                <w:szCs w:val="20"/>
              </w:rPr>
              <w:t>Total Funds Expended</w:t>
            </w:r>
          </w:p>
          <w:p w14:paraId="6746988B" w14:textId="3B9EB10E" w:rsidR="00F5317B" w:rsidRPr="00C91F30" w:rsidRDefault="00F5317B" w:rsidP="00C91F30">
            <w:pPr>
              <w:jc w:val="center"/>
              <w:rPr>
                <w:rFonts w:ascii="Calibri" w:hAnsi="Calibri" w:cs="Calibri"/>
                <w:b/>
                <w:color w:val="404040"/>
                <w:szCs w:val="20"/>
              </w:rPr>
            </w:pPr>
            <w:r>
              <w:rPr>
                <w:rFonts w:ascii="Calibri" w:hAnsi="Calibri" w:cs="Calibri"/>
                <w:b/>
                <w:color w:val="404040"/>
                <w:szCs w:val="20"/>
              </w:rPr>
              <w:t>in the Last 3 Years</w:t>
            </w:r>
          </w:p>
        </w:tc>
        <w:tc>
          <w:tcPr>
            <w:tcW w:w="1674" w:type="dxa"/>
            <w:shd w:val="clear" w:color="auto" w:fill="D5DCE4"/>
            <w:vAlign w:val="center"/>
          </w:tcPr>
          <w:p w14:paraId="1A56F1F4" w14:textId="77777777" w:rsidR="00C91F30" w:rsidRPr="00C91F30" w:rsidRDefault="00C91F30" w:rsidP="00C91F30">
            <w:pPr>
              <w:jc w:val="center"/>
              <w:rPr>
                <w:rFonts w:ascii="Calibri" w:hAnsi="Calibri" w:cs="Calibri"/>
                <w:b/>
                <w:color w:val="404040"/>
                <w:szCs w:val="20"/>
              </w:rPr>
            </w:pPr>
            <w:r w:rsidRPr="00C91F30">
              <w:rPr>
                <w:rFonts w:ascii="Calibri" w:hAnsi="Calibri" w:cs="Calibri"/>
                <w:b/>
                <w:color w:val="404040"/>
                <w:szCs w:val="20"/>
              </w:rPr>
              <w:t>2013-14</w:t>
            </w:r>
          </w:p>
        </w:tc>
        <w:tc>
          <w:tcPr>
            <w:tcW w:w="1620" w:type="dxa"/>
            <w:shd w:val="clear" w:color="auto" w:fill="D5DCE4"/>
            <w:vAlign w:val="center"/>
          </w:tcPr>
          <w:p w14:paraId="148CCEDF" w14:textId="77777777" w:rsidR="00C91F30" w:rsidRPr="00C91F30" w:rsidRDefault="00C91F30" w:rsidP="00C91F30">
            <w:pPr>
              <w:jc w:val="center"/>
              <w:rPr>
                <w:rFonts w:ascii="Calibri" w:hAnsi="Calibri" w:cs="Calibri"/>
                <w:b/>
                <w:color w:val="404040"/>
                <w:szCs w:val="20"/>
              </w:rPr>
            </w:pPr>
            <w:r w:rsidRPr="00C91F30">
              <w:rPr>
                <w:rFonts w:ascii="Calibri" w:hAnsi="Calibri" w:cs="Calibri"/>
                <w:b/>
                <w:color w:val="404040"/>
                <w:szCs w:val="20"/>
              </w:rPr>
              <w:t>2014-15</w:t>
            </w:r>
          </w:p>
        </w:tc>
        <w:tc>
          <w:tcPr>
            <w:tcW w:w="1530" w:type="dxa"/>
            <w:shd w:val="clear" w:color="auto" w:fill="D5DCE4"/>
            <w:vAlign w:val="center"/>
          </w:tcPr>
          <w:p w14:paraId="78E90172" w14:textId="77777777" w:rsidR="00C91F30" w:rsidRPr="00C91F30" w:rsidRDefault="00C91F30" w:rsidP="00C91F30">
            <w:pPr>
              <w:jc w:val="center"/>
              <w:rPr>
                <w:rFonts w:ascii="Calibri" w:hAnsi="Calibri" w:cs="Calibri"/>
                <w:b/>
                <w:color w:val="404040"/>
                <w:szCs w:val="20"/>
              </w:rPr>
            </w:pPr>
            <w:r w:rsidRPr="00C91F30">
              <w:rPr>
                <w:rFonts w:ascii="Calibri" w:hAnsi="Calibri" w:cs="Calibri"/>
                <w:b/>
                <w:color w:val="404040"/>
                <w:szCs w:val="20"/>
              </w:rPr>
              <w:t>2015-16</w:t>
            </w:r>
          </w:p>
        </w:tc>
        <w:tc>
          <w:tcPr>
            <w:tcW w:w="1530" w:type="dxa"/>
            <w:shd w:val="clear" w:color="auto" w:fill="D5DCE4"/>
          </w:tcPr>
          <w:p w14:paraId="1DE97AB6" w14:textId="77777777" w:rsidR="00C91F30" w:rsidRPr="00C91F30" w:rsidRDefault="00C91F30" w:rsidP="00C91F30">
            <w:pPr>
              <w:jc w:val="center"/>
              <w:rPr>
                <w:rFonts w:ascii="Calibri" w:hAnsi="Calibri" w:cs="Calibri"/>
                <w:b/>
                <w:color w:val="404040"/>
                <w:szCs w:val="20"/>
              </w:rPr>
            </w:pPr>
            <w:r w:rsidRPr="00C91F30">
              <w:rPr>
                <w:rFonts w:ascii="Calibri" w:hAnsi="Calibri" w:cs="Calibri"/>
                <w:b/>
                <w:color w:val="404040"/>
                <w:szCs w:val="20"/>
              </w:rPr>
              <w:t>2016-17</w:t>
            </w:r>
          </w:p>
        </w:tc>
        <w:tc>
          <w:tcPr>
            <w:tcW w:w="1530" w:type="dxa"/>
            <w:shd w:val="clear" w:color="auto" w:fill="D5DCE4"/>
          </w:tcPr>
          <w:p w14:paraId="21155B2E" w14:textId="77777777" w:rsidR="00C91F30" w:rsidRPr="00C91F30" w:rsidRDefault="00C91F30" w:rsidP="00C91F30">
            <w:pPr>
              <w:jc w:val="center"/>
              <w:rPr>
                <w:rFonts w:ascii="Calibri" w:hAnsi="Calibri" w:cs="Calibri"/>
                <w:b/>
                <w:color w:val="404040"/>
                <w:szCs w:val="20"/>
              </w:rPr>
            </w:pPr>
            <w:r w:rsidRPr="00C91F30">
              <w:rPr>
                <w:rFonts w:ascii="Calibri" w:hAnsi="Calibri" w:cs="Calibri"/>
                <w:b/>
                <w:color w:val="404040"/>
                <w:szCs w:val="20"/>
              </w:rPr>
              <w:t>2017-18</w:t>
            </w:r>
          </w:p>
        </w:tc>
      </w:tr>
      <w:tr w:rsidR="00C91F30" w:rsidRPr="00C91F30" w14:paraId="2F8D24D7" w14:textId="77777777" w:rsidTr="00816745">
        <w:trPr>
          <w:jc w:val="center"/>
        </w:trPr>
        <w:tc>
          <w:tcPr>
            <w:tcW w:w="2115" w:type="dxa"/>
            <w:vAlign w:val="center"/>
          </w:tcPr>
          <w:p w14:paraId="7FFA2879" w14:textId="33732424" w:rsidR="00C91F30" w:rsidRPr="00C91F30" w:rsidRDefault="00F659A2" w:rsidP="00F659A2">
            <w:pPr>
              <w:jc w:val="center"/>
              <w:rPr>
                <w:rFonts w:ascii="Calibri" w:hAnsi="Calibri" w:cs="Calibri"/>
                <w:color w:val="404040"/>
                <w:szCs w:val="20"/>
              </w:rPr>
            </w:pPr>
            <w:r>
              <w:rPr>
                <w:rFonts w:ascii="Calibri" w:hAnsi="Calibri" w:cs="Calibri"/>
                <w:color w:val="404040"/>
                <w:szCs w:val="20"/>
              </w:rPr>
              <w:t>$902</w:t>
            </w:r>
            <w:r w:rsidR="003503C6">
              <w:rPr>
                <w:rFonts w:ascii="Calibri" w:hAnsi="Calibri" w:cs="Calibri"/>
                <w:color w:val="404040"/>
                <w:szCs w:val="20"/>
              </w:rPr>
              <w:t>,</w:t>
            </w:r>
            <w:r>
              <w:rPr>
                <w:rFonts w:ascii="Calibri" w:hAnsi="Calibri" w:cs="Calibri"/>
                <w:color w:val="404040"/>
                <w:szCs w:val="20"/>
              </w:rPr>
              <w:t>704</w:t>
            </w:r>
          </w:p>
        </w:tc>
        <w:tc>
          <w:tcPr>
            <w:tcW w:w="1674" w:type="dxa"/>
            <w:vAlign w:val="center"/>
          </w:tcPr>
          <w:p w14:paraId="3AEF9FBF" w14:textId="77777777" w:rsidR="00C91F30" w:rsidRPr="00C91F30" w:rsidRDefault="00C91F30" w:rsidP="00C91F30">
            <w:pPr>
              <w:jc w:val="center"/>
              <w:rPr>
                <w:rFonts w:ascii="Calibri" w:hAnsi="Calibri" w:cs="Calibri"/>
                <w:color w:val="404040"/>
                <w:szCs w:val="20"/>
              </w:rPr>
            </w:pPr>
            <w:r w:rsidRPr="00C91F30">
              <w:rPr>
                <w:rFonts w:ascii="Calibri" w:hAnsi="Calibri" w:cs="Calibri"/>
                <w:color w:val="404040"/>
                <w:szCs w:val="20"/>
              </w:rPr>
              <w:t>$237,959</w:t>
            </w:r>
          </w:p>
        </w:tc>
        <w:tc>
          <w:tcPr>
            <w:tcW w:w="1620" w:type="dxa"/>
            <w:vAlign w:val="center"/>
          </w:tcPr>
          <w:p w14:paraId="15D02A8C" w14:textId="77777777" w:rsidR="00C91F30" w:rsidRPr="00C91F30" w:rsidRDefault="00C91F30" w:rsidP="00C91F30">
            <w:pPr>
              <w:jc w:val="center"/>
              <w:rPr>
                <w:rFonts w:ascii="Calibri" w:hAnsi="Calibri" w:cs="Calibri"/>
                <w:color w:val="404040"/>
                <w:szCs w:val="20"/>
              </w:rPr>
            </w:pPr>
            <w:r w:rsidRPr="00C91F30">
              <w:rPr>
                <w:rFonts w:ascii="Calibri" w:hAnsi="Calibri" w:cs="Calibri"/>
                <w:color w:val="404040"/>
                <w:szCs w:val="20"/>
              </w:rPr>
              <w:t>$263,942</w:t>
            </w:r>
          </w:p>
        </w:tc>
        <w:tc>
          <w:tcPr>
            <w:tcW w:w="1530" w:type="dxa"/>
            <w:vAlign w:val="center"/>
          </w:tcPr>
          <w:p w14:paraId="6DFCED43" w14:textId="2EF7DD3E" w:rsidR="00C91F30" w:rsidRPr="00C91F30" w:rsidRDefault="005F3FCF" w:rsidP="00C91F30">
            <w:pPr>
              <w:jc w:val="center"/>
              <w:rPr>
                <w:rFonts w:ascii="Calibri" w:hAnsi="Calibri" w:cs="Calibri"/>
                <w:color w:val="404040"/>
                <w:szCs w:val="20"/>
              </w:rPr>
            </w:pPr>
            <w:r>
              <w:rPr>
                <w:rFonts w:ascii="Calibri" w:hAnsi="Calibri" w:cs="Calibri"/>
                <w:color w:val="404040"/>
                <w:szCs w:val="20"/>
              </w:rPr>
              <w:t>$327,577</w:t>
            </w:r>
          </w:p>
        </w:tc>
        <w:tc>
          <w:tcPr>
            <w:tcW w:w="1530" w:type="dxa"/>
          </w:tcPr>
          <w:p w14:paraId="1B270A38" w14:textId="52AEDA26" w:rsidR="00C91F30" w:rsidRPr="00C91F30" w:rsidRDefault="00870D5F" w:rsidP="00C91F30">
            <w:pPr>
              <w:jc w:val="center"/>
              <w:rPr>
                <w:rFonts w:ascii="Calibri" w:hAnsi="Calibri" w:cs="Calibri"/>
                <w:color w:val="404040"/>
                <w:szCs w:val="20"/>
              </w:rPr>
            </w:pPr>
            <w:r>
              <w:rPr>
                <w:rFonts w:ascii="Calibri" w:hAnsi="Calibri" w:cs="Calibri"/>
                <w:color w:val="404040"/>
                <w:szCs w:val="20"/>
              </w:rPr>
              <w:t>$291,979</w:t>
            </w:r>
          </w:p>
        </w:tc>
        <w:tc>
          <w:tcPr>
            <w:tcW w:w="1530" w:type="dxa"/>
          </w:tcPr>
          <w:p w14:paraId="43BFC8F5" w14:textId="135DED44" w:rsidR="00C91F30" w:rsidRPr="00C91F30" w:rsidRDefault="00972E5E" w:rsidP="00F5317B">
            <w:pPr>
              <w:jc w:val="center"/>
              <w:rPr>
                <w:rFonts w:ascii="Calibri" w:hAnsi="Calibri" w:cs="Calibri"/>
                <w:color w:val="404040"/>
                <w:szCs w:val="20"/>
              </w:rPr>
            </w:pPr>
            <w:r>
              <w:rPr>
                <w:rFonts w:ascii="Calibri" w:hAnsi="Calibri" w:cs="Calibri"/>
                <w:color w:val="404040"/>
                <w:szCs w:val="20"/>
              </w:rPr>
              <w:t>28</w:t>
            </w:r>
            <w:r w:rsidR="00F5317B">
              <w:rPr>
                <w:rFonts w:ascii="Calibri" w:hAnsi="Calibri" w:cs="Calibri"/>
                <w:color w:val="404040"/>
                <w:szCs w:val="20"/>
              </w:rPr>
              <w:t>3,148</w:t>
            </w:r>
            <w:r w:rsidR="00F5317B" w:rsidRPr="00C91F30">
              <w:rPr>
                <w:rFonts w:ascii="Calibri" w:hAnsi="Calibri" w:cs="Calibri"/>
                <w:color w:val="404040"/>
                <w:szCs w:val="20"/>
              </w:rPr>
              <w:t xml:space="preserve"> </w:t>
            </w:r>
          </w:p>
        </w:tc>
      </w:tr>
    </w:tbl>
    <w:p w14:paraId="54CB0AAB" w14:textId="77777777" w:rsidR="00C91F30" w:rsidRPr="00C91F30" w:rsidRDefault="00C91F30" w:rsidP="00C91F30">
      <w:pPr>
        <w:rPr>
          <w:rFonts w:ascii="Calibri" w:hAnsi="Calibri" w:cs="Calibri"/>
          <w:color w:val="404040"/>
          <w:szCs w:val="20"/>
        </w:rPr>
      </w:pPr>
    </w:p>
    <w:p w14:paraId="0C6535AA" w14:textId="77777777" w:rsidR="00C91F30" w:rsidRPr="00C91F30" w:rsidRDefault="00C91F30" w:rsidP="00C91F30">
      <w:pPr>
        <w:rPr>
          <w:rFonts w:ascii="Calibri" w:hAnsi="Calibri" w:cs="Calibri"/>
          <w:color w:val="404040"/>
          <w:szCs w:val="20"/>
        </w:rPr>
      </w:pPr>
    </w:p>
    <w:p w14:paraId="21C871AF" w14:textId="77777777" w:rsidR="00C91F30" w:rsidRPr="00C91F30" w:rsidRDefault="00C91F30" w:rsidP="00C91F30">
      <w:pPr>
        <w:ind w:left="720" w:firstLine="720"/>
        <w:rPr>
          <w:rFonts w:ascii="Calibri" w:hAnsi="Calibri" w:cs="Calibri"/>
          <w:b/>
          <w:color w:val="404040"/>
          <w:szCs w:val="20"/>
        </w:rPr>
      </w:pPr>
      <w:r w:rsidRPr="00C91F30">
        <w:rPr>
          <w:rFonts w:ascii="Calibri" w:hAnsi="Calibri" w:cs="Calibri"/>
          <w:b/>
          <w:color w:val="404040"/>
          <w:szCs w:val="20"/>
        </w:rPr>
        <w:t>ESG MATCH SOURCE</w:t>
      </w:r>
    </w:p>
    <w:tbl>
      <w:tblPr>
        <w:tblStyle w:val="TableGrid1"/>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99"/>
        <w:gridCol w:w="1547"/>
        <w:gridCol w:w="1540"/>
        <w:gridCol w:w="1288"/>
        <w:gridCol w:w="1288"/>
        <w:gridCol w:w="1288"/>
      </w:tblGrid>
      <w:tr w:rsidR="00C91F30" w:rsidRPr="00C91F30" w14:paraId="3036CECB" w14:textId="77777777" w:rsidTr="00C91F30">
        <w:trPr>
          <w:jc w:val="center"/>
        </w:trPr>
        <w:tc>
          <w:tcPr>
            <w:tcW w:w="2399" w:type="dxa"/>
            <w:shd w:val="clear" w:color="auto" w:fill="D5DCE4"/>
            <w:vAlign w:val="center"/>
          </w:tcPr>
          <w:p w14:paraId="21BDFF86" w14:textId="77777777" w:rsidR="00C91F30" w:rsidRPr="00C91F30" w:rsidRDefault="00C91F30" w:rsidP="00C91F30">
            <w:pPr>
              <w:jc w:val="center"/>
              <w:rPr>
                <w:rFonts w:ascii="Calibri" w:hAnsi="Calibri" w:cs="Calibri"/>
                <w:b/>
                <w:color w:val="404040"/>
                <w:szCs w:val="20"/>
              </w:rPr>
            </w:pPr>
            <w:r w:rsidRPr="00C91F30">
              <w:rPr>
                <w:rFonts w:ascii="Calibri" w:hAnsi="Calibri" w:cs="Calibri"/>
                <w:b/>
                <w:color w:val="404040"/>
                <w:szCs w:val="20"/>
              </w:rPr>
              <w:t>Funding Source</w:t>
            </w:r>
          </w:p>
        </w:tc>
        <w:tc>
          <w:tcPr>
            <w:tcW w:w="1547" w:type="dxa"/>
            <w:shd w:val="clear" w:color="auto" w:fill="D5DCE4"/>
            <w:vAlign w:val="center"/>
          </w:tcPr>
          <w:p w14:paraId="11006CF5" w14:textId="77777777" w:rsidR="00C91F30" w:rsidRPr="00C91F30" w:rsidRDefault="00C91F30" w:rsidP="00C91F30">
            <w:pPr>
              <w:jc w:val="center"/>
              <w:rPr>
                <w:rFonts w:ascii="Calibri" w:hAnsi="Calibri" w:cs="Calibri"/>
                <w:b/>
                <w:color w:val="404040"/>
                <w:szCs w:val="20"/>
              </w:rPr>
            </w:pPr>
            <w:r w:rsidRPr="00C91F30">
              <w:rPr>
                <w:rFonts w:ascii="Calibri" w:hAnsi="Calibri" w:cs="Calibri"/>
                <w:b/>
                <w:color w:val="404040"/>
                <w:szCs w:val="20"/>
              </w:rPr>
              <w:t>2013-14</w:t>
            </w:r>
          </w:p>
        </w:tc>
        <w:tc>
          <w:tcPr>
            <w:tcW w:w="1540" w:type="dxa"/>
            <w:shd w:val="clear" w:color="auto" w:fill="D5DCE4"/>
          </w:tcPr>
          <w:p w14:paraId="5860AC19" w14:textId="77777777" w:rsidR="00C91F30" w:rsidRPr="00C91F30" w:rsidRDefault="00C91F30" w:rsidP="00C91F30">
            <w:pPr>
              <w:rPr>
                <w:rFonts w:ascii="Calibri" w:hAnsi="Calibri" w:cs="Calibri"/>
                <w:b/>
                <w:color w:val="404040"/>
                <w:szCs w:val="20"/>
              </w:rPr>
            </w:pPr>
            <w:r w:rsidRPr="00C91F30">
              <w:rPr>
                <w:rFonts w:ascii="Calibri" w:hAnsi="Calibri" w:cs="Calibri"/>
                <w:b/>
                <w:color w:val="404040"/>
                <w:szCs w:val="20"/>
              </w:rPr>
              <w:t>2014-15</w:t>
            </w:r>
          </w:p>
        </w:tc>
        <w:tc>
          <w:tcPr>
            <w:tcW w:w="1288" w:type="dxa"/>
            <w:shd w:val="clear" w:color="auto" w:fill="D5DCE4"/>
          </w:tcPr>
          <w:p w14:paraId="0FB724A9" w14:textId="77777777" w:rsidR="00C91F30" w:rsidRPr="00C91F30" w:rsidRDefault="00C91F30" w:rsidP="00C91F30">
            <w:pPr>
              <w:rPr>
                <w:rFonts w:ascii="Calibri" w:hAnsi="Calibri" w:cs="Calibri"/>
                <w:b/>
                <w:color w:val="404040"/>
                <w:szCs w:val="20"/>
              </w:rPr>
            </w:pPr>
            <w:r w:rsidRPr="00C91F30">
              <w:rPr>
                <w:rFonts w:ascii="Calibri" w:hAnsi="Calibri" w:cs="Calibri"/>
                <w:b/>
                <w:color w:val="404040"/>
                <w:szCs w:val="20"/>
              </w:rPr>
              <w:t>2015-16</w:t>
            </w:r>
          </w:p>
        </w:tc>
        <w:tc>
          <w:tcPr>
            <w:tcW w:w="1288" w:type="dxa"/>
            <w:shd w:val="clear" w:color="auto" w:fill="D5DCE4"/>
          </w:tcPr>
          <w:p w14:paraId="00061841" w14:textId="77777777" w:rsidR="00C91F30" w:rsidRPr="00C91F30" w:rsidRDefault="00C91F30" w:rsidP="00C91F30">
            <w:pPr>
              <w:rPr>
                <w:rFonts w:ascii="Calibri" w:hAnsi="Calibri" w:cs="Calibri"/>
                <w:b/>
                <w:color w:val="404040"/>
                <w:szCs w:val="20"/>
              </w:rPr>
            </w:pPr>
            <w:r w:rsidRPr="00C91F30">
              <w:rPr>
                <w:rFonts w:ascii="Calibri" w:hAnsi="Calibri" w:cs="Calibri"/>
                <w:b/>
                <w:color w:val="404040"/>
                <w:szCs w:val="20"/>
              </w:rPr>
              <w:t>2016-17</w:t>
            </w:r>
          </w:p>
        </w:tc>
        <w:tc>
          <w:tcPr>
            <w:tcW w:w="1288" w:type="dxa"/>
            <w:shd w:val="clear" w:color="auto" w:fill="D5DCE4"/>
          </w:tcPr>
          <w:p w14:paraId="04DD1337" w14:textId="77777777" w:rsidR="00C91F30" w:rsidRPr="00C91F30" w:rsidRDefault="00C91F30" w:rsidP="00C91F30">
            <w:pPr>
              <w:jc w:val="center"/>
              <w:rPr>
                <w:rFonts w:ascii="Calibri" w:hAnsi="Calibri" w:cs="Calibri"/>
                <w:b/>
                <w:color w:val="404040"/>
                <w:szCs w:val="20"/>
              </w:rPr>
            </w:pPr>
            <w:r w:rsidRPr="00C91F30">
              <w:rPr>
                <w:rFonts w:ascii="Calibri" w:hAnsi="Calibri" w:cs="Calibri"/>
                <w:b/>
                <w:color w:val="404040"/>
                <w:szCs w:val="20"/>
              </w:rPr>
              <w:t>2017-18</w:t>
            </w:r>
          </w:p>
        </w:tc>
      </w:tr>
      <w:tr w:rsidR="00C91F30" w:rsidRPr="00C91F30" w14:paraId="2D42226C" w14:textId="77777777" w:rsidTr="00816745">
        <w:trPr>
          <w:jc w:val="center"/>
        </w:trPr>
        <w:tc>
          <w:tcPr>
            <w:tcW w:w="2399" w:type="dxa"/>
            <w:vAlign w:val="center"/>
          </w:tcPr>
          <w:p w14:paraId="41A81084" w14:textId="77777777" w:rsidR="00C91F30" w:rsidRPr="00C91F30" w:rsidRDefault="00C91F30" w:rsidP="00C91F30">
            <w:pPr>
              <w:rPr>
                <w:rFonts w:ascii="Calibri" w:hAnsi="Calibri" w:cs="Calibri"/>
                <w:color w:val="404040"/>
                <w:szCs w:val="20"/>
              </w:rPr>
            </w:pPr>
            <w:r w:rsidRPr="00C91F30">
              <w:rPr>
                <w:rFonts w:ascii="Calibri" w:hAnsi="Calibri" w:cs="Calibri"/>
                <w:color w:val="404040"/>
                <w:szCs w:val="20"/>
              </w:rPr>
              <w:t>Other Non-ESG HUD Funds</w:t>
            </w:r>
          </w:p>
        </w:tc>
        <w:tc>
          <w:tcPr>
            <w:tcW w:w="1547" w:type="dxa"/>
          </w:tcPr>
          <w:p w14:paraId="678E6640" w14:textId="77777777" w:rsidR="00C91F30" w:rsidRPr="00C91F30" w:rsidRDefault="00C91F30" w:rsidP="00C91F30">
            <w:pPr>
              <w:jc w:val="center"/>
              <w:rPr>
                <w:rFonts w:ascii="Calibri" w:hAnsi="Calibri" w:cs="Calibri"/>
                <w:color w:val="404040"/>
                <w:szCs w:val="20"/>
              </w:rPr>
            </w:pPr>
            <w:r w:rsidRPr="00C91F30">
              <w:rPr>
                <w:rFonts w:ascii="Calibri" w:hAnsi="Calibri" w:cs="Calibri"/>
                <w:color w:val="404040"/>
                <w:szCs w:val="20"/>
              </w:rPr>
              <w:t>$18,923</w:t>
            </w:r>
          </w:p>
        </w:tc>
        <w:tc>
          <w:tcPr>
            <w:tcW w:w="1540" w:type="dxa"/>
          </w:tcPr>
          <w:p w14:paraId="5CF59E55" w14:textId="77777777" w:rsidR="00C91F30" w:rsidRPr="00C91F30" w:rsidRDefault="00C91F30" w:rsidP="00C91F30">
            <w:pPr>
              <w:jc w:val="center"/>
              <w:rPr>
                <w:rFonts w:ascii="Calibri" w:hAnsi="Calibri" w:cs="Calibri"/>
                <w:color w:val="404040"/>
                <w:szCs w:val="20"/>
              </w:rPr>
            </w:pPr>
            <w:r w:rsidRPr="00C91F30">
              <w:rPr>
                <w:rFonts w:ascii="Calibri" w:hAnsi="Calibri" w:cs="Calibri"/>
                <w:color w:val="404040"/>
                <w:szCs w:val="20"/>
              </w:rPr>
              <w:t>0</w:t>
            </w:r>
          </w:p>
        </w:tc>
        <w:tc>
          <w:tcPr>
            <w:tcW w:w="1288" w:type="dxa"/>
          </w:tcPr>
          <w:p w14:paraId="55C81119" w14:textId="77777777" w:rsidR="00C91F30" w:rsidRPr="00C91F30" w:rsidRDefault="00C91F30" w:rsidP="00C91F30">
            <w:pPr>
              <w:jc w:val="center"/>
              <w:rPr>
                <w:rFonts w:ascii="Calibri" w:hAnsi="Calibri" w:cs="Calibri"/>
                <w:color w:val="404040"/>
                <w:szCs w:val="20"/>
              </w:rPr>
            </w:pPr>
            <w:r w:rsidRPr="00C91F30">
              <w:rPr>
                <w:rFonts w:ascii="Calibri" w:hAnsi="Calibri" w:cs="Calibri"/>
                <w:color w:val="404040"/>
                <w:szCs w:val="20"/>
              </w:rPr>
              <w:t>0</w:t>
            </w:r>
          </w:p>
        </w:tc>
        <w:tc>
          <w:tcPr>
            <w:tcW w:w="1288" w:type="dxa"/>
          </w:tcPr>
          <w:p w14:paraId="7744CD56" w14:textId="77777777" w:rsidR="00C91F30" w:rsidRPr="00C91F30" w:rsidRDefault="00C91F30" w:rsidP="00C91F30">
            <w:pPr>
              <w:jc w:val="center"/>
              <w:rPr>
                <w:rFonts w:ascii="Calibri" w:hAnsi="Calibri" w:cs="Calibri"/>
                <w:color w:val="404040"/>
                <w:szCs w:val="20"/>
              </w:rPr>
            </w:pPr>
            <w:r w:rsidRPr="00C91F30">
              <w:rPr>
                <w:rFonts w:ascii="Calibri" w:hAnsi="Calibri" w:cs="Calibri"/>
                <w:color w:val="404040"/>
                <w:szCs w:val="20"/>
              </w:rPr>
              <w:t>0</w:t>
            </w:r>
          </w:p>
        </w:tc>
        <w:tc>
          <w:tcPr>
            <w:tcW w:w="1288" w:type="dxa"/>
          </w:tcPr>
          <w:p w14:paraId="2586539B" w14:textId="77777777" w:rsidR="00C91F30" w:rsidRPr="00C91F30" w:rsidRDefault="00C91F30" w:rsidP="00C91F30">
            <w:pPr>
              <w:jc w:val="center"/>
              <w:rPr>
                <w:rFonts w:ascii="Calibri" w:hAnsi="Calibri" w:cs="Calibri"/>
                <w:color w:val="404040"/>
                <w:szCs w:val="20"/>
              </w:rPr>
            </w:pPr>
            <w:r w:rsidRPr="00C91F30">
              <w:rPr>
                <w:rFonts w:ascii="Calibri" w:hAnsi="Calibri" w:cs="Calibri"/>
                <w:color w:val="404040"/>
                <w:szCs w:val="20"/>
              </w:rPr>
              <w:t>0</w:t>
            </w:r>
          </w:p>
        </w:tc>
      </w:tr>
      <w:tr w:rsidR="00C91F30" w:rsidRPr="00C91F30" w14:paraId="6E037960" w14:textId="77777777" w:rsidTr="00816745">
        <w:trPr>
          <w:jc w:val="center"/>
        </w:trPr>
        <w:tc>
          <w:tcPr>
            <w:tcW w:w="2399" w:type="dxa"/>
            <w:vAlign w:val="center"/>
          </w:tcPr>
          <w:p w14:paraId="5D2F5D27" w14:textId="77777777" w:rsidR="00C91F30" w:rsidRPr="00C91F30" w:rsidRDefault="00C91F30" w:rsidP="00C91F30">
            <w:pPr>
              <w:rPr>
                <w:rFonts w:ascii="Calibri" w:hAnsi="Calibri" w:cs="Calibri"/>
                <w:color w:val="404040"/>
                <w:szCs w:val="20"/>
              </w:rPr>
            </w:pPr>
            <w:r w:rsidRPr="00C91F30">
              <w:rPr>
                <w:rFonts w:ascii="Calibri" w:hAnsi="Calibri" w:cs="Calibri"/>
                <w:color w:val="404040"/>
                <w:szCs w:val="20"/>
              </w:rPr>
              <w:t>Other Federal Funds</w:t>
            </w:r>
          </w:p>
        </w:tc>
        <w:tc>
          <w:tcPr>
            <w:tcW w:w="1547" w:type="dxa"/>
          </w:tcPr>
          <w:p w14:paraId="7D158BCA" w14:textId="77777777" w:rsidR="00C91F30" w:rsidRPr="00C91F30" w:rsidRDefault="00C91F30" w:rsidP="00C91F30">
            <w:pPr>
              <w:jc w:val="center"/>
              <w:rPr>
                <w:rFonts w:ascii="Calibri" w:hAnsi="Calibri" w:cs="Calibri"/>
                <w:color w:val="404040"/>
                <w:szCs w:val="20"/>
              </w:rPr>
            </w:pPr>
            <w:r w:rsidRPr="00C91F30">
              <w:rPr>
                <w:rFonts w:ascii="Calibri" w:hAnsi="Calibri" w:cs="Calibri"/>
                <w:color w:val="404040"/>
                <w:szCs w:val="20"/>
              </w:rPr>
              <w:t>$139,500</w:t>
            </w:r>
          </w:p>
        </w:tc>
        <w:tc>
          <w:tcPr>
            <w:tcW w:w="1540" w:type="dxa"/>
          </w:tcPr>
          <w:p w14:paraId="3EA0B06E" w14:textId="77777777" w:rsidR="00C91F30" w:rsidRPr="00C91F30" w:rsidRDefault="00C91F30" w:rsidP="00C91F30">
            <w:pPr>
              <w:jc w:val="center"/>
              <w:rPr>
                <w:rFonts w:ascii="Calibri" w:hAnsi="Calibri" w:cs="Calibri"/>
                <w:color w:val="404040"/>
                <w:szCs w:val="20"/>
              </w:rPr>
            </w:pPr>
            <w:r w:rsidRPr="00C91F30">
              <w:rPr>
                <w:rFonts w:ascii="Calibri" w:hAnsi="Calibri" w:cs="Calibri"/>
                <w:color w:val="404040"/>
                <w:szCs w:val="20"/>
              </w:rPr>
              <w:t>$103,082</w:t>
            </w:r>
          </w:p>
        </w:tc>
        <w:tc>
          <w:tcPr>
            <w:tcW w:w="1288" w:type="dxa"/>
          </w:tcPr>
          <w:p w14:paraId="359D431A" w14:textId="77777777" w:rsidR="00C91F30" w:rsidRPr="00C91F30" w:rsidRDefault="00C91F30" w:rsidP="00C91F30">
            <w:pPr>
              <w:jc w:val="center"/>
              <w:rPr>
                <w:rFonts w:ascii="Calibri" w:hAnsi="Calibri" w:cs="Calibri"/>
                <w:color w:val="404040"/>
                <w:szCs w:val="20"/>
              </w:rPr>
            </w:pPr>
            <w:r w:rsidRPr="00C91F30">
              <w:rPr>
                <w:rFonts w:ascii="Calibri" w:hAnsi="Calibri" w:cs="Calibri"/>
                <w:color w:val="404040"/>
                <w:szCs w:val="20"/>
              </w:rPr>
              <w:t>$73,678</w:t>
            </w:r>
          </w:p>
        </w:tc>
        <w:tc>
          <w:tcPr>
            <w:tcW w:w="1288" w:type="dxa"/>
          </w:tcPr>
          <w:p w14:paraId="6D241FCC" w14:textId="77777777" w:rsidR="00C91F30" w:rsidRPr="00C91F30" w:rsidRDefault="00C91F30" w:rsidP="00C91F30">
            <w:pPr>
              <w:jc w:val="center"/>
              <w:rPr>
                <w:rFonts w:ascii="Calibri" w:hAnsi="Calibri" w:cs="Calibri"/>
                <w:color w:val="404040"/>
                <w:szCs w:val="20"/>
              </w:rPr>
            </w:pPr>
            <w:r w:rsidRPr="00C91F30">
              <w:rPr>
                <w:rFonts w:ascii="Calibri" w:hAnsi="Calibri" w:cs="Calibri"/>
                <w:color w:val="404040"/>
                <w:szCs w:val="20"/>
              </w:rPr>
              <w:t>$109,198</w:t>
            </w:r>
          </w:p>
        </w:tc>
        <w:tc>
          <w:tcPr>
            <w:tcW w:w="1288" w:type="dxa"/>
          </w:tcPr>
          <w:p w14:paraId="1DE4CFC5" w14:textId="7749A244" w:rsidR="00C91F30" w:rsidRPr="00C91F30" w:rsidRDefault="00972E5E" w:rsidP="00C91F30">
            <w:pPr>
              <w:jc w:val="center"/>
              <w:rPr>
                <w:rFonts w:ascii="Calibri" w:hAnsi="Calibri" w:cs="Calibri"/>
                <w:color w:val="404040"/>
                <w:szCs w:val="20"/>
              </w:rPr>
            </w:pPr>
            <w:r>
              <w:rPr>
                <w:rFonts w:ascii="Calibri" w:hAnsi="Calibri" w:cs="Calibri"/>
                <w:color w:val="404040"/>
                <w:szCs w:val="20"/>
              </w:rPr>
              <w:t>$3</w:t>
            </w:r>
            <w:r w:rsidR="003503C6">
              <w:rPr>
                <w:rFonts w:ascii="Calibri" w:hAnsi="Calibri" w:cs="Calibri"/>
                <w:color w:val="404040"/>
                <w:szCs w:val="20"/>
              </w:rPr>
              <w:t>5</w:t>
            </w:r>
            <w:r>
              <w:rPr>
                <w:rFonts w:ascii="Calibri" w:hAnsi="Calibri" w:cs="Calibri"/>
                <w:color w:val="404040"/>
                <w:szCs w:val="20"/>
              </w:rPr>
              <w:t>,525</w:t>
            </w:r>
          </w:p>
        </w:tc>
      </w:tr>
      <w:tr w:rsidR="00C91F30" w:rsidRPr="00C91F30" w14:paraId="67F5AB9E" w14:textId="77777777" w:rsidTr="00816745">
        <w:trPr>
          <w:jc w:val="center"/>
        </w:trPr>
        <w:tc>
          <w:tcPr>
            <w:tcW w:w="2399" w:type="dxa"/>
            <w:vAlign w:val="center"/>
          </w:tcPr>
          <w:p w14:paraId="16545CA7" w14:textId="77777777" w:rsidR="00C91F30" w:rsidRPr="00C91F30" w:rsidRDefault="00C91F30" w:rsidP="00C91F30">
            <w:pPr>
              <w:rPr>
                <w:rFonts w:ascii="Calibri" w:hAnsi="Calibri" w:cs="Calibri"/>
                <w:color w:val="404040"/>
                <w:szCs w:val="20"/>
              </w:rPr>
            </w:pPr>
            <w:r w:rsidRPr="00C91F30">
              <w:rPr>
                <w:rFonts w:ascii="Calibri" w:hAnsi="Calibri" w:cs="Calibri"/>
                <w:color w:val="404040"/>
                <w:szCs w:val="20"/>
              </w:rPr>
              <w:t>State Government</w:t>
            </w:r>
          </w:p>
        </w:tc>
        <w:tc>
          <w:tcPr>
            <w:tcW w:w="1547" w:type="dxa"/>
          </w:tcPr>
          <w:p w14:paraId="3D73210D" w14:textId="77777777" w:rsidR="00C91F30" w:rsidRPr="00C91F30" w:rsidRDefault="00C91F30" w:rsidP="00C91F30">
            <w:pPr>
              <w:jc w:val="center"/>
              <w:rPr>
                <w:rFonts w:ascii="Calibri" w:hAnsi="Calibri" w:cs="Calibri"/>
                <w:color w:val="404040"/>
                <w:szCs w:val="20"/>
              </w:rPr>
            </w:pPr>
            <w:r w:rsidRPr="00C91F30">
              <w:rPr>
                <w:rFonts w:ascii="Calibri" w:hAnsi="Calibri" w:cs="Calibri"/>
                <w:color w:val="404040"/>
                <w:szCs w:val="20"/>
              </w:rPr>
              <w:t>0</w:t>
            </w:r>
          </w:p>
        </w:tc>
        <w:tc>
          <w:tcPr>
            <w:tcW w:w="1540" w:type="dxa"/>
          </w:tcPr>
          <w:p w14:paraId="04C7B3E9" w14:textId="77777777" w:rsidR="00C91F30" w:rsidRPr="00C91F30" w:rsidRDefault="00C91F30" w:rsidP="00C91F30">
            <w:pPr>
              <w:jc w:val="center"/>
              <w:rPr>
                <w:rFonts w:ascii="Calibri" w:hAnsi="Calibri" w:cs="Calibri"/>
                <w:color w:val="404040"/>
                <w:szCs w:val="20"/>
              </w:rPr>
            </w:pPr>
            <w:r w:rsidRPr="00C91F30">
              <w:rPr>
                <w:rFonts w:ascii="Calibri" w:hAnsi="Calibri" w:cs="Calibri"/>
                <w:color w:val="404040"/>
                <w:szCs w:val="20"/>
              </w:rPr>
              <w:t>0</w:t>
            </w:r>
          </w:p>
        </w:tc>
        <w:tc>
          <w:tcPr>
            <w:tcW w:w="1288" w:type="dxa"/>
          </w:tcPr>
          <w:p w14:paraId="7C4DB05B" w14:textId="77777777" w:rsidR="00C91F30" w:rsidRPr="00C91F30" w:rsidRDefault="00C91F30" w:rsidP="00C91F30">
            <w:pPr>
              <w:jc w:val="center"/>
              <w:rPr>
                <w:rFonts w:ascii="Calibri" w:hAnsi="Calibri" w:cs="Calibri"/>
                <w:color w:val="404040"/>
                <w:szCs w:val="20"/>
              </w:rPr>
            </w:pPr>
          </w:p>
        </w:tc>
        <w:tc>
          <w:tcPr>
            <w:tcW w:w="1288" w:type="dxa"/>
          </w:tcPr>
          <w:p w14:paraId="4B739489" w14:textId="77777777" w:rsidR="00C91F30" w:rsidRPr="00C91F30" w:rsidRDefault="00C91F30" w:rsidP="00C91F30">
            <w:pPr>
              <w:jc w:val="center"/>
              <w:rPr>
                <w:rFonts w:ascii="Calibri" w:hAnsi="Calibri" w:cs="Calibri"/>
                <w:color w:val="404040"/>
                <w:szCs w:val="20"/>
              </w:rPr>
            </w:pPr>
            <w:r w:rsidRPr="00C91F30">
              <w:rPr>
                <w:rFonts w:ascii="Calibri" w:hAnsi="Calibri" w:cs="Calibri"/>
                <w:color w:val="404040"/>
                <w:szCs w:val="20"/>
              </w:rPr>
              <w:t>0</w:t>
            </w:r>
          </w:p>
        </w:tc>
        <w:tc>
          <w:tcPr>
            <w:tcW w:w="1288" w:type="dxa"/>
          </w:tcPr>
          <w:p w14:paraId="2C1620D1" w14:textId="77777777" w:rsidR="00C91F30" w:rsidRPr="00C91F30" w:rsidRDefault="00C91F30" w:rsidP="00C91F30">
            <w:pPr>
              <w:jc w:val="center"/>
              <w:rPr>
                <w:rFonts w:ascii="Calibri" w:hAnsi="Calibri" w:cs="Calibri"/>
                <w:color w:val="404040"/>
                <w:szCs w:val="20"/>
              </w:rPr>
            </w:pPr>
            <w:r w:rsidRPr="00C91F30">
              <w:rPr>
                <w:rFonts w:ascii="Calibri" w:hAnsi="Calibri" w:cs="Calibri"/>
                <w:color w:val="404040"/>
                <w:szCs w:val="20"/>
              </w:rPr>
              <w:t>0</w:t>
            </w:r>
          </w:p>
        </w:tc>
      </w:tr>
      <w:tr w:rsidR="00C91F30" w:rsidRPr="00C91F30" w14:paraId="3CBBF6D6" w14:textId="77777777" w:rsidTr="00816745">
        <w:trPr>
          <w:jc w:val="center"/>
        </w:trPr>
        <w:tc>
          <w:tcPr>
            <w:tcW w:w="2399" w:type="dxa"/>
            <w:vAlign w:val="center"/>
          </w:tcPr>
          <w:p w14:paraId="56C5C75B" w14:textId="77777777" w:rsidR="00C91F30" w:rsidRPr="00C91F30" w:rsidRDefault="00C91F30" w:rsidP="00C91F30">
            <w:pPr>
              <w:rPr>
                <w:rFonts w:ascii="Calibri" w:hAnsi="Calibri" w:cs="Calibri"/>
                <w:color w:val="404040"/>
                <w:szCs w:val="20"/>
              </w:rPr>
            </w:pPr>
            <w:r w:rsidRPr="00C91F30">
              <w:rPr>
                <w:rFonts w:ascii="Calibri" w:hAnsi="Calibri" w:cs="Calibri"/>
                <w:color w:val="404040"/>
                <w:szCs w:val="20"/>
              </w:rPr>
              <w:t>Local Government</w:t>
            </w:r>
          </w:p>
        </w:tc>
        <w:tc>
          <w:tcPr>
            <w:tcW w:w="1547" w:type="dxa"/>
          </w:tcPr>
          <w:p w14:paraId="7C7DCAAB" w14:textId="77777777" w:rsidR="00C91F30" w:rsidRPr="00C91F30" w:rsidRDefault="00C91F30" w:rsidP="00C91F30">
            <w:pPr>
              <w:jc w:val="center"/>
              <w:rPr>
                <w:rFonts w:ascii="Calibri" w:hAnsi="Calibri" w:cs="Calibri"/>
                <w:color w:val="404040"/>
                <w:szCs w:val="20"/>
              </w:rPr>
            </w:pPr>
            <w:r w:rsidRPr="00C91F30">
              <w:rPr>
                <w:rFonts w:ascii="Calibri" w:hAnsi="Calibri" w:cs="Calibri"/>
                <w:color w:val="404040"/>
                <w:szCs w:val="20"/>
              </w:rPr>
              <w:t>$71,120</w:t>
            </w:r>
          </w:p>
        </w:tc>
        <w:tc>
          <w:tcPr>
            <w:tcW w:w="1540" w:type="dxa"/>
          </w:tcPr>
          <w:p w14:paraId="00D4EF72" w14:textId="77777777" w:rsidR="00C91F30" w:rsidRPr="00C91F30" w:rsidRDefault="00C91F30" w:rsidP="00C91F30">
            <w:pPr>
              <w:jc w:val="center"/>
              <w:rPr>
                <w:rFonts w:ascii="Calibri" w:hAnsi="Calibri" w:cs="Calibri"/>
                <w:color w:val="404040"/>
                <w:szCs w:val="20"/>
              </w:rPr>
            </w:pPr>
            <w:r w:rsidRPr="00C91F30">
              <w:rPr>
                <w:rFonts w:ascii="Calibri" w:hAnsi="Calibri" w:cs="Calibri"/>
                <w:color w:val="404040"/>
                <w:szCs w:val="20"/>
              </w:rPr>
              <w:t>$20,000</w:t>
            </w:r>
          </w:p>
        </w:tc>
        <w:tc>
          <w:tcPr>
            <w:tcW w:w="1288" w:type="dxa"/>
          </w:tcPr>
          <w:p w14:paraId="03F29C7E" w14:textId="77777777" w:rsidR="00C91F30" w:rsidRPr="00C91F30" w:rsidRDefault="00C91F30" w:rsidP="00C91F30">
            <w:pPr>
              <w:jc w:val="center"/>
              <w:rPr>
                <w:rFonts w:ascii="Calibri" w:hAnsi="Calibri" w:cs="Calibri"/>
                <w:color w:val="404040"/>
                <w:szCs w:val="20"/>
              </w:rPr>
            </w:pPr>
            <w:r w:rsidRPr="00C91F30">
              <w:rPr>
                <w:rFonts w:ascii="Calibri" w:hAnsi="Calibri" w:cs="Calibri"/>
                <w:color w:val="404040"/>
                <w:szCs w:val="20"/>
              </w:rPr>
              <w:t>$20,000</w:t>
            </w:r>
          </w:p>
        </w:tc>
        <w:tc>
          <w:tcPr>
            <w:tcW w:w="1288" w:type="dxa"/>
          </w:tcPr>
          <w:p w14:paraId="0D6A4A78" w14:textId="77777777" w:rsidR="00C91F30" w:rsidRPr="00C91F30" w:rsidRDefault="00C91F30" w:rsidP="00C91F30">
            <w:pPr>
              <w:jc w:val="center"/>
              <w:rPr>
                <w:rFonts w:ascii="Calibri" w:hAnsi="Calibri" w:cs="Calibri"/>
                <w:color w:val="404040"/>
                <w:szCs w:val="20"/>
              </w:rPr>
            </w:pPr>
            <w:r w:rsidRPr="00C91F30">
              <w:rPr>
                <w:rFonts w:ascii="Calibri" w:hAnsi="Calibri" w:cs="Calibri"/>
                <w:color w:val="404040"/>
                <w:szCs w:val="20"/>
              </w:rPr>
              <w:t>0</w:t>
            </w:r>
          </w:p>
        </w:tc>
        <w:tc>
          <w:tcPr>
            <w:tcW w:w="1288" w:type="dxa"/>
          </w:tcPr>
          <w:p w14:paraId="41B7A183" w14:textId="77777777" w:rsidR="00C91F30" w:rsidRPr="00C91F30" w:rsidRDefault="00C91F30" w:rsidP="00C91F30">
            <w:pPr>
              <w:jc w:val="center"/>
              <w:rPr>
                <w:rFonts w:ascii="Calibri" w:hAnsi="Calibri" w:cs="Calibri"/>
                <w:color w:val="404040"/>
                <w:szCs w:val="20"/>
              </w:rPr>
            </w:pPr>
            <w:r w:rsidRPr="00C91F30">
              <w:rPr>
                <w:rFonts w:ascii="Calibri" w:hAnsi="Calibri" w:cs="Calibri"/>
                <w:color w:val="404040"/>
                <w:szCs w:val="20"/>
              </w:rPr>
              <w:t>0</w:t>
            </w:r>
          </w:p>
        </w:tc>
      </w:tr>
      <w:tr w:rsidR="00C91F30" w:rsidRPr="00C91F30" w14:paraId="31C8BE51" w14:textId="77777777" w:rsidTr="00816745">
        <w:trPr>
          <w:jc w:val="center"/>
        </w:trPr>
        <w:tc>
          <w:tcPr>
            <w:tcW w:w="2399" w:type="dxa"/>
            <w:vAlign w:val="center"/>
          </w:tcPr>
          <w:p w14:paraId="11F95067" w14:textId="77777777" w:rsidR="00C91F30" w:rsidRPr="00C91F30" w:rsidRDefault="00C91F30" w:rsidP="00C91F30">
            <w:pPr>
              <w:rPr>
                <w:rFonts w:ascii="Calibri" w:hAnsi="Calibri" w:cs="Calibri"/>
                <w:color w:val="404040"/>
                <w:szCs w:val="20"/>
              </w:rPr>
            </w:pPr>
            <w:r w:rsidRPr="00C91F30">
              <w:rPr>
                <w:rFonts w:ascii="Calibri" w:hAnsi="Calibri" w:cs="Calibri"/>
                <w:color w:val="404040"/>
                <w:szCs w:val="20"/>
              </w:rPr>
              <w:t>Private Funds</w:t>
            </w:r>
          </w:p>
        </w:tc>
        <w:tc>
          <w:tcPr>
            <w:tcW w:w="1547" w:type="dxa"/>
          </w:tcPr>
          <w:p w14:paraId="248E3F09" w14:textId="77777777" w:rsidR="00C91F30" w:rsidRPr="00C91F30" w:rsidRDefault="00C91F30" w:rsidP="00C91F30">
            <w:pPr>
              <w:jc w:val="center"/>
              <w:rPr>
                <w:rFonts w:ascii="Calibri" w:hAnsi="Calibri" w:cs="Calibri"/>
                <w:color w:val="404040"/>
                <w:szCs w:val="20"/>
              </w:rPr>
            </w:pPr>
            <w:r w:rsidRPr="00C91F30">
              <w:rPr>
                <w:rFonts w:ascii="Calibri" w:hAnsi="Calibri" w:cs="Calibri"/>
                <w:color w:val="404040"/>
                <w:szCs w:val="20"/>
              </w:rPr>
              <w:t>$5,880</w:t>
            </w:r>
          </w:p>
        </w:tc>
        <w:tc>
          <w:tcPr>
            <w:tcW w:w="1540" w:type="dxa"/>
          </w:tcPr>
          <w:p w14:paraId="0014F7EB" w14:textId="77777777" w:rsidR="00C91F30" w:rsidRPr="00C91F30" w:rsidRDefault="00C91F30" w:rsidP="00C91F30">
            <w:pPr>
              <w:jc w:val="center"/>
              <w:rPr>
                <w:rFonts w:ascii="Calibri" w:hAnsi="Calibri" w:cs="Calibri"/>
                <w:color w:val="404040"/>
                <w:szCs w:val="20"/>
              </w:rPr>
            </w:pPr>
            <w:r w:rsidRPr="00C91F30">
              <w:rPr>
                <w:rFonts w:ascii="Calibri" w:hAnsi="Calibri" w:cs="Calibri"/>
                <w:color w:val="404040"/>
                <w:szCs w:val="20"/>
              </w:rPr>
              <w:t>$100,323</w:t>
            </w:r>
          </w:p>
        </w:tc>
        <w:tc>
          <w:tcPr>
            <w:tcW w:w="1288" w:type="dxa"/>
          </w:tcPr>
          <w:p w14:paraId="3F7795F6" w14:textId="77777777" w:rsidR="00C91F30" w:rsidRPr="00C91F30" w:rsidRDefault="00C91F30" w:rsidP="00C91F30">
            <w:pPr>
              <w:jc w:val="center"/>
              <w:rPr>
                <w:rFonts w:ascii="Calibri" w:hAnsi="Calibri" w:cs="Calibri"/>
                <w:color w:val="404040"/>
                <w:szCs w:val="20"/>
              </w:rPr>
            </w:pPr>
            <w:r w:rsidRPr="00C91F30">
              <w:rPr>
                <w:rFonts w:ascii="Calibri" w:hAnsi="Calibri" w:cs="Calibri"/>
                <w:color w:val="404040"/>
                <w:szCs w:val="20"/>
              </w:rPr>
              <w:t>$200,000</w:t>
            </w:r>
          </w:p>
        </w:tc>
        <w:tc>
          <w:tcPr>
            <w:tcW w:w="1288" w:type="dxa"/>
          </w:tcPr>
          <w:p w14:paraId="69C0E2EC" w14:textId="77777777" w:rsidR="00C91F30" w:rsidRPr="00C91F30" w:rsidRDefault="00C91F30" w:rsidP="00C91F30">
            <w:pPr>
              <w:jc w:val="center"/>
              <w:rPr>
                <w:rFonts w:ascii="Calibri" w:hAnsi="Calibri" w:cs="Calibri"/>
                <w:color w:val="404040"/>
                <w:szCs w:val="20"/>
              </w:rPr>
            </w:pPr>
            <w:r w:rsidRPr="00C91F30">
              <w:rPr>
                <w:rFonts w:ascii="Calibri" w:hAnsi="Calibri" w:cs="Calibri"/>
                <w:color w:val="404040"/>
                <w:szCs w:val="20"/>
              </w:rPr>
              <w:t>$138,065</w:t>
            </w:r>
          </w:p>
        </w:tc>
        <w:tc>
          <w:tcPr>
            <w:tcW w:w="1288" w:type="dxa"/>
          </w:tcPr>
          <w:p w14:paraId="27CE5612" w14:textId="77777777" w:rsidR="00C91F30" w:rsidRPr="00C91F30" w:rsidRDefault="00C91F30" w:rsidP="00C91F30">
            <w:pPr>
              <w:jc w:val="center"/>
              <w:rPr>
                <w:rFonts w:ascii="Calibri" w:hAnsi="Calibri" w:cs="Calibri"/>
                <w:color w:val="404040"/>
                <w:szCs w:val="20"/>
              </w:rPr>
            </w:pPr>
            <w:r w:rsidRPr="00C91F30">
              <w:rPr>
                <w:rFonts w:ascii="Calibri" w:hAnsi="Calibri" w:cs="Calibri"/>
                <w:color w:val="404040"/>
                <w:szCs w:val="20"/>
              </w:rPr>
              <w:t>$234,544</w:t>
            </w:r>
          </w:p>
        </w:tc>
      </w:tr>
      <w:tr w:rsidR="00C91F30" w:rsidRPr="00C91F30" w14:paraId="4710A965" w14:textId="77777777" w:rsidTr="00816745">
        <w:trPr>
          <w:jc w:val="center"/>
        </w:trPr>
        <w:tc>
          <w:tcPr>
            <w:tcW w:w="2399" w:type="dxa"/>
            <w:vAlign w:val="center"/>
          </w:tcPr>
          <w:p w14:paraId="7D39F1BA" w14:textId="77777777" w:rsidR="00C91F30" w:rsidRPr="00C91F30" w:rsidRDefault="00C91F30" w:rsidP="00C91F30">
            <w:pPr>
              <w:rPr>
                <w:rFonts w:ascii="Calibri" w:hAnsi="Calibri" w:cs="Calibri"/>
                <w:color w:val="404040"/>
                <w:szCs w:val="20"/>
              </w:rPr>
            </w:pPr>
            <w:r w:rsidRPr="00C91F30">
              <w:rPr>
                <w:rFonts w:ascii="Calibri" w:hAnsi="Calibri" w:cs="Calibri"/>
                <w:color w:val="404040"/>
                <w:szCs w:val="20"/>
              </w:rPr>
              <w:t>Other</w:t>
            </w:r>
          </w:p>
        </w:tc>
        <w:tc>
          <w:tcPr>
            <w:tcW w:w="1547" w:type="dxa"/>
          </w:tcPr>
          <w:p w14:paraId="32FB77A3" w14:textId="77777777" w:rsidR="00C91F30" w:rsidRPr="00C91F30" w:rsidRDefault="00C91F30" w:rsidP="00C91F30">
            <w:pPr>
              <w:jc w:val="center"/>
              <w:rPr>
                <w:rFonts w:ascii="Calibri" w:hAnsi="Calibri" w:cs="Calibri"/>
                <w:color w:val="404040"/>
                <w:szCs w:val="20"/>
              </w:rPr>
            </w:pPr>
            <w:r w:rsidRPr="00C91F30">
              <w:rPr>
                <w:rFonts w:ascii="Calibri" w:hAnsi="Calibri" w:cs="Calibri"/>
                <w:color w:val="404040"/>
                <w:szCs w:val="20"/>
              </w:rPr>
              <w:t>$5,147</w:t>
            </w:r>
          </w:p>
        </w:tc>
        <w:tc>
          <w:tcPr>
            <w:tcW w:w="1540" w:type="dxa"/>
          </w:tcPr>
          <w:p w14:paraId="742986D9" w14:textId="77777777" w:rsidR="00C91F30" w:rsidRPr="00C91F30" w:rsidRDefault="00C91F30" w:rsidP="00C91F30">
            <w:pPr>
              <w:jc w:val="center"/>
              <w:rPr>
                <w:rFonts w:ascii="Calibri" w:hAnsi="Calibri" w:cs="Calibri"/>
                <w:color w:val="404040"/>
                <w:szCs w:val="20"/>
              </w:rPr>
            </w:pPr>
            <w:r w:rsidRPr="00C91F30">
              <w:rPr>
                <w:rFonts w:ascii="Calibri" w:hAnsi="Calibri" w:cs="Calibri"/>
                <w:color w:val="404040"/>
                <w:szCs w:val="20"/>
              </w:rPr>
              <w:t>$23,474</w:t>
            </w:r>
          </w:p>
        </w:tc>
        <w:tc>
          <w:tcPr>
            <w:tcW w:w="1288" w:type="dxa"/>
          </w:tcPr>
          <w:p w14:paraId="78271C7A" w14:textId="77777777" w:rsidR="00C91F30" w:rsidRPr="00C91F30" w:rsidRDefault="00C91F30" w:rsidP="00C91F30">
            <w:pPr>
              <w:jc w:val="center"/>
              <w:rPr>
                <w:rFonts w:ascii="Calibri" w:hAnsi="Calibri" w:cs="Calibri"/>
                <w:color w:val="404040"/>
                <w:szCs w:val="20"/>
              </w:rPr>
            </w:pPr>
            <w:r w:rsidRPr="00C91F30">
              <w:rPr>
                <w:rFonts w:ascii="Calibri" w:hAnsi="Calibri" w:cs="Calibri"/>
                <w:color w:val="404040"/>
                <w:szCs w:val="20"/>
              </w:rPr>
              <w:t>$47,000</w:t>
            </w:r>
          </w:p>
        </w:tc>
        <w:tc>
          <w:tcPr>
            <w:tcW w:w="1288" w:type="dxa"/>
          </w:tcPr>
          <w:p w14:paraId="0F7C7906" w14:textId="77777777" w:rsidR="00C91F30" w:rsidRPr="00C91F30" w:rsidRDefault="00C91F30" w:rsidP="00C91F30">
            <w:pPr>
              <w:jc w:val="center"/>
              <w:rPr>
                <w:rFonts w:ascii="Calibri" w:hAnsi="Calibri" w:cs="Calibri"/>
                <w:color w:val="404040"/>
                <w:szCs w:val="20"/>
              </w:rPr>
            </w:pPr>
            <w:r w:rsidRPr="00C91F30">
              <w:rPr>
                <w:rFonts w:ascii="Calibri" w:hAnsi="Calibri" w:cs="Calibri"/>
                <w:color w:val="404040"/>
                <w:szCs w:val="20"/>
              </w:rPr>
              <w:t>0</w:t>
            </w:r>
          </w:p>
        </w:tc>
        <w:tc>
          <w:tcPr>
            <w:tcW w:w="1288" w:type="dxa"/>
          </w:tcPr>
          <w:p w14:paraId="353B82AB" w14:textId="77777777" w:rsidR="00C91F30" w:rsidRPr="00C91F30" w:rsidRDefault="00C91F30" w:rsidP="00C91F30">
            <w:pPr>
              <w:jc w:val="center"/>
              <w:rPr>
                <w:rFonts w:ascii="Calibri" w:hAnsi="Calibri" w:cs="Calibri"/>
                <w:color w:val="404040"/>
                <w:szCs w:val="20"/>
              </w:rPr>
            </w:pPr>
            <w:r w:rsidRPr="00C91F30">
              <w:rPr>
                <w:rFonts w:ascii="Calibri" w:hAnsi="Calibri" w:cs="Calibri"/>
                <w:color w:val="404040"/>
                <w:szCs w:val="20"/>
              </w:rPr>
              <w:t>$3,469</w:t>
            </w:r>
          </w:p>
        </w:tc>
      </w:tr>
      <w:tr w:rsidR="00C91F30" w:rsidRPr="00C91F30" w14:paraId="5F359C6D" w14:textId="77777777" w:rsidTr="00816745">
        <w:trPr>
          <w:jc w:val="center"/>
        </w:trPr>
        <w:tc>
          <w:tcPr>
            <w:tcW w:w="2399" w:type="dxa"/>
            <w:vAlign w:val="center"/>
          </w:tcPr>
          <w:p w14:paraId="653F6846" w14:textId="77777777" w:rsidR="00C91F30" w:rsidRPr="00C91F30" w:rsidRDefault="00C91F30" w:rsidP="00C91F30">
            <w:pPr>
              <w:rPr>
                <w:rFonts w:ascii="Calibri" w:hAnsi="Calibri" w:cs="Calibri"/>
                <w:color w:val="404040"/>
                <w:szCs w:val="20"/>
              </w:rPr>
            </w:pPr>
            <w:r w:rsidRPr="00C91F30">
              <w:rPr>
                <w:rFonts w:ascii="Calibri" w:hAnsi="Calibri" w:cs="Calibri"/>
                <w:color w:val="404040"/>
                <w:szCs w:val="20"/>
              </w:rPr>
              <w:t>Fees</w:t>
            </w:r>
          </w:p>
        </w:tc>
        <w:tc>
          <w:tcPr>
            <w:tcW w:w="1547" w:type="dxa"/>
          </w:tcPr>
          <w:p w14:paraId="4C902470" w14:textId="77777777" w:rsidR="00C91F30" w:rsidRPr="00C91F30" w:rsidRDefault="00C91F30" w:rsidP="00C91F30">
            <w:pPr>
              <w:jc w:val="center"/>
              <w:rPr>
                <w:rFonts w:ascii="Calibri" w:hAnsi="Calibri" w:cs="Calibri"/>
                <w:color w:val="404040"/>
                <w:szCs w:val="20"/>
              </w:rPr>
            </w:pPr>
            <w:r w:rsidRPr="00C91F30">
              <w:rPr>
                <w:rFonts w:ascii="Calibri" w:hAnsi="Calibri" w:cs="Calibri"/>
                <w:color w:val="404040"/>
                <w:szCs w:val="20"/>
              </w:rPr>
              <w:t>0</w:t>
            </w:r>
          </w:p>
        </w:tc>
        <w:tc>
          <w:tcPr>
            <w:tcW w:w="1540" w:type="dxa"/>
          </w:tcPr>
          <w:p w14:paraId="50D2C2D0" w14:textId="77777777" w:rsidR="00C91F30" w:rsidRPr="00C91F30" w:rsidRDefault="00C91F30" w:rsidP="00C91F30">
            <w:pPr>
              <w:jc w:val="center"/>
              <w:rPr>
                <w:rFonts w:ascii="Calibri" w:hAnsi="Calibri" w:cs="Calibri"/>
                <w:color w:val="404040"/>
                <w:szCs w:val="20"/>
              </w:rPr>
            </w:pPr>
            <w:r w:rsidRPr="00C91F30">
              <w:rPr>
                <w:rFonts w:ascii="Calibri" w:hAnsi="Calibri" w:cs="Calibri"/>
                <w:color w:val="404040"/>
                <w:szCs w:val="20"/>
              </w:rPr>
              <w:t>0</w:t>
            </w:r>
          </w:p>
        </w:tc>
        <w:tc>
          <w:tcPr>
            <w:tcW w:w="1288" w:type="dxa"/>
          </w:tcPr>
          <w:p w14:paraId="40889581" w14:textId="77777777" w:rsidR="00C91F30" w:rsidRPr="00C91F30" w:rsidRDefault="00C91F30" w:rsidP="00C91F30">
            <w:pPr>
              <w:jc w:val="center"/>
              <w:rPr>
                <w:rFonts w:ascii="Calibri" w:hAnsi="Calibri" w:cs="Calibri"/>
                <w:color w:val="404040"/>
                <w:szCs w:val="20"/>
              </w:rPr>
            </w:pPr>
            <w:r w:rsidRPr="00C91F30">
              <w:rPr>
                <w:rFonts w:ascii="Calibri" w:hAnsi="Calibri" w:cs="Calibri"/>
                <w:color w:val="404040"/>
                <w:szCs w:val="20"/>
              </w:rPr>
              <w:t>0</w:t>
            </w:r>
          </w:p>
        </w:tc>
        <w:tc>
          <w:tcPr>
            <w:tcW w:w="1288" w:type="dxa"/>
          </w:tcPr>
          <w:p w14:paraId="52DC5DF0" w14:textId="77777777" w:rsidR="00C91F30" w:rsidRPr="00C91F30" w:rsidRDefault="00C91F30" w:rsidP="00C91F30">
            <w:pPr>
              <w:jc w:val="center"/>
              <w:rPr>
                <w:rFonts w:ascii="Calibri" w:hAnsi="Calibri" w:cs="Calibri"/>
                <w:color w:val="404040"/>
                <w:szCs w:val="20"/>
              </w:rPr>
            </w:pPr>
            <w:r w:rsidRPr="00C91F30">
              <w:rPr>
                <w:rFonts w:ascii="Calibri" w:hAnsi="Calibri" w:cs="Calibri"/>
                <w:color w:val="404040"/>
                <w:szCs w:val="20"/>
              </w:rPr>
              <w:t>$26,050</w:t>
            </w:r>
          </w:p>
        </w:tc>
        <w:tc>
          <w:tcPr>
            <w:tcW w:w="1288" w:type="dxa"/>
          </w:tcPr>
          <w:p w14:paraId="6B0CA57D" w14:textId="77777777" w:rsidR="00C91F30" w:rsidRPr="00C91F30" w:rsidRDefault="00C91F30" w:rsidP="00C91F30">
            <w:pPr>
              <w:jc w:val="center"/>
              <w:rPr>
                <w:rFonts w:ascii="Calibri" w:hAnsi="Calibri" w:cs="Calibri"/>
                <w:color w:val="404040"/>
                <w:szCs w:val="20"/>
              </w:rPr>
            </w:pPr>
            <w:r w:rsidRPr="00C91F30">
              <w:rPr>
                <w:rFonts w:ascii="Calibri" w:hAnsi="Calibri" w:cs="Calibri"/>
                <w:color w:val="404040"/>
                <w:szCs w:val="20"/>
              </w:rPr>
              <w:t>$16,195</w:t>
            </w:r>
          </w:p>
        </w:tc>
      </w:tr>
      <w:tr w:rsidR="00C91F30" w:rsidRPr="00C91F30" w14:paraId="52F981EB" w14:textId="77777777" w:rsidTr="00816745">
        <w:trPr>
          <w:jc w:val="center"/>
        </w:trPr>
        <w:tc>
          <w:tcPr>
            <w:tcW w:w="2399" w:type="dxa"/>
            <w:vAlign w:val="center"/>
          </w:tcPr>
          <w:p w14:paraId="26BEF0B8" w14:textId="77777777" w:rsidR="00C91F30" w:rsidRPr="00C91F30" w:rsidRDefault="00C91F30" w:rsidP="00C91F30">
            <w:pPr>
              <w:rPr>
                <w:rFonts w:ascii="Calibri" w:hAnsi="Calibri" w:cs="Calibri"/>
                <w:color w:val="404040"/>
                <w:szCs w:val="20"/>
              </w:rPr>
            </w:pPr>
            <w:r w:rsidRPr="00C91F30">
              <w:rPr>
                <w:rFonts w:ascii="Calibri" w:hAnsi="Calibri" w:cs="Calibri"/>
                <w:color w:val="404040"/>
                <w:szCs w:val="20"/>
              </w:rPr>
              <w:t>Program Income</w:t>
            </w:r>
          </w:p>
        </w:tc>
        <w:tc>
          <w:tcPr>
            <w:tcW w:w="1547" w:type="dxa"/>
          </w:tcPr>
          <w:p w14:paraId="062584A2" w14:textId="77777777" w:rsidR="00C91F30" w:rsidRPr="00C91F30" w:rsidRDefault="00C91F30" w:rsidP="00C91F30">
            <w:pPr>
              <w:jc w:val="center"/>
              <w:rPr>
                <w:rFonts w:ascii="Calibri" w:hAnsi="Calibri" w:cs="Calibri"/>
                <w:color w:val="404040"/>
                <w:szCs w:val="20"/>
              </w:rPr>
            </w:pPr>
            <w:r w:rsidRPr="00C91F30">
              <w:rPr>
                <w:rFonts w:ascii="Calibri" w:hAnsi="Calibri" w:cs="Calibri"/>
                <w:color w:val="404040"/>
                <w:szCs w:val="20"/>
              </w:rPr>
              <w:t>0</w:t>
            </w:r>
          </w:p>
        </w:tc>
        <w:tc>
          <w:tcPr>
            <w:tcW w:w="1540" w:type="dxa"/>
          </w:tcPr>
          <w:p w14:paraId="685E00C2" w14:textId="77777777" w:rsidR="00C91F30" w:rsidRPr="00C91F30" w:rsidRDefault="00C91F30" w:rsidP="00C91F30">
            <w:pPr>
              <w:jc w:val="center"/>
              <w:rPr>
                <w:rFonts w:ascii="Calibri" w:hAnsi="Calibri" w:cs="Calibri"/>
                <w:color w:val="404040"/>
                <w:szCs w:val="20"/>
              </w:rPr>
            </w:pPr>
            <w:r w:rsidRPr="00C91F30">
              <w:rPr>
                <w:rFonts w:ascii="Calibri" w:hAnsi="Calibri" w:cs="Calibri"/>
                <w:color w:val="404040"/>
                <w:szCs w:val="20"/>
              </w:rPr>
              <w:t>$7,517</w:t>
            </w:r>
          </w:p>
        </w:tc>
        <w:tc>
          <w:tcPr>
            <w:tcW w:w="1288" w:type="dxa"/>
          </w:tcPr>
          <w:p w14:paraId="794FFE5F" w14:textId="77777777" w:rsidR="00C91F30" w:rsidRPr="00C91F30" w:rsidRDefault="00C91F30" w:rsidP="00C91F30">
            <w:pPr>
              <w:jc w:val="center"/>
              <w:rPr>
                <w:rFonts w:ascii="Calibri" w:hAnsi="Calibri" w:cs="Calibri"/>
                <w:color w:val="404040"/>
                <w:szCs w:val="20"/>
              </w:rPr>
            </w:pPr>
            <w:r w:rsidRPr="00C91F30">
              <w:rPr>
                <w:rFonts w:ascii="Calibri" w:hAnsi="Calibri" w:cs="Calibri"/>
                <w:color w:val="404040"/>
                <w:szCs w:val="20"/>
              </w:rPr>
              <w:t>0</w:t>
            </w:r>
          </w:p>
        </w:tc>
        <w:tc>
          <w:tcPr>
            <w:tcW w:w="1288" w:type="dxa"/>
          </w:tcPr>
          <w:p w14:paraId="0CDE71EF" w14:textId="77777777" w:rsidR="00C91F30" w:rsidRPr="00C91F30" w:rsidRDefault="00C91F30" w:rsidP="00C91F30">
            <w:pPr>
              <w:jc w:val="center"/>
              <w:rPr>
                <w:rFonts w:ascii="Calibri" w:hAnsi="Calibri" w:cs="Calibri"/>
                <w:color w:val="404040"/>
                <w:szCs w:val="20"/>
              </w:rPr>
            </w:pPr>
            <w:r w:rsidRPr="00C91F30">
              <w:rPr>
                <w:rFonts w:ascii="Calibri" w:hAnsi="Calibri" w:cs="Calibri"/>
                <w:color w:val="404040"/>
                <w:szCs w:val="20"/>
              </w:rPr>
              <w:t>0</w:t>
            </w:r>
          </w:p>
        </w:tc>
        <w:tc>
          <w:tcPr>
            <w:tcW w:w="1288" w:type="dxa"/>
          </w:tcPr>
          <w:p w14:paraId="4CC59532" w14:textId="77777777" w:rsidR="00C91F30" w:rsidRPr="00C91F30" w:rsidRDefault="00C91F30" w:rsidP="00C91F30">
            <w:pPr>
              <w:jc w:val="center"/>
              <w:rPr>
                <w:rFonts w:ascii="Calibri" w:hAnsi="Calibri" w:cs="Calibri"/>
                <w:color w:val="404040"/>
                <w:szCs w:val="20"/>
              </w:rPr>
            </w:pPr>
            <w:r w:rsidRPr="00C91F30">
              <w:rPr>
                <w:rFonts w:ascii="Calibri" w:hAnsi="Calibri" w:cs="Calibri"/>
                <w:color w:val="404040"/>
                <w:szCs w:val="20"/>
              </w:rPr>
              <w:t>0</w:t>
            </w:r>
          </w:p>
        </w:tc>
      </w:tr>
      <w:tr w:rsidR="00C91F30" w:rsidRPr="00C91F30" w14:paraId="3287CB57" w14:textId="77777777" w:rsidTr="00816745">
        <w:trPr>
          <w:jc w:val="center"/>
        </w:trPr>
        <w:tc>
          <w:tcPr>
            <w:tcW w:w="2399" w:type="dxa"/>
            <w:vAlign w:val="center"/>
          </w:tcPr>
          <w:p w14:paraId="48F9FDA5" w14:textId="77777777" w:rsidR="00C91F30" w:rsidRPr="00C91F30" w:rsidRDefault="00C91F30" w:rsidP="00C91F30">
            <w:pPr>
              <w:jc w:val="right"/>
              <w:rPr>
                <w:rFonts w:ascii="Calibri" w:hAnsi="Calibri" w:cs="Calibri"/>
                <w:b/>
                <w:color w:val="404040"/>
                <w:szCs w:val="20"/>
              </w:rPr>
            </w:pPr>
            <w:r w:rsidRPr="00C91F30">
              <w:rPr>
                <w:rFonts w:ascii="Calibri" w:hAnsi="Calibri" w:cs="Calibri"/>
                <w:b/>
                <w:color w:val="404040"/>
                <w:szCs w:val="20"/>
              </w:rPr>
              <w:t>Total Match Amount</w:t>
            </w:r>
          </w:p>
        </w:tc>
        <w:tc>
          <w:tcPr>
            <w:tcW w:w="1547" w:type="dxa"/>
            <w:vAlign w:val="center"/>
          </w:tcPr>
          <w:p w14:paraId="398484A6" w14:textId="77777777" w:rsidR="00C91F30" w:rsidRPr="00C91F30" w:rsidRDefault="00C91F30" w:rsidP="00C91F30">
            <w:pPr>
              <w:jc w:val="center"/>
              <w:rPr>
                <w:rFonts w:ascii="Calibri" w:hAnsi="Calibri" w:cs="Calibri"/>
                <w:b/>
                <w:color w:val="404040"/>
                <w:szCs w:val="20"/>
              </w:rPr>
            </w:pPr>
            <w:r w:rsidRPr="00C91F30">
              <w:rPr>
                <w:rFonts w:ascii="Calibri" w:hAnsi="Calibri" w:cs="Calibri"/>
                <w:b/>
                <w:color w:val="404040"/>
                <w:szCs w:val="20"/>
              </w:rPr>
              <w:t>$240,570</w:t>
            </w:r>
          </w:p>
        </w:tc>
        <w:tc>
          <w:tcPr>
            <w:tcW w:w="1540" w:type="dxa"/>
          </w:tcPr>
          <w:p w14:paraId="2BE1A8C0" w14:textId="77777777" w:rsidR="00C91F30" w:rsidRPr="00C91F30" w:rsidRDefault="00C91F30" w:rsidP="00C91F30">
            <w:pPr>
              <w:rPr>
                <w:rFonts w:ascii="Calibri" w:hAnsi="Calibri" w:cs="Calibri"/>
                <w:b/>
                <w:color w:val="404040"/>
                <w:szCs w:val="20"/>
              </w:rPr>
            </w:pPr>
            <w:r w:rsidRPr="00C91F30">
              <w:rPr>
                <w:rFonts w:ascii="Calibri" w:hAnsi="Calibri" w:cs="Calibri"/>
                <w:b/>
                <w:color w:val="404040"/>
                <w:szCs w:val="20"/>
              </w:rPr>
              <w:t>$254,396</w:t>
            </w:r>
          </w:p>
        </w:tc>
        <w:tc>
          <w:tcPr>
            <w:tcW w:w="1288" w:type="dxa"/>
          </w:tcPr>
          <w:p w14:paraId="0B139C6E" w14:textId="77777777" w:rsidR="00C91F30" w:rsidRPr="00C91F30" w:rsidRDefault="00C91F30" w:rsidP="00C91F30">
            <w:pPr>
              <w:rPr>
                <w:rFonts w:ascii="Calibri" w:hAnsi="Calibri" w:cs="Calibri"/>
                <w:b/>
                <w:color w:val="404040"/>
                <w:szCs w:val="20"/>
              </w:rPr>
            </w:pPr>
            <w:r w:rsidRPr="00C91F30">
              <w:rPr>
                <w:rFonts w:ascii="Calibri" w:hAnsi="Calibri" w:cs="Calibri"/>
                <w:b/>
                <w:color w:val="404040"/>
                <w:szCs w:val="20"/>
              </w:rPr>
              <w:t>$340,678</w:t>
            </w:r>
          </w:p>
        </w:tc>
        <w:tc>
          <w:tcPr>
            <w:tcW w:w="1288" w:type="dxa"/>
          </w:tcPr>
          <w:p w14:paraId="0A64D0CD" w14:textId="77777777" w:rsidR="00C91F30" w:rsidRPr="00C91F30" w:rsidRDefault="00C91F30" w:rsidP="00C91F30">
            <w:pPr>
              <w:rPr>
                <w:rFonts w:ascii="Calibri" w:hAnsi="Calibri" w:cs="Calibri"/>
                <w:b/>
                <w:color w:val="404040"/>
                <w:szCs w:val="20"/>
              </w:rPr>
            </w:pPr>
            <w:r w:rsidRPr="00C91F30">
              <w:rPr>
                <w:rFonts w:ascii="Calibri" w:hAnsi="Calibri" w:cs="Calibri"/>
                <w:b/>
                <w:color w:val="404040"/>
                <w:szCs w:val="20"/>
              </w:rPr>
              <w:t>$273,313</w:t>
            </w:r>
          </w:p>
        </w:tc>
        <w:tc>
          <w:tcPr>
            <w:tcW w:w="1288" w:type="dxa"/>
          </w:tcPr>
          <w:p w14:paraId="58AAFBB9" w14:textId="5A23A71C" w:rsidR="00C91F30" w:rsidRPr="00C91F30" w:rsidRDefault="003503C6" w:rsidP="00C91F30">
            <w:pPr>
              <w:jc w:val="center"/>
              <w:rPr>
                <w:rFonts w:ascii="Calibri" w:hAnsi="Calibri" w:cs="Calibri"/>
                <w:b/>
                <w:color w:val="404040"/>
                <w:szCs w:val="20"/>
              </w:rPr>
            </w:pPr>
            <w:r>
              <w:rPr>
                <w:rFonts w:ascii="Calibri" w:hAnsi="Calibri" w:cs="Calibri"/>
                <w:b/>
                <w:color w:val="404040"/>
                <w:szCs w:val="20"/>
              </w:rPr>
              <w:t>$289,733</w:t>
            </w:r>
          </w:p>
        </w:tc>
      </w:tr>
    </w:tbl>
    <w:p w14:paraId="1E9087FF" w14:textId="77777777" w:rsidR="00C91F30" w:rsidRPr="00C91F30" w:rsidRDefault="00C91F30" w:rsidP="00C91F30">
      <w:pPr>
        <w:rPr>
          <w:rFonts w:ascii="Calibri" w:hAnsi="Calibri" w:cs="Calibri"/>
          <w:color w:val="404040"/>
          <w:szCs w:val="20"/>
        </w:rPr>
      </w:pPr>
    </w:p>
    <w:p w14:paraId="29BE0EBD" w14:textId="77777777" w:rsidR="00C91F30" w:rsidRPr="00C91F30" w:rsidRDefault="00C91F30" w:rsidP="00C91F30">
      <w:pPr>
        <w:rPr>
          <w:rFonts w:ascii="Calibri" w:hAnsi="Calibri" w:cs="Calibri"/>
          <w:color w:val="404040"/>
          <w:szCs w:val="20"/>
        </w:rPr>
      </w:pPr>
    </w:p>
    <w:p w14:paraId="7B483EF9" w14:textId="77777777" w:rsidR="00C91F30" w:rsidRPr="00C91F30" w:rsidRDefault="00C91F30" w:rsidP="00C91F30">
      <w:pPr>
        <w:ind w:left="720" w:firstLine="720"/>
        <w:rPr>
          <w:rFonts w:ascii="Calibri" w:hAnsi="Calibri" w:cs="Calibri"/>
          <w:b/>
          <w:color w:val="404040"/>
          <w:szCs w:val="20"/>
        </w:rPr>
      </w:pPr>
      <w:r w:rsidRPr="00C91F30">
        <w:rPr>
          <w:rFonts w:ascii="Calibri" w:hAnsi="Calibri" w:cs="Calibri"/>
          <w:b/>
          <w:color w:val="404040"/>
          <w:szCs w:val="20"/>
        </w:rPr>
        <w:t>TOTAL AMOUNT OF FUNDS EXPENDED ON ESG ACTIVITIES</w:t>
      </w:r>
    </w:p>
    <w:tbl>
      <w:tblPr>
        <w:tblStyle w:val="TableGrid1"/>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15"/>
        <w:gridCol w:w="1674"/>
        <w:gridCol w:w="1620"/>
        <w:gridCol w:w="1530"/>
        <w:gridCol w:w="1530"/>
        <w:gridCol w:w="1530"/>
      </w:tblGrid>
      <w:tr w:rsidR="00C91F30" w:rsidRPr="00C91F30" w14:paraId="03E8A581" w14:textId="77777777" w:rsidTr="00C91F30">
        <w:trPr>
          <w:jc w:val="center"/>
        </w:trPr>
        <w:tc>
          <w:tcPr>
            <w:tcW w:w="2115" w:type="dxa"/>
            <w:shd w:val="clear" w:color="auto" w:fill="D5DCE4"/>
            <w:vAlign w:val="center"/>
          </w:tcPr>
          <w:p w14:paraId="77CE7A81" w14:textId="77777777" w:rsidR="00C91F30" w:rsidRDefault="00C91F30" w:rsidP="00C91F30">
            <w:pPr>
              <w:jc w:val="center"/>
              <w:rPr>
                <w:rFonts w:ascii="Calibri" w:hAnsi="Calibri" w:cs="Calibri"/>
                <w:b/>
                <w:color w:val="404040"/>
                <w:szCs w:val="20"/>
              </w:rPr>
            </w:pPr>
            <w:r w:rsidRPr="00C91F30">
              <w:rPr>
                <w:rFonts w:ascii="Calibri" w:hAnsi="Calibri" w:cs="Calibri"/>
                <w:b/>
                <w:color w:val="404040"/>
                <w:szCs w:val="20"/>
              </w:rPr>
              <w:t>Total Funds Expended</w:t>
            </w:r>
          </w:p>
          <w:p w14:paraId="1DA4E041" w14:textId="3B00AF78" w:rsidR="00F5317B" w:rsidRPr="00C91F30" w:rsidRDefault="00F5317B" w:rsidP="00C91F30">
            <w:pPr>
              <w:jc w:val="center"/>
              <w:rPr>
                <w:rFonts w:ascii="Calibri" w:hAnsi="Calibri" w:cs="Calibri"/>
                <w:b/>
                <w:color w:val="404040"/>
                <w:szCs w:val="20"/>
              </w:rPr>
            </w:pPr>
            <w:r>
              <w:rPr>
                <w:rFonts w:ascii="Calibri" w:hAnsi="Calibri" w:cs="Calibri"/>
                <w:b/>
                <w:color w:val="404040"/>
                <w:szCs w:val="20"/>
              </w:rPr>
              <w:t>In the Last 3 Years</w:t>
            </w:r>
          </w:p>
        </w:tc>
        <w:tc>
          <w:tcPr>
            <w:tcW w:w="1674" w:type="dxa"/>
            <w:shd w:val="clear" w:color="auto" w:fill="D5DCE4"/>
            <w:vAlign w:val="center"/>
          </w:tcPr>
          <w:p w14:paraId="593BD296" w14:textId="77777777" w:rsidR="00C91F30" w:rsidRPr="00C91F30" w:rsidRDefault="00C91F30" w:rsidP="00C91F30">
            <w:pPr>
              <w:jc w:val="center"/>
              <w:rPr>
                <w:rFonts w:ascii="Calibri" w:hAnsi="Calibri" w:cs="Calibri"/>
                <w:b/>
                <w:color w:val="404040"/>
                <w:szCs w:val="20"/>
              </w:rPr>
            </w:pPr>
            <w:r w:rsidRPr="00C91F30">
              <w:rPr>
                <w:rFonts w:ascii="Calibri" w:hAnsi="Calibri" w:cs="Calibri"/>
                <w:b/>
                <w:color w:val="404040"/>
                <w:szCs w:val="20"/>
              </w:rPr>
              <w:t>2013-14</w:t>
            </w:r>
          </w:p>
        </w:tc>
        <w:tc>
          <w:tcPr>
            <w:tcW w:w="1620" w:type="dxa"/>
            <w:shd w:val="clear" w:color="auto" w:fill="D5DCE4"/>
            <w:vAlign w:val="center"/>
          </w:tcPr>
          <w:p w14:paraId="670AAE70" w14:textId="77777777" w:rsidR="00C91F30" w:rsidRPr="00C91F30" w:rsidRDefault="00C91F30" w:rsidP="00C91F30">
            <w:pPr>
              <w:jc w:val="center"/>
              <w:rPr>
                <w:rFonts w:ascii="Calibri" w:hAnsi="Calibri" w:cs="Calibri"/>
                <w:b/>
                <w:color w:val="404040"/>
                <w:szCs w:val="20"/>
              </w:rPr>
            </w:pPr>
            <w:r w:rsidRPr="00C91F30">
              <w:rPr>
                <w:rFonts w:ascii="Calibri" w:hAnsi="Calibri" w:cs="Calibri"/>
                <w:b/>
                <w:color w:val="404040"/>
                <w:szCs w:val="20"/>
              </w:rPr>
              <w:t>2014-15</w:t>
            </w:r>
          </w:p>
        </w:tc>
        <w:tc>
          <w:tcPr>
            <w:tcW w:w="1530" w:type="dxa"/>
            <w:shd w:val="clear" w:color="auto" w:fill="D5DCE4"/>
            <w:vAlign w:val="center"/>
          </w:tcPr>
          <w:p w14:paraId="1FD2F8BF" w14:textId="77777777" w:rsidR="00C91F30" w:rsidRPr="00C91F30" w:rsidRDefault="00C91F30" w:rsidP="00C91F30">
            <w:pPr>
              <w:jc w:val="center"/>
              <w:rPr>
                <w:rFonts w:ascii="Calibri" w:hAnsi="Calibri" w:cs="Calibri"/>
                <w:b/>
                <w:color w:val="404040"/>
                <w:szCs w:val="20"/>
              </w:rPr>
            </w:pPr>
            <w:r w:rsidRPr="00C91F30">
              <w:rPr>
                <w:rFonts w:ascii="Calibri" w:hAnsi="Calibri" w:cs="Calibri"/>
                <w:b/>
                <w:color w:val="404040"/>
                <w:szCs w:val="20"/>
              </w:rPr>
              <w:t>2015-16</w:t>
            </w:r>
          </w:p>
        </w:tc>
        <w:tc>
          <w:tcPr>
            <w:tcW w:w="1530" w:type="dxa"/>
            <w:shd w:val="clear" w:color="auto" w:fill="D5DCE4"/>
          </w:tcPr>
          <w:p w14:paraId="7B9D8D1A" w14:textId="77777777" w:rsidR="00C91F30" w:rsidRPr="00C91F30" w:rsidRDefault="00C91F30" w:rsidP="00C91F30">
            <w:pPr>
              <w:jc w:val="center"/>
              <w:rPr>
                <w:rFonts w:ascii="Calibri" w:hAnsi="Calibri" w:cs="Calibri"/>
                <w:b/>
                <w:color w:val="404040"/>
                <w:szCs w:val="20"/>
              </w:rPr>
            </w:pPr>
            <w:r w:rsidRPr="00C91F30">
              <w:rPr>
                <w:rFonts w:ascii="Calibri" w:hAnsi="Calibri" w:cs="Calibri"/>
                <w:b/>
                <w:color w:val="404040"/>
                <w:szCs w:val="20"/>
              </w:rPr>
              <w:t>2016-17</w:t>
            </w:r>
          </w:p>
        </w:tc>
        <w:tc>
          <w:tcPr>
            <w:tcW w:w="1530" w:type="dxa"/>
            <w:shd w:val="clear" w:color="auto" w:fill="D5DCE4"/>
          </w:tcPr>
          <w:p w14:paraId="663B16DA" w14:textId="77777777" w:rsidR="00C91F30" w:rsidRPr="00C91F30" w:rsidRDefault="00C91F30" w:rsidP="00C91F30">
            <w:pPr>
              <w:jc w:val="center"/>
              <w:rPr>
                <w:rFonts w:ascii="Calibri" w:hAnsi="Calibri" w:cs="Calibri"/>
                <w:b/>
                <w:color w:val="404040"/>
                <w:szCs w:val="20"/>
              </w:rPr>
            </w:pPr>
            <w:r w:rsidRPr="00C91F30">
              <w:rPr>
                <w:rFonts w:ascii="Calibri" w:hAnsi="Calibri" w:cs="Calibri"/>
                <w:b/>
                <w:color w:val="404040"/>
                <w:szCs w:val="20"/>
              </w:rPr>
              <w:t>2017-18</w:t>
            </w:r>
          </w:p>
        </w:tc>
      </w:tr>
      <w:tr w:rsidR="00C91F30" w:rsidRPr="00C91F30" w14:paraId="421D6CC6" w14:textId="77777777" w:rsidTr="00816745">
        <w:trPr>
          <w:jc w:val="center"/>
        </w:trPr>
        <w:tc>
          <w:tcPr>
            <w:tcW w:w="2115" w:type="dxa"/>
            <w:vAlign w:val="center"/>
          </w:tcPr>
          <w:p w14:paraId="0F220674" w14:textId="5AA5C98E" w:rsidR="00C91F30" w:rsidRPr="00C91F30" w:rsidRDefault="00870D5F" w:rsidP="00972E5E">
            <w:pPr>
              <w:jc w:val="center"/>
              <w:rPr>
                <w:rFonts w:ascii="Calibri" w:hAnsi="Calibri" w:cs="Calibri"/>
                <w:color w:val="404040"/>
                <w:szCs w:val="20"/>
              </w:rPr>
            </w:pPr>
            <w:r>
              <w:rPr>
                <w:rFonts w:ascii="Calibri" w:hAnsi="Calibri" w:cs="Calibri"/>
                <w:color w:val="404040"/>
                <w:szCs w:val="20"/>
              </w:rPr>
              <w:t>$1,806,428</w:t>
            </w:r>
          </w:p>
        </w:tc>
        <w:tc>
          <w:tcPr>
            <w:tcW w:w="1674" w:type="dxa"/>
            <w:vAlign w:val="center"/>
          </w:tcPr>
          <w:p w14:paraId="275E59A6" w14:textId="77777777" w:rsidR="00C91F30" w:rsidRPr="00C91F30" w:rsidRDefault="00C91F30" w:rsidP="00C91F30">
            <w:pPr>
              <w:jc w:val="center"/>
              <w:rPr>
                <w:rFonts w:ascii="Calibri" w:hAnsi="Calibri" w:cs="Calibri"/>
                <w:color w:val="404040"/>
                <w:szCs w:val="20"/>
              </w:rPr>
            </w:pPr>
            <w:r w:rsidRPr="00C91F30">
              <w:rPr>
                <w:rFonts w:ascii="Calibri" w:hAnsi="Calibri" w:cs="Calibri"/>
                <w:color w:val="404040"/>
                <w:szCs w:val="20"/>
              </w:rPr>
              <w:t>$478,529</w:t>
            </w:r>
          </w:p>
        </w:tc>
        <w:tc>
          <w:tcPr>
            <w:tcW w:w="1620" w:type="dxa"/>
            <w:vAlign w:val="center"/>
          </w:tcPr>
          <w:p w14:paraId="69A1F00C" w14:textId="77777777" w:rsidR="00C91F30" w:rsidRPr="00C91F30" w:rsidRDefault="00C91F30" w:rsidP="00C91F30">
            <w:pPr>
              <w:jc w:val="center"/>
              <w:rPr>
                <w:rFonts w:ascii="Calibri" w:hAnsi="Calibri" w:cs="Calibri"/>
                <w:color w:val="404040"/>
                <w:szCs w:val="20"/>
              </w:rPr>
            </w:pPr>
            <w:r w:rsidRPr="00C91F30">
              <w:rPr>
                <w:rFonts w:ascii="Calibri" w:hAnsi="Calibri" w:cs="Calibri"/>
                <w:color w:val="404040"/>
                <w:szCs w:val="20"/>
              </w:rPr>
              <w:t>$525,855</w:t>
            </w:r>
          </w:p>
        </w:tc>
        <w:tc>
          <w:tcPr>
            <w:tcW w:w="1530" w:type="dxa"/>
            <w:vAlign w:val="center"/>
          </w:tcPr>
          <w:p w14:paraId="0482E5CA" w14:textId="00708681" w:rsidR="00C91F30" w:rsidRPr="00C91F30" w:rsidRDefault="00870D5F" w:rsidP="00C91F30">
            <w:pPr>
              <w:jc w:val="center"/>
              <w:rPr>
                <w:rFonts w:ascii="Calibri" w:hAnsi="Calibri" w:cs="Calibri"/>
                <w:color w:val="404040"/>
                <w:szCs w:val="20"/>
              </w:rPr>
            </w:pPr>
            <w:r>
              <w:rPr>
                <w:rFonts w:ascii="Calibri" w:hAnsi="Calibri" w:cs="Calibri"/>
                <w:color w:val="404040"/>
                <w:szCs w:val="20"/>
              </w:rPr>
              <w:t>$668,255</w:t>
            </w:r>
          </w:p>
        </w:tc>
        <w:tc>
          <w:tcPr>
            <w:tcW w:w="1530" w:type="dxa"/>
          </w:tcPr>
          <w:p w14:paraId="2CB6194D" w14:textId="3AC302CB" w:rsidR="00C91F30" w:rsidRPr="00C91F30" w:rsidRDefault="00870D5F" w:rsidP="00C91F30">
            <w:pPr>
              <w:jc w:val="center"/>
              <w:rPr>
                <w:rFonts w:ascii="Calibri" w:hAnsi="Calibri" w:cs="Calibri"/>
                <w:color w:val="404040"/>
                <w:szCs w:val="20"/>
              </w:rPr>
            </w:pPr>
            <w:r>
              <w:rPr>
                <w:rFonts w:ascii="Calibri" w:hAnsi="Calibri" w:cs="Calibri"/>
                <w:color w:val="404040"/>
                <w:szCs w:val="20"/>
              </w:rPr>
              <w:t>$565,292</w:t>
            </w:r>
          </w:p>
        </w:tc>
        <w:tc>
          <w:tcPr>
            <w:tcW w:w="1530" w:type="dxa"/>
          </w:tcPr>
          <w:p w14:paraId="60F56B2C" w14:textId="7810E289" w:rsidR="00C91F30" w:rsidRPr="00C91F30" w:rsidRDefault="003503C6" w:rsidP="003503C6">
            <w:pPr>
              <w:jc w:val="center"/>
              <w:rPr>
                <w:rFonts w:ascii="Calibri" w:hAnsi="Calibri" w:cs="Calibri"/>
                <w:color w:val="404040"/>
                <w:szCs w:val="20"/>
              </w:rPr>
            </w:pPr>
            <w:r>
              <w:rPr>
                <w:rFonts w:ascii="Calibri" w:hAnsi="Calibri" w:cs="Calibri"/>
                <w:color w:val="404040"/>
                <w:szCs w:val="20"/>
              </w:rPr>
              <w:t>572</w:t>
            </w:r>
            <w:r w:rsidR="00972E5E">
              <w:rPr>
                <w:rFonts w:ascii="Calibri" w:hAnsi="Calibri" w:cs="Calibri"/>
                <w:color w:val="404040"/>
                <w:szCs w:val="20"/>
              </w:rPr>
              <w:t>,</w:t>
            </w:r>
            <w:r>
              <w:rPr>
                <w:rFonts w:ascii="Calibri" w:hAnsi="Calibri" w:cs="Calibri"/>
                <w:color w:val="404040"/>
                <w:szCs w:val="20"/>
              </w:rPr>
              <w:t>881</w:t>
            </w:r>
          </w:p>
        </w:tc>
      </w:tr>
    </w:tbl>
    <w:p w14:paraId="7DE2B015" w14:textId="77777777" w:rsidR="00C91F30" w:rsidRPr="00C91F30" w:rsidRDefault="00C91F30" w:rsidP="00C91F30">
      <w:pPr>
        <w:rPr>
          <w:color w:val="FF0000"/>
        </w:rPr>
      </w:pPr>
    </w:p>
    <w:p w14:paraId="7C8A12C1" w14:textId="77777777" w:rsidR="00C91F30" w:rsidRPr="00C91F30" w:rsidRDefault="00C91F30" w:rsidP="00C91F30">
      <w:pPr>
        <w:spacing w:line="276" w:lineRule="auto"/>
        <w:ind w:right="360"/>
        <w:rPr>
          <w:rFonts w:ascii="Calibri" w:hAnsi="Calibri" w:cs="Calibri"/>
          <w:b/>
          <w:color w:val="FF0000"/>
          <w:szCs w:val="20"/>
        </w:rPr>
      </w:pPr>
    </w:p>
    <w:p w14:paraId="57FE8380" w14:textId="77777777" w:rsidR="00C91F30" w:rsidRPr="00C91F30" w:rsidRDefault="00C91F30" w:rsidP="00C91F30">
      <w:pPr>
        <w:spacing w:line="276" w:lineRule="auto"/>
        <w:ind w:right="360"/>
        <w:rPr>
          <w:rFonts w:ascii="Calibri" w:hAnsi="Calibri" w:cs="Calibri"/>
          <w:b/>
          <w:color w:val="FF0000"/>
          <w:szCs w:val="20"/>
        </w:rPr>
      </w:pPr>
    </w:p>
    <w:p w14:paraId="5A07BC69" w14:textId="77777777" w:rsidR="00C91F30" w:rsidRPr="00C91F30" w:rsidRDefault="00C91F30" w:rsidP="00C91F30">
      <w:pPr>
        <w:rPr>
          <w:rFonts w:ascii="Calibri" w:hAnsi="Calibri" w:cs="Calibri"/>
          <w:b/>
          <w:color w:val="FF0000"/>
          <w:szCs w:val="20"/>
        </w:rPr>
      </w:pPr>
    </w:p>
    <w:p w14:paraId="75D3EC19" w14:textId="77777777" w:rsidR="00C91F30" w:rsidRPr="00C91F30" w:rsidRDefault="00C91F30" w:rsidP="00C91F30"/>
    <w:p w14:paraId="7E9C52EB" w14:textId="5137B350" w:rsidR="00CA0F7F" w:rsidRPr="009C5A2F" w:rsidRDefault="00CA0F7F" w:rsidP="009C5A2F">
      <w:pPr>
        <w:rPr>
          <w:rFonts w:asciiTheme="minorHAnsi" w:hAnsiTheme="minorHAnsi" w:cstheme="minorHAnsi"/>
          <w:b/>
          <w:color w:val="FF0000"/>
          <w:szCs w:val="20"/>
        </w:rPr>
      </w:pPr>
    </w:p>
    <w:sectPr w:rsidR="00CA0F7F" w:rsidRPr="009C5A2F" w:rsidSect="00BF62C9">
      <w:footerReference w:type="default" r:id="rId17"/>
      <w:footerReference w:type="first" r:id="rId18"/>
      <w:type w:val="continuous"/>
      <w:pgSz w:w="12240" w:h="15840"/>
      <w:pgMar w:top="1440" w:right="1080" w:bottom="1440" w:left="1080" w:header="72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3C2BB" w14:textId="77777777" w:rsidR="00110B73" w:rsidRDefault="00110B73" w:rsidP="00F63646">
      <w:r>
        <w:separator/>
      </w:r>
    </w:p>
  </w:endnote>
  <w:endnote w:type="continuationSeparator" w:id="0">
    <w:p w14:paraId="6718C1E0" w14:textId="77777777" w:rsidR="00110B73" w:rsidRDefault="00110B73" w:rsidP="00F63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otham Bold">
    <w:altName w:val="Arial"/>
    <w:panose1 w:val="00000000000000000000"/>
    <w:charset w:val="00"/>
    <w:family w:val="modern"/>
    <w:notTrueType/>
    <w:pitch w:val="variable"/>
    <w:sig w:usb0="A00002FF" w:usb1="4000005B" w:usb2="00000000" w:usb3="00000000" w:csb0="0000009F" w:csb1="00000000"/>
  </w:font>
  <w:font w:name="Gotham Book">
    <w:altName w:val="Arial"/>
    <w:panose1 w:val="00000000000000000000"/>
    <w:charset w:val="00"/>
    <w:family w:val="modern"/>
    <w:notTrueType/>
    <w:pitch w:val="variable"/>
    <w:sig w:usb0="A00002FF" w:usb1="4000005B"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8861C" w14:textId="77777777" w:rsidR="00110B73" w:rsidRDefault="00110B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B88AB" w14:textId="77777777" w:rsidR="00110B73" w:rsidRPr="00DE75FB" w:rsidRDefault="00110B73" w:rsidP="00816745">
    <w:pPr>
      <w:pStyle w:val="Footer"/>
      <w:pBdr>
        <w:top w:val="single" w:sz="4" w:space="0" w:color="D9D9D9" w:themeColor="background1" w:themeShade="D9"/>
      </w:pBdr>
      <w:jc w:val="right"/>
      <w:rPr>
        <w:color w:val="404040" w:themeColor="text1" w:themeTint="BF"/>
        <w:sz w:val="16"/>
        <w:szCs w:val="16"/>
      </w:rPr>
    </w:pPr>
    <w:r w:rsidRPr="00DE75FB">
      <w:rPr>
        <w:b/>
        <w:color w:val="404040" w:themeColor="text1" w:themeTint="BF"/>
        <w:sz w:val="16"/>
        <w:szCs w:val="16"/>
      </w:rPr>
      <w:fldChar w:fldCharType="begin"/>
    </w:r>
    <w:r w:rsidRPr="00DE75FB">
      <w:rPr>
        <w:b/>
        <w:color w:val="404040" w:themeColor="text1" w:themeTint="BF"/>
        <w:sz w:val="16"/>
        <w:szCs w:val="16"/>
      </w:rPr>
      <w:instrText xml:space="preserve"> PAGE   \* MERGEFORMAT </w:instrText>
    </w:r>
    <w:r w:rsidRPr="00DE75FB">
      <w:rPr>
        <w:b/>
        <w:color w:val="404040" w:themeColor="text1" w:themeTint="BF"/>
        <w:sz w:val="16"/>
        <w:szCs w:val="16"/>
      </w:rPr>
      <w:fldChar w:fldCharType="separate"/>
    </w:r>
    <w:r w:rsidR="00EB09FD">
      <w:rPr>
        <w:b/>
        <w:noProof/>
        <w:color w:val="404040" w:themeColor="text1" w:themeTint="BF"/>
        <w:sz w:val="16"/>
        <w:szCs w:val="16"/>
      </w:rPr>
      <w:t>21</w:t>
    </w:r>
    <w:r w:rsidRPr="00DE75FB">
      <w:rPr>
        <w:b/>
        <w:color w:val="404040" w:themeColor="text1" w:themeTint="BF"/>
        <w:sz w:val="16"/>
        <w:szCs w:val="16"/>
      </w:rPr>
      <w:fldChar w:fldCharType="end"/>
    </w:r>
    <w:r w:rsidRPr="00DE75FB">
      <w:rPr>
        <w:color w:val="404040" w:themeColor="text1" w:themeTint="BF"/>
        <w:sz w:val="16"/>
        <w:szCs w:val="16"/>
      </w:rPr>
      <w:t xml:space="preserve"> </w:t>
    </w:r>
    <w:r w:rsidRPr="00DE75FB">
      <w:rPr>
        <w:color w:val="8DB3E2" w:themeColor="text2" w:themeTint="66"/>
        <w:sz w:val="16"/>
        <w:szCs w:val="16"/>
      </w:rPr>
      <w:t>|</w:t>
    </w:r>
    <w:r w:rsidRPr="00DE75FB">
      <w:rPr>
        <w:color w:val="404040" w:themeColor="text1" w:themeTint="BF"/>
        <w:sz w:val="16"/>
        <w:szCs w:val="16"/>
      </w:rPr>
      <w:t xml:space="preserve"> </w:t>
    </w:r>
    <w:r w:rsidRPr="00DE75FB">
      <w:rPr>
        <w:b/>
        <w:color w:val="404040" w:themeColor="text1" w:themeTint="BF"/>
        <w:spacing w:val="60"/>
        <w:sz w:val="16"/>
        <w:szCs w:val="16"/>
      </w:rPr>
      <w:t>Page</w:t>
    </w:r>
  </w:p>
  <w:p w14:paraId="6716D838" w14:textId="77777777" w:rsidR="00110B73" w:rsidRPr="00DE75FB" w:rsidRDefault="00110B73">
    <w:pPr>
      <w:pStyle w:val="Footer"/>
      <w:rPr>
        <w:color w:val="404040" w:themeColor="text1" w:themeTint="BF"/>
        <w:sz w:val="16"/>
        <w:szCs w:val="16"/>
      </w:rPr>
    </w:pPr>
    <w:r w:rsidRPr="00DE75FB">
      <w:rPr>
        <w:color w:val="404040" w:themeColor="text1" w:themeTint="BF"/>
        <w:sz w:val="16"/>
        <w:szCs w:val="16"/>
      </w:rPr>
      <w:t>SALT LAKE CITY CORPORATION</w:t>
    </w:r>
  </w:p>
  <w:p w14:paraId="7271BCD9" w14:textId="77777777" w:rsidR="00110B73" w:rsidRPr="00DE75FB" w:rsidRDefault="00110B73">
    <w:pPr>
      <w:pStyle w:val="Footer"/>
      <w:rPr>
        <w:color w:val="404040" w:themeColor="text1" w:themeTint="BF"/>
        <w:sz w:val="16"/>
        <w:szCs w:val="16"/>
      </w:rPr>
    </w:pPr>
    <w:r>
      <w:rPr>
        <w:color w:val="404040" w:themeColor="text1" w:themeTint="BF"/>
        <w:sz w:val="16"/>
        <w:szCs w:val="16"/>
      </w:rPr>
      <w:t>2017-2018</w:t>
    </w:r>
    <w:r w:rsidRPr="00DE75FB">
      <w:rPr>
        <w:color w:val="404040" w:themeColor="text1" w:themeTint="BF"/>
        <w:sz w:val="16"/>
        <w:szCs w:val="16"/>
      </w:rPr>
      <w:t xml:space="preserve"> CAPER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91B1F" w14:textId="77777777" w:rsidR="00110B73" w:rsidRPr="00F63646" w:rsidRDefault="00110B73">
    <w:pPr>
      <w:pStyle w:val="Footer"/>
      <w:pBdr>
        <w:top w:val="thickThinSmallGap" w:sz="24" w:space="2" w:color="993300"/>
      </w:pBdr>
      <w:rPr>
        <w:color w:val="993300"/>
        <w:sz w:val="18"/>
        <w:szCs w:val="18"/>
      </w:rPr>
    </w:pPr>
    <w:r w:rsidRPr="00F63646">
      <w:rPr>
        <w:color w:val="993300"/>
        <w:sz w:val="18"/>
        <w:szCs w:val="18"/>
      </w:rPr>
      <w:t>Salt Lake City Corporation</w:t>
    </w:r>
  </w:p>
  <w:p w14:paraId="1C7D930D" w14:textId="77777777" w:rsidR="005F3FCF" w:rsidRPr="005F3FCF" w:rsidRDefault="00110B73" w:rsidP="005F3FCF">
    <w:pPr>
      <w:pStyle w:val="Footer"/>
      <w:rPr>
        <w:b/>
        <w:bCs/>
      </w:rPr>
    </w:pPr>
    <w:r>
      <w:fldChar w:fldCharType="begin"/>
    </w:r>
    <w:r>
      <w:instrText xml:space="preserve"> REF Title Title2  \* MERGEFORMAT </w:instrText>
    </w:r>
    <w:r>
      <w:fldChar w:fldCharType="separate"/>
    </w:r>
  </w:p>
  <w:p w14:paraId="187F1A04" w14:textId="77777777" w:rsidR="005F3FCF" w:rsidRPr="005F3FCF" w:rsidRDefault="005F3FCF" w:rsidP="005F3FCF">
    <w:pPr>
      <w:pStyle w:val="Footer"/>
      <w:rPr>
        <w:b/>
        <w:bCs/>
      </w:rPr>
    </w:pPr>
  </w:p>
  <w:p w14:paraId="5F15B915" w14:textId="77777777" w:rsidR="005F3FCF" w:rsidRPr="005F3FCF" w:rsidRDefault="005F3FCF" w:rsidP="005F3FCF">
    <w:pPr>
      <w:pStyle w:val="Footer"/>
      <w:rPr>
        <w:b/>
        <w:bCs/>
      </w:rPr>
    </w:pPr>
  </w:p>
  <w:p w14:paraId="5F6A4C38" w14:textId="77777777" w:rsidR="005F3FCF" w:rsidRPr="005F3FCF" w:rsidRDefault="005F3FCF" w:rsidP="005F3FCF">
    <w:pPr>
      <w:pStyle w:val="Footer"/>
      <w:rPr>
        <w:b/>
        <w:bCs/>
      </w:rPr>
    </w:pPr>
  </w:p>
  <w:p w14:paraId="0BFAE846" w14:textId="77777777" w:rsidR="005F3FCF" w:rsidRPr="005F3FCF" w:rsidRDefault="005F3FCF" w:rsidP="005F3FCF">
    <w:pPr>
      <w:pStyle w:val="Footer"/>
      <w:rPr>
        <w:b/>
        <w:bCs/>
      </w:rPr>
    </w:pPr>
  </w:p>
  <w:p w14:paraId="33AD766F" w14:textId="77777777" w:rsidR="005F3FCF" w:rsidRPr="005F3FCF" w:rsidRDefault="005F3FCF" w:rsidP="005F3FCF">
    <w:pPr>
      <w:pStyle w:val="Footer"/>
      <w:rPr>
        <w:b/>
        <w:bCs/>
      </w:rPr>
    </w:pPr>
  </w:p>
  <w:p w14:paraId="20A55239" w14:textId="77777777" w:rsidR="005F3FCF" w:rsidRPr="005F3FCF" w:rsidRDefault="005F3FCF" w:rsidP="005F3FCF">
    <w:pPr>
      <w:pStyle w:val="Footer"/>
      <w:rPr>
        <w:b/>
        <w:bCs/>
      </w:rPr>
    </w:pPr>
  </w:p>
  <w:p w14:paraId="01501CA4" w14:textId="77777777" w:rsidR="005F3FCF" w:rsidRPr="005F3FCF" w:rsidRDefault="005F3FCF" w:rsidP="005F3FCF">
    <w:pPr>
      <w:pStyle w:val="Footer"/>
      <w:rPr>
        <w:b/>
        <w:bCs/>
      </w:rPr>
    </w:pPr>
  </w:p>
  <w:p w14:paraId="79678170" w14:textId="77777777" w:rsidR="005F3FCF" w:rsidRPr="005F3FCF" w:rsidRDefault="005F3FCF" w:rsidP="005F3FCF">
    <w:pPr>
      <w:pStyle w:val="Footer"/>
      <w:rPr>
        <w:b/>
        <w:bCs/>
      </w:rPr>
    </w:pPr>
  </w:p>
  <w:p w14:paraId="12DD98EE" w14:textId="77777777" w:rsidR="005F3FCF" w:rsidRPr="005F3FCF" w:rsidRDefault="005F3FCF" w:rsidP="005F3FCF">
    <w:pPr>
      <w:pStyle w:val="Footer"/>
      <w:rPr>
        <w:b/>
        <w:bCs/>
      </w:rPr>
    </w:pPr>
  </w:p>
  <w:p w14:paraId="5A40AF69" w14:textId="77777777" w:rsidR="005F3FCF" w:rsidRPr="005F3FCF" w:rsidRDefault="005F3FCF" w:rsidP="005F3FCF">
    <w:pPr>
      <w:pStyle w:val="Footer"/>
      <w:rPr>
        <w:b/>
        <w:bCs/>
      </w:rPr>
    </w:pPr>
  </w:p>
  <w:p w14:paraId="7E963DE3" w14:textId="77777777" w:rsidR="005F3FCF" w:rsidRDefault="005F3FCF" w:rsidP="005068B5">
    <w:pPr>
      <w:ind w:left="342"/>
      <w:jc w:val="center"/>
      <w:rPr>
        <w:rFonts w:asciiTheme="minorHAnsi" w:hAnsiTheme="minorHAnsi" w:cstheme="minorHAnsi"/>
        <w:b/>
        <w:sz w:val="40"/>
        <w:szCs w:val="40"/>
      </w:rPr>
    </w:pPr>
  </w:p>
  <w:p w14:paraId="64D11923" w14:textId="77777777" w:rsidR="005F3FCF" w:rsidRPr="00B3495E" w:rsidRDefault="005F3FCF" w:rsidP="005068B5">
    <w:pPr>
      <w:jc w:val="center"/>
      <w:rPr>
        <w:rFonts w:ascii="Georgia" w:hAnsi="Georgia"/>
        <w:b/>
        <w:color w:val="404040" w:themeColor="text1" w:themeTint="BF"/>
        <w:sz w:val="32"/>
        <w:szCs w:val="32"/>
      </w:rPr>
    </w:pPr>
  </w:p>
  <w:p w14:paraId="44BE2E4E" w14:textId="77777777" w:rsidR="005F3FCF" w:rsidRDefault="005F3FCF" w:rsidP="005068B5">
    <w:pPr>
      <w:jc w:val="center"/>
      <w:rPr>
        <w:rFonts w:ascii="Georgia" w:hAnsi="Georgia"/>
        <w:b/>
        <w:color w:val="404040" w:themeColor="text1" w:themeTint="BF"/>
        <w:sz w:val="32"/>
        <w:szCs w:val="32"/>
      </w:rPr>
    </w:pPr>
  </w:p>
  <w:p w14:paraId="4F0330F7" w14:textId="77777777" w:rsidR="005F3FCF" w:rsidRPr="001F596D" w:rsidRDefault="005F3FCF" w:rsidP="005068B5">
    <w:pPr>
      <w:spacing w:line="360" w:lineRule="auto"/>
      <w:jc w:val="center"/>
      <w:rPr>
        <w:rFonts w:ascii="Georgia" w:hAnsi="Georgia"/>
        <w:b/>
        <w:color w:val="404040" w:themeColor="text1" w:themeTint="BF"/>
        <w:sz w:val="24"/>
      </w:rPr>
    </w:pPr>
    <w:r w:rsidRPr="001F596D">
      <w:rPr>
        <w:rFonts w:ascii="Georgia" w:hAnsi="Georgia"/>
        <w:b/>
        <w:color w:val="404040" w:themeColor="text1" w:themeTint="BF"/>
        <w:sz w:val="24"/>
      </w:rPr>
      <w:t xml:space="preserve">HUD PROGRAM YEAR </w:t>
    </w:r>
    <w:r>
      <w:rPr>
        <w:rFonts w:ascii="Georgia" w:hAnsi="Georgia"/>
        <w:b/>
        <w:color w:val="404040" w:themeColor="text1" w:themeTint="BF"/>
        <w:sz w:val="24"/>
      </w:rPr>
      <w:t>2017</w:t>
    </w:r>
  </w:p>
  <w:p w14:paraId="487A4A46" w14:textId="77777777" w:rsidR="005F3FCF" w:rsidRDefault="005F3FCF" w:rsidP="005068B5">
    <w:pPr>
      <w:spacing w:line="360" w:lineRule="auto"/>
      <w:jc w:val="center"/>
      <w:rPr>
        <w:rFonts w:ascii="Georgia" w:hAnsi="Georgia"/>
        <w:b/>
        <w:color w:val="404040" w:themeColor="text1" w:themeTint="BF"/>
        <w:sz w:val="24"/>
      </w:rPr>
    </w:pPr>
    <w:r w:rsidRPr="001F596D">
      <w:rPr>
        <w:rFonts w:ascii="Georgia" w:hAnsi="Georgia"/>
        <w:b/>
        <w:color w:val="404040" w:themeColor="text1" w:themeTint="BF"/>
        <w:sz w:val="24"/>
      </w:rPr>
      <w:t xml:space="preserve">FISCAL YEAR </w:t>
    </w:r>
    <w:r>
      <w:rPr>
        <w:rFonts w:ascii="Georgia" w:hAnsi="Georgia"/>
        <w:b/>
        <w:color w:val="404040" w:themeColor="text1" w:themeTint="BF"/>
        <w:sz w:val="24"/>
      </w:rPr>
      <w:t>2018</w:t>
    </w:r>
  </w:p>
  <w:p w14:paraId="16803167" w14:textId="77777777" w:rsidR="005F3FCF" w:rsidRDefault="005F3FCF" w:rsidP="005068B5">
    <w:pPr>
      <w:jc w:val="center"/>
      <w:rPr>
        <w:rFonts w:ascii="Georgia" w:hAnsi="Georgia"/>
        <w:b/>
        <w:color w:val="404040" w:themeColor="text1" w:themeTint="BF"/>
        <w:sz w:val="24"/>
      </w:rPr>
    </w:pPr>
  </w:p>
  <w:p w14:paraId="4EF40B51" w14:textId="77777777" w:rsidR="005F3FCF" w:rsidRPr="001F596D" w:rsidRDefault="005F3FCF" w:rsidP="005068B5">
    <w:pPr>
      <w:jc w:val="center"/>
      <w:rPr>
        <w:rFonts w:ascii="Georgia" w:hAnsi="Georgia"/>
        <w:b/>
        <w:color w:val="404040" w:themeColor="text1" w:themeTint="BF"/>
        <w:sz w:val="32"/>
        <w:szCs w:val="32"/>
      </w:rPr>
    </w:pPr>
  </w:p>
  <w:p w14:paraId="03630689" w14:textId="77777777" w:rsidR="005F3FCF" w:rsidRPr="001F596D" w:rsidRDefault="005F3FCF" w:rsidP="005068B5">
    <w:pPr>
      <w:jc w:val="center"/>
      <w:rPr>
        <w:rFonts w:ascii="Georgia" w:eastAsiaTheme="minorEastAsia" w:hAnsi="Georgia"/>
        <w:noProof/>
        <w:color w:val="404040" w:themeColor="text1" w:themeTint="BF"/>
      </w:rPr>
    </w:pPr>
  </w:p>
  <w:p w14:paraId="08FE5CA9" w14:textId="77777777" w:rsidR="005F3FCF" w:rsidRPr="001F596D" w:rsidRDefault="005F3FCF" w:rsidP="005068B5">
    <w:pPr>
      <w:jc w:val="center"/>
      <w:rPr>
        <w:rFonts w:ascii="Georgia" w:hAnsi="Georgia"/>
        <w:b/>
        <w:color w:val="404040" w:themeColor="text1" w:themeTint="BF"/>
        <w:sz w:val="32"/>
        <w:szCs w:val="32"/>
      </w:rPr>
    </w:pPr>
  </w:p>
  <w:p w14:paraId="21357D4A" w14:textId="77777777" w:rsidR="005F3FCF" w:rsidRPr="001F596D" w:rsidRDefault="005F3FCF" w:rsidP="005068B5">
    <w:pPr>
      <w:jc w:val="center"/>
      <w:rPr>
        <w:rFonts w:ascii="Georgia" w:hAnsi="Georgia"/>
        <w:b/>
        <w:color w:val="404040" w:themeColor="text1" w:themeTint="BF"/>
        <w:sz w:val="32"/>
        <w:szCs w:val="32"/>
      </w:rPr>
    </w:pPr>
  </w:p>
  <w:p w14:paraId="1C1434B6" w14:textId="77777777" w:rsidR="005F3FCF" w:rsidRPr="001F596D" w:rsidRDefault="005F3FCF" w:rsidP="005068B5">
    <w:pPr>
      <w:jc w:val="center"/>
      <w:rPr>
        <w:rFonts w:ascii="Georgia" w:hAnsi="Georgia"/>
        <w:b/>
        <w:color w:val="404040" w:themeColor="text1" w:themeTint="BF"/>
        <w:sz w:val="32"/>
        <w:szCs w:val="32"/>
      </w:rPr>
    </w:pPr>
  </w:p>
  <w:p w14:paraId="4E36DFC4" w14:textId="77777777" w:rsidR="005F3FCF" w:rsidRPr="001F596D" w:rsidRDefault="005F3FCF" w:rsidP="005068B5">
    <w:pPr>
      <w:jc w:val="center"/>
      <w:rPr>
        <w:rFonts w:ascii="Georgia" w:hAnsi="Georgia"/>
        <w:b/>
        <w:color w:val="404040" w:themeColor="text1" w:themeTint="BF"/>
        <w:sz w:val="32"/>
        <w:szCs w:val="32"/>
      </w:rPr>
    </w:pPr>
  </w:p>
  <w:p w14:paraId="2A333E24" w14:textId="77777777" w:rsidR="005F3FCF" w:rsidRDefault="005F3FCF" w:rsidP="005068B5">
    <w:pPr>
      <w:jc w:val="center"/>
      <w:rPr>
        <w:rFonts w:ascii="Georgia" w:hAnsi="Georgia"/>
        <w:b/>
        <w:color w:val="404040" w:themeColor="text1" w:themeTint="BF"/>
        <w:sz w:val="32"/>
        <w:szCs w:val="32"/>
      </w:rPr>
    </w:pPr>
  </w:p>
  <w:p w14:paraId="0AE3C00D" w14:textId="77777777" w:rsidR="005F3FCF" w:rsidRPr="001F596D" w:rsidRDefault="005F3FCF" w:rsidP="005068B5">
    <w:pPr>
      <w:jc w:val="center"/>
      <w:rPr>
        <w:rFonts w:ascii="Georgia" w:hAnsi="Georgia"/>
        <w:b/>
        <w:color w:val="404040" w:themeColor="text1" w:themeTint="BF"/>
        <w:sz w:val="32"/>
        <w:szCs w:val="32"/>
      </w:rPr>
    </w:pPr>
  </w:p>
  <w:p w14:paraId="5E4B6573" w14:textId="77777777" w:rsidR="005F3FCF" w:rsidRPr="001F596D" w:rsidRDefault="005F3FCF" w:rsidP="005068B5">
    <w:pPr>
      <w:jc w:val="right"/>
      <w:rPr>
        <w:rFonts w:ascii="Georgia" w:hAnsi="Georgia"/>
        <w:b/>
        <w:color w:val="404040" w:themeColor="text1" w:themeTint="BF"/>
        <w:sz w:val="32"/>
        <w:szCs w:val="32"/>
      </w:rPr>
    </w:pPr>
    <w:r w:rsidRPr="001F596D">
      <w:rPr>
        <w:rFonts w:ascii="Georgia" w:hAnsi="Georgia"/>
        <w:b/>
        <w:color w:val="404040" w:themeColor="text1" w:themeTint="BF"/>
        <w:sz w:val="32"/>
        <w:szCs w:val="32"/>
      </w:rPr>
      <w:t>SALT LAKE CITY CORPORATION</w:t>
    </w:r>
  </w:p>
  <w:p w14:paraId="0D7FC57F" w14:textId="77777777" w:rsidR="005F3FCF" w:rsidRPr="001F596D" w:rsidRDefault="005F3FCF" w:rsidP="005068B5">
    <w:pPr>
      <w:jc w:val="right"/>
      <w:rPr>
        <w:rFonts w:ascii="Georgia" w:hAnsi="Georgia"/>
        <w:b/>
        <w:color w:val="404040" w:themeColor="text1" w:themeTint="BF"/>
      </w:rPr>
    </w:pPr>
  </w:p>
  <w:p w14:paraId="79C84F02" w14:textId="77777777" w:rsidR="005F3FCF" w:rsidRPr="001F596D" w:rsidRDefault="005F3FCF" w:rsidP="005068B5">
    <w:pPr>
      <w:spacing w:after="120"/>
      <w:jc w:val="right"/>
      <w:rPr>
        <w:rFonts w:ascii="Georgia" w:eastAsiaTheme="minorEastAsia" w:hAnsi="Georgia"/>
        <w:noProof/>
        <w:color w:val="404040" w:themeColor="text1" w:themeTint="BF"/>
        <w:sz w:val="18"/>
        <w:szCs w:val="18"/>
      </w:rPr>
    </w:pPr>
    <w:r>
      <w:rPr>
        <w:rFonts w:ascii="Georgia" w:eastAsiaTheme="minorEastAsia" w:hAnsi="Georgia"/>
        <w:noProof/>
        <w:color w:val="404040" w:themeColor="text1" w:themeTint="BF"/>
        <w:sz w:val="18"/>
        <w:szCs w:val="18"/>
      </w:rPr>
      <w:t xml:space="preserve">DEPARTMENT OF </w:t>
    </w:r>
    <w:r w:rsidRPr="001F596D">
      <w:rPr>
        <w:rFonts w:ascii="Georgia" w:eastAsiaTheme="minorEastAsia" w:hAnsi="Georgia"/>
        <w:noProof/>
        <w:color w:val="404040" w:themeColor="text1" w:themeTint="BF"/>
        <w:sz w:val="18"/>
        <w:szCs w:val="18"/>
      </w:rPr>
      <w:t xml:space="preserve">COMMUNITY </w:t>
    </w:r>
    <w:r w:rsidRPr="001F596D">
      <w:rPr>
        <w:rFonts w:ascii="Georgia" w:eastAsiaTheme="minorEastAsia" w:hAnsi="Georgia"/>
        <w:i/>
        <w:iCs/>
        <w:noProof/>
        <w:color w:val="404040" w:themeColor="text1" w:themeTint="BF"/>
        <w:sz w:val="18"/>
        <w:szCs w:val="18"/>
      </w:rPr>
      <w:t>and</w:t>
    </w:r>
    <w:r w:rsidRPr="005F3FCF">
      <w:rPr>
        <w:rFonts w:ascii="Georgia" w:eastAsiaTheme="minorEastAsia" w:hAnsi="Georgia"/>
        <w:i/>
        <w:iCs/>
        <w:noProof/>
        <w:color w:val="404040" w:themeColor="text1" w:themeTint="BF"/>
        <w:sz w:val="18"/>
        <w:szCs w:val="18"/>
      </w:rPr>
      <w:t> NEIGHBORHOODS</w:t>
    </w:r>
    <w:r>
      <w:rPr>
        <w:rFonts w:ascii="Georgia" w:eastAsiaTheme="minorEastAsia" w:hAnsi="Georgia"/>
        <w:noProof/>
        <w:color w:val="404040" w:themeColor="text1" w:themeTint="BF"/>
        <w:sz w:val="18"/>
        <w:szCs w:val="18"/>
      </w:rPr>
      <w:t xml:space="preserve"> </w:t>
    </w:r>
  </w:p>
  <w:p w14:paraId="148BF092" w14:textId="77777777" w:rsidR="005F3FCF" w:rsidRPr="001F596D" w:rsidRDefault="005F3FCF" w:rsidP="005068B5">
    <w:pPr>
      <w:jc w:val="right"/>
      <w:rPr>
        <w:rFonts w:ascii="Georgia" w:hAnsi="Georgia"/>
        <w:b/>
        <w:color w:val="404040" w:themeColor="text1" w:themeTint="BF"/>
        <w:sz w:val="18"/>
        <w:szCs w:val="18"/>
      </w:rPr>
    </w:pPr>
    <w:r w:rsidRPr="001F596D">
      <w:rPr>
        <w:rFonts w:ascii="Georgia" w:eastAsiaTheme="minorEastAsia" w:hAnsi="Georgia"/>
        <w:noProof/>
        <w:color w:val="404040" w:themeColor="text1" w:themeTint="BF"/>
        <w:sz w:val="18"/>
        <w:szCs w:val="18"/>
      </w:rPr>
      <w:t xml:space="preserve">HOUSING </w:t>
    </w:r>
    <w:r w:rsidRPr="001F596D">
      <w:rPr>
        <w:rFonts w:ascii="Georgia" w:eastAsiaTheme="minorEastAsia" w:hAnsi="Georgia"/>
        <w:i/>
        <w:iCs/>
        <w:noProof/>
        <w:color w:val="404040" w:themeColor="text1" w:themeTint="BF"/>
        <w:sz w:val="18"/>
        <w:szCs w:val="18"/>
      </w:rPr>
      <w:t>and</w:t>
    </w:r>
    <w:r w:rsidRPr="005F3FCF">
      <w:rPr>
        <w:rFonts w:ascii="Georgia" w:eastAsiaTheme="minorEastAsia" w:hAnsi="Georgia"/>
        <w:i/>
        <w:iCs/>
        <w:noProof/>
        <w:color w:val="404040" w:themeColor="text1" w:themeTint="BF"/>
        <w:sz w:val="18"/>
        <w:szCs w:val="18"/>
      </w:rPr>
      <w:t> NEIGHBORHOOD</w:t>
    </w:r>
    <w:r w:rsidRPr="001F596D">
      <w:rPr>
        <w:rFonts w:ascii="Georgia" w:eastAsiaTheme="minorEastAsia" w:hAnsi="Georgia"/>
        <w:noProof/>
        <w:color w:val="404040" w:themeColor="text1" w:themeTint="BF"/>
        <w:sz w:val="18"/>
        <w:szCs w:val="18"/>
      </w:rPr>
      <w:t xml:space="preserve"> DEVELOPMENT DIVISION</w:t>
    </w:r>
  </w:p>
  <w:p w14:paraId="5798D9CB" w14:textId="77777777" w:rsidR="005F3FCF" w:rsidRPr="001F596D" w:rsidRDefault="005F3FCF" w:rsidP="005068B5">
    <w:pPr>
      <w:jc w:val="right"/>
      <w:rPr>
        <w:rFonts w:ascii="Georgia" w:hAnsi="Georgia"/>
        <w:b/>
        <w:color w:val="404040" w:themeColor="text1" w:themeTint="BF"/>
        <w:sz w:val="28"/>
        <w:szCs w:val="28"/>
      </w:rPr>
    </w:pPr>
  </w:p>
  <w:p w14:paraId="1DE828E6" w14:textId="77777777" w:rsidR="005F3FCF" w:rsidRPr="001F596D" w:rsidRDefault="005F3FCF" w:rsidP="005068B5">
    <w:pPr>
      <w:jc w:val="right"/>
      <w:rPr>
        <w:rFonts w:ascii="Georgia" w:hAnsi="Georgia"/>
        <w:b/>
        <w:color w:val="404040" w:themeColor="text1" w:themeTint="BF"/>
        <w:sz w:val="28"/>
        <w:szCs w:val="28"/>
      </w:rPr>
    </w:pPr>
  </w:p>
  <w:p w14:paraId="6E75C576" w14:textId="77777777" w:rsidR="005F3FCF" w:rsidRPr="001F596D" w:rsidRDefault="005F3FCF" w:rsidP="005068B5">
    <w:pPr>
      <w:spacing w:line="360" w:lineRule="auto"/>
      <w:jc w:val="right"/>
      <w:rPr>
        <w:rFonts w:ascii="Georgia" w:hAnsi="Georgia"/>
        <w:color w:val="404040" w:themeColor="text1" w:themeTint="BF"/>
        <w:szCs w:val="20"/>
      </w:rPr>
    </w:pPr>
    <w:r>
      <w:rPr>
        <w:rFonts w:ascii="Georgia" w:hAnsi="Georgia"/>
        <w:color w:val="404040" w:themeColor="text1" w:themeTint="BF"/>
        <w:szCs w:val="20"/>
      </w:rPr>
      <w:t>MELISSA JENSEN</w:t>
    </w:r>
    <w:r w:rsidRPr="001F596D">
      <w:rPr>
        <w:rFonts w:ascii="Georgia" w:hAnsi="Georgia"/>
        <w:color w:val="404040" w:themeColor="text1" w:themeTint="BF"/>
        <w:szCs w:val="20"/>
      </w:rPr>
      <w:t xml:space="preserve">, </w:t>
    </w:r>
    <w:r w:rsidRPr="001F596D">
      <w:rPr>
        <w:rFonts w:ascii="Georgia" w:hAnsi="Georgia"/>
        <w:i/>
        <w:color w:val="404040" w:themeColor="text1" w:themeTint="BF"/>
        <w:szCs w:val="20"/>
      </w:rPr>
      <w:t xml:space="preserve">Director </w:t>
    </w:r>
    <w:r>
      <w:rPr>
        <w:rFonts w:ascii="Georgia" w:hAnsi="Georgia"/>
        <w:color w:val="404040" w:themeColor="text1" w:themeTint="BF"/>
        <w:szCs w:val="20"/>
      </w:rPr>
      <w:t>801-535-6035</w:t>
    </w:r>
  </w:p>
  <w:p w14:paraId="37252BC4" w14:textId="77777777" w:rsidR="005F3FCF" w:rsidRPr="005D1462" w:rsidRDefault="005F3FCF" w:rsidP="005068B5">
    <w:pPr>
      <w:spacing w:line="360" w:lineRule="auto"/>
      <w:jc w:val="right"/>
      <w:rPr>
        <w:rFonts w:ascii="Georgia" w:hAnsi="Georgia"/>
        <w:color w:val="404040" w:themeColor="text1" w:themeTint="BF"/>
        <w:szCs w:val="20"/>
      </w:rPr>
    </w:pPr>
    <w:r w:rsidRPr="001F596D">
      <w:rPr>
        <w:rFonts w:ascii="Georgia" w:hAnsi="Georgia"/>
        <w:color w:val="404040" w:themeColor="text1" w:themeTint="BF"/>
        <w:szCs w:val="20"/>
      </w:rPr>
      <w:t xml:space="preserve">JENNIFER SCHUMANN, </w:t>
    </w:r>
    <w:r w:rsidRPr="001F596D">
      <w:rPr>
        <w:rFonts w:ascii="Georgia" w:hAnsi="Georgia"/>
        <w:i/>
        <w:color w:val="404040" w:themeColor="text1" w:themeTint="BF"/>
        <w:szCs w:val="20"/>
      </w:rPr>
      <w:t>Capital Planning Manager</w:t>
    </w:r>
    <w:r w:rsidRPr="001F596D">
      <w:rPr>
        <w:rFonts w:ascii="Georgia" w:hAnsi="Georgia"/>
        <w:color w:val="404040" w:themeColor="text1" w:themeTint="BF"/>
        <w:szCs w:val="20"/>
      </w:rPr>
      <w:t xml:space="preserve"> 801-535-7276</w:t>
    </w:r>
  </w:p>
  <w:p w14:paraId="280CC743" w14:textId="77777777" w:rsidR="005F3FCF" w:rsidRPr="00F21C26" w:rsidRDefault="005F3FCF" w:rsidP="005068B5">
    <w:pPr>
      <w:pStyle w:val="Title"/>
      <w:spacing w:after="120"/>
      <w:ind w:left="360" w:right="360"/>
      <w:jc w:val="left"/>
      <w:rPr>
        <w:rFonts w:ascii="Gotham Bold" w:hAnsi="Gotham Bold"/>
        <w:color w:val="17365D" w:themeColor="text2" w:themeShade="BF"/>
        <w:sz w:val="40"/>
        <w:szCs w:val="40"/>
      </w:rPr>
    </w:pPr>
    <w:r>
      <w:rPr>
        <w:rFonts w:ascii="Gotham Bold" w:hAnsi="Gotham Bold"/>
        <w:color w:val="17365D" w:themeColor="text2" w:themeShade="BF"/>
        <w:sz w:val="40"/>
        <w:szCs w:val="40"/>
      </w:rPr>
      <w:br w:type="page"/>
    </w:r>
    <w:r>
      <w:rPr>
        <w:rFonts w:ascii="Gotham Bold" w:hAnsi="Gotham Bold"/>
        <w:color w:val="17365D" w:themeColor="text2" w:themeShade="BF"/>
        <w:sz w:val="40"/>
        <w:szCs w:val="40"/>
      </w:rPr>
      <w:br w:type="page"/>
    </w:r>
    <w:r w:rsidRPr="00F21C26">
      <w:rPr>
        <w:rFonts w:ascii="Gotham Bold" w:hAnsi="Gotham Bold"/>
        <w:color w:val="17365D" w:themeColor="text2" w:themeShade="BF"/>
        <w:sz w:val="40"/>
        <w:szCs w:val="40"/>
      </w:rPr>
      <w:t>TABLE OF CONTENTS</w:t>
    </w:r>
  </w:p>
  <w:p w14:paraId="0D450CA4" w14:textId="77777777" w:rsidR="005F3FCF" w:rsidRPr="00F21C26" w:rsidRDefault="005F3FCF" w:rsidP="005068B5">
    <w:pPr>
      <w:spacing w:line="276" w:lineRule="auto"/>
      <w:ind w:left="360" w:right="360"/>
      <w:rPr>
        <w:rFonts w:asciiTheme="minorHAnsi" w:hAnsiTheme="minorHAnsi" w:cs="Arial"/>
        <w:color w:val="404040" w:themeColor="text1" w:themeTint="BF"/>
        <w:szCs w:val="20"/>
      </w:rPr>
    </w:pPr>
  </w:p>
  <w:p w14:paraId="2D02A501" w14:textId="77777777" w:rsidR="005F3FCF" w:rsidRPr="00F21C26" w:rsidRDefault="005F3FCF" w:rsidP="005068B5">
    <w:pPr>
      <w:spacing w:line="480" w:lineRule="auto"/>
      <w:ind w:left="360" w:right="360"/>
      <w:rPr>
        <w:rFonts w:asciiTheme="minorHAnsi" w:hAnsiTheme="minorHAnsi" w:cstheme="minorHAnsi"/>
        <w:color w:val="404040" w:themeColor="text1" w:themeTint="BF"/>
        <w:szCs w:val="20"/>
      </w:rPr>
    </w:pPr>
    <w:r w:rsidRPr="00F21C26">
      <w:rPr>
        <w:rFonts w:asciiTheme="minorHAnsi" w:hAnsiTheme="minorHAnsi" w:cstheme="minorHAnsi"/>
        <w:color w:val="404040" w:themeColor="text1" w:themeTint="BF"/>
        <w:szCs w:val="20"/>
      </w:rPr>
      <w:t>EXECUTIVE SUMMARY………………………………………………………………….…………………………………………….….………..…………04</w:t>
    </w:r>
  </w:p>
  <w:p w14:paraId="5980DE65" w14:textId="77777777" w:rsidR="005F3FCF" w:rsidRPr="00F21C26" w:rsidRDefault="005F3FCF" w:rsidP="005068B5">
    <w:pPr>
      <w:spacing w:line="480" w:lineRule="auto"/>
      <w:ind w:left="360" w:right="360"/>
      <w:rPr>
        <w:rFonts w:asciiTheme="minorHAnsi" w:hAnsiTheme="minorHAnsi" w:cstheme="minorHAnsi"/>
        <w:color w:val="404040" w:themeColor="text1" w:themeTint="BF"/>
        <w:szCs w:val="20"/>
      </w:rPr>
    </w:pPr>
    <w:r w:rsidRPr="00F21C26">
      <w:rPr>
        <w:rFonts w:asciiTheme="minorHAnsi" w:hAnsiTheme="minorHAnsi" w:cstheme="minorHAnsi"/>
        <w:color w:val="404040" w:themeColor="text1" w:themeTint="BF"/>
        <w:szCs w:val="20"/>
      </w:rPr>
      <w:t>CR-05 ASSESSMENT OF GOALS AND OBJECTIVES ………………………………………..……………………………………...……..………05</w:t>
    </w:r>
  </w:p>
  <w:p w14:paraId="3FE0AA06" w14:textId="77777777" w:rsidR="005F3FCF" w:rsidRPr="00F21C26" w:rsidRDefault="005F3FCF" w:rsidP="005068B5">
    <w:pPr>
      <w:spacing w:line="480" w:lineRule="auto"/>
      <w:ind w:left="360" w:right="360"/>
      <w:rPr>
        <w:rFonts w:asciiTheme="minorHAnsi" w:hAnsiTheme="minorHAnsi" w:cstheme="minorHAnsi"/>
        <w:color w:val="404040" w:themeColor="text1" w:themeTint="BF"/>
        <w:szCs w:val="20"/>
      </w:rPr>
    </w:pPr>
    <w:r w:rsidRPr="00F21C26">
      <w:rPr>
        <w:rFonts w:asciiTheme="minorHAnsi" w:hAnsiTheme="minorHAnsi" w:cstheme="minorHAnsi"/>
        <w:color w:val="404040" w:themeColor="text1" w:themeTint="BF"/>
        <w:szCs w:val="20"/>
      </w:rPr>
      <w:t>CR-10 RACIAL AND ETHNIC COMPOSITION OF THOSE ASSISTED ….…………………………….……………………………………… 10</w:t>
    </w:r>
  </w:p>
  <w:p w14:paraId="28E78026" w14:textId="77777777" w:rsidR="005F3FCF" w:rsidRPr="00F21C26" w:rsidRDefault="005F3FCF" w:rsidP="005068B5">
    <w:pPr>
      <w:spacing w:line="480" w:lineRule="auto"/>
      <w:ind w:left="360" w:right="360"/>
      <w:rPr>
        <w:rFonts w:asciiTheme="minorHAnsi" w:hAnsiTheme="minorHAnsi" w:cstheme="minorHAnsi"/>
        <w:color w:val="404040" w:themeColor="text1" w:themeTint="BF"/>
        <w:szCs w:val="20"/>
      </w:rPr>
    </w:pPr>
    <w:r w:rsidRPr="00F21C26">
      <w:rPr>
        <w:rFonts w:asciiTheme="minorHAnsi" w:hAnsiTheme="minorHAnsi" w:cstheme="minorHAnsi"/>
        <w:color w:val="404040" w:themeColor="text1" w:themeTint="BF"/>
        <w:szCs w:val="20"/>
      </w:rPr>
      <w:t>CR-15 RESOURCES AND INVESTMENTS ……………………………………………………………………………………………………………… 11</w:t>
    </w:r>
  </w:p>
  <w:p w14:paraId="542BEEB8" w14:textId="77777777" w:rsidR="005F3FCF" w:rsidRPr="00F21C26" w:rsidRDefault="005F3FCF" w:rsidP="005068B5">
    <w:pPr>
      <w:spacing w:line="480" w:lineRule="auto"/>
      <w:ind w:left="360" w:right="360"/>
      <w:rPr>
        <w:rFonts w:asciiTheme="minorHAnsi" w:hAnsiTheme="minorHAnsi" w:cstheme="minorHAnsi"/>
        <w:color w:val="404040" w:themeColor="text1" w:themeTint="BF"/>
        <w:szCs w:val="20"/>
      </w:rPr>
    </w:pPr>
    <w:r w:rsidRPr="00F21C26">
      <w:rPr>
        <w:rFonts w:asciiTheme="minorHAnsi" w:hAnsiTheme="minorHAnsi" w:cstheme="minorHAnsi"/>
        <w:color w:val="404040" w:themeColor="text1" w:themeTint="BF"/>
        <w:szCs w:val="20"/>
      </w:rPr>
      <w:t>CR-20 AFFORDABLE HOUSING ……………………………….…………………………………………………………………………………………..17</w:t>
    </w:r>
  </w:p>
  <w:p w14:paraId="3471FC89" w14:textId="77777777" w:rsidR="005F3FCF" w:rsidRPr="00F21C26" w:rsidRDefault="005F3FCF" w:rsidP="005068B5">
    <w:pPr>
      <w:spacing w:line="480" w:lineRule="auto"/>
      <w:ind w:left="360" w:right="360"/>
      <w:rPr>
        <w:rFonts w:asciiTheme="minorHAnsi" w:hAnsiTheme="minorHAnsi" w:cstheme="minorHAnsi"/>
        <w:color w:val="404040" w:themeColor="text1" w:themeTint="BF"/>
        <w:szCs w:val="20"/>
      </w:rPr>
    </w:pPr>
    <w:r w:rsidRPr="00F21C26">
      <w:rPr>
        <w:rFonts w:asciiTheme="minorHAnsi" w:hAnsiTheme="minorHAnsi" w:cstheme="minorHAnsi"/>
        <w:color w:val="404040" w:themeColor="text1" w:themeTint="BF"/>
        <w:szCs w:val="20"/>
      </w:rPr>
      <w:t>CR-25 HOMELESS AND OTHER SPECIAL NEEDS …………………………………………………………………………………………………..20</w:t>
    </w:r>
  </w:p>
  <w:p w14:paraId="13F1D8A2" w14:textId="77777777" w:rsidR="005F3FCF" w:rsidRPr="00F21C26" w:rsidRDefault="005F3FCF" w:rsidP="005068B5">
    <w:pPr>
      <w:spacing w:line="480" w:lineRule="auto"/>
      <w:ind w:left="360" w:right="360"/>
      <w:rPr>
        <w:rFonts w:asciiTheme="minorHAnsi" w:hAnsiTheme="minorHAnsi" w:cstheme="minorHAnsi"/>
        <w:color w:val="404040" w:themeColor="text1" w:themeTint="BF"/>
        <w:szCs w:val="20"/>
      </w:rPr>
    </w:pPr>
    <w:r w:rsidRPr="00F21C26">
      <w:rPr>
        <w:rFonts w:asciiTheme="minorHAnsi" w:hAnsiTheme="minorHAnsi" w:cstheme="minorHAnsi"/>
        <w:color w:val="404040" w:themeColor="text1" w:themeTint="BF"/>
        <w:szCs w:val="20"/>
      </w:rPr>
      <w:t>CR-30 PUBLIC HOUSING ………………………………………..……………………………………………………………………………….…………. 23</w:t>
    </w:r>
  </w:p>
  <w:p w14:paraId="40106F8E" w14:textId="77777777" w:rsidR="005F3FCF" w:rsidRPr="00870265" w:rsidRDefault="005F3FCF" w:rsidP="005068B5">
    <w:pPr>
      <w:spacing w:line="480" w:lineRule="auto"/>
      <w:ind w:left="360" w:right="360"/>
      <w:rPr>
        <w:rFonts w:asciiTheme="minorHAnsi" w:hAnsiTheme="minorHAnsi" w:cstheme="minorHAnsi"/>
        <w:color w:val="404040" w:themeColor="text1" w:themeTint="BF"/>
        <w:szCs w:val="20"/>
      </w:rPr>
    </w:pPr>
    <w:r w:rsidRPr="00870265">
      <w:rPr>
        <w:rFonts w:asciiTheme="minorHAnsi" w:hAnsiTheme="minorHAnsi" w:cstheme="minorHAnsi"/>
        <w:color w:val="404040" w:themeColor="text1" w:themeTint="BF"/>
        <w:szCs w:val="20"/>
      </w:rPr>
      <w:t>CR-35 OTHER ACTIONS …………………………………………………………………………………………………………………..…………..……..25</w:t>
    </w:r>
  </w:p>
  <w:p w14:paraId="519476F9" w14:textId="77777777" w:rsidR="005F3FCF" w:rsidRPr="00870265" w:rsidRDefault="005F3FCF" w:rsidP="005068B5">
    <w:pPr>
      <w:spacing w:line="480" w:lineRule="auto"/>
      <w:ind w:left="360" w:right="360"/>
      <w:rPr>
        <w:rFonts w:asciiTheme="minorHAnsi" w:hAnsiTheme="minorHAnsi" w:cstheme="minorHAnsi"/>
        <w:color w:val="404040" w:themeColor="text1" w:themeTint="BF"/>
        <w:szCs w:val="20"/>
      </w:rPr>
    </w:pPr>
    <w:r w:rsidRPr="00870265">
      <w:rPr>
        <w:rFonts w:asciiTheme="minorHAnsi" w:hAnsiTheme="minorHAnsi" w:cstheme="minorHAnsi"/>
        <w:color w:val="404040" w:themeColor="text1" w:themeTint="BF"/>
        <w:szCs w:val="20"/>
      </w:rPr>
      <w:t>CR-40 MONITORING …….……………………………………………………………</w:t>
    </w:r>
    <w:r>
      <w:rPr>
        <w:rFonts w:asciiTheme="minorHAnsi" w:hAnsiTheme="minorHAnsi" w:cstheme="minorHAnsi"/>
        <w:color w:val="404040" w:themeColor="text1" w:themeTint="BF"/>
        <w:szCs w:val="20"/>
      </w:rPr>
      <w:t>…………………………………………………………..…………..38</w:t>
    </w:r>
  </w:p>
  <w:p w14:paraId="47A506DF" w14:textId="77777777" w:rsidR="005F3FCF" w:rsidRPr="00870265" w:rsidRDefault="005F3FCF" w:rsidP="005068B5">
    <w:pPr>
      <w:spacing w:line="480" w:lineRule="auto"/>
      <w:ind w:left="360" w:right="360"/>
      <w:rPr>
        <w:rFonts w:asciiTheme="minorHAnsi" w:hAnsiTheme="minorHAnsi" w:cstheme="minorHAnsi"/>
        <w:color w:val="404040" w:themeColor="text1" w:themeTint="BF"/>
        <w:szCs w:val="20"/>
      </w:rPr>
    </w:pPr>
    <w:r w:rsidRPr="00870265">
      <w:rPr>
        <w:rFonts w:asciiTheme="minorHAnsi" w:hAnsiTheme="minorHAnsi" w:cstheme="minorHAnsi"/>
        <w:color w:val="404040" w:themeColor="text1" w:themeTint="BF"/>
        <w:szCs w:val="20"/>
      </w:rPr>
      <w:t>CR-45 CDBG ……………………….……………………………………………………………………………………………………………..……………….42</w:t>
    </w:r>
  </w:p>
  <w:p w14:paraId="21057FBE" w14:textId="77777777" w:rsidR="005F3FCF" w:rsidRPr="00870265" w:rsidRDefault="005F3FCF" w:rsidP="005068B5">
    <w:pPr>
      <w:spacing w:line="480" w:lineRule="auto"/>
      <w:ind w:left="360" w:right="360"/>
      <w:rPr>
        <w:rFonts w:asciiTheme="minorHAnsi" w:hAnsiTheme="minorHAnsi" w:cstheme="minorHAnsi"/>
        <w:color w:val="404040" w:themeColor="text1" w:themeTint="BF"/>
        <w:szCs w:val="20"/>
      </w:rPr>
    </w:pPr>
    <w:r w:rsidRPr="00870265">
      <w:rPr>
        <w:rFonts w:asciiTheme="minorHAnsi" w:hAnsiTheme="minorHAnsi" w:cstheme="minorHAnsi"/>
        <w:color w:val="404040" w:themeColor="text1" w:themeTint="BF"/>
        <w:szCs w:val="20"/>
      </w:rPr>
      <w:t>CR-50 HOME ………………………………………………………………………………………………………………………………………..…………….43</w:t>
    </w:r>
  </w:p>
  <w:p w14:paraId="6B02509F" w14:textId="77777777" w:rsidR="005F3FCF" w:rsidRPr="00870265" w:rsidRDefault="005F3FCF" w:rsidP="005068B5">
    <w:pPr>
      <w:spacing w:line="480" w:lineRule="auto"/>
      <w:ind w:left="360" w:right="360"/>
      <w:rPr>
        <w:rFonts w:asciiTheme="minorHAnsi" w:hAnsiTheme="minorHAnsi" w:cstheme="minorHAnsi"/>
        <w:color w:val="404040" w:themeColor="text1" w:themeTint="BF"/>
        <w:szCs w:val="20"/>
      </w:rPr>
    </w:pPr>
    <w:r w:rsidRPr="00870265">
      <w:rPr>
        <w:rFonts w:asciiTheme="minorHAnsi" w:hAnsiTheme="minorHAnsi" w:cstheme="minorHAnsi"/>
        <w:color w:val="404040" w:themeColor="text1" w:themeTint="BF"/>
        <w:szCs w:val="20"/>
      </w:rPr>
      <w:t>CR-55 HOPWA ………………..……………………………………………………………………………………………………………………………..…..48</w:t>
    </w:r>
  </w:p>
  <w:p w14:paraId="52DBD13B" w14:textId="77777777" w:rsidR="005F3FCF" w:rsidRPr="00870265" w:rsidRDefault="005F3FCF" w:rsidP="005068B5">
    <w:pPr>
      <w:spacing w:line="480" w:lineRule="auto"/>
      <w:ind w:left="360" w:right="360"/>
      <w:rPr>
        <w:rFonts w:asciiTheme="minorHAnsi" w:hAnsiTheme="minorHAnsi" w:cstheme="minorHAnsi"/>
        <w:color w:val="404040" w:themeColor="text1" w:themeTint="BF"/>
        <w:szCs w:val="20"/>
      </w:rPr>
    </w:pPr>
    <w:r w:rsidRPr="00870265">
      <w:rPr>
        <w:rFonts w:asciiTheme="minorHAnsi" w:hAnsiTheme="minorHAnsi" w:cstheme="minorHAnsi"/>
        <w:color w:val="404040" w:themeColor="text1" w:themeTint="BF"/>
        <w:szCs w:val="20"/>
      </w:rPr>
      <w:t>CR-60 ESG SUBRECIPIENT INFORMATION .…………………………………………………………………………….………..………………….50</w:t>
    </w:r>
  </w:p>
  <w:p w14:paraId="55F6ACCF" w14:textId="77777777" w:rsidR="005F3FCF" w:rsidRPr="00870265" w:rsidRDefault="005F3FCF" w:rsidP="005068B5">
    <w:pPr>
      <w:spacing w:line="480" w:lineRule="auto"/>
      <w:ind w:left="360" w:right="360"/>
      <w:rPr>
        <w:rFonts w:asciiTheme="minorHAnsi" w:hAnsiTheme="minorHAnsi" w:cstheme="minorHAnsi"/>
        <w:color w:val="404040" w:themeColor="text1" w:themeTint="BF"/>
        <w:szCs w:val="20"/>
      </w:rPr>
    </w:pPr>
    <w:r w:rsidRPr="00870265">
      <w:rPr>
        <w:rFonts w:asciiTheme="minorHAnsi" w:hAnsiTheme="minorHAnsi" w:cstheme="minorHAnsi"/>
        <w:color w:val="404040" w:themeColor="text1" w:themeTint="BF"/>
        <w:szCs w:val="20"/>
      </w:rPr>
      <w:t>CR-65 ESG PERSONS ASSISTED …………………………………………………………………………………………………………….……….…… 51</w:t>
    </w:r>
  </w:p>
  <w:p w14:paraId="73505C02" w14:textId="77777777" w:rsidR="005F3FCF" w:rsidRPr="00870265" w:rsidRDefault="005F3FCF" w:rsidP="005068B5">
    <w:pPr>
      <w:spacing w:line="480" w:lineRule="auto"/>
      <w:ind w:left="360" w:right="360"/>
      <w:rPr>
        <w:rFonts w:asciiTheme="minorHAnsi" w:hAnsiTheme="minorHAnsi" w:cstheme="minorHAnsi"/>
        <w:color w:val="404040" w:themeColor="text1" w:themeTint="BF"/>
        <w:szCs w:val="20"/>
      </w:rPr>
    </w:pPr>
    <w:r w:rsidRPr="00870265">
      <w:rPr>
        <w:rFonts w:asciiTheme="minorHAnsi" w:hAnsiTheme="minorHAnsi" w:cstheme="minorHAnsi"/>
        <w:color w:val="404040" w:themeColor="text1" w:themeTint="BF"/>
        <w:szCs w:val="20"/>
      </w:rPr>
      <w:t>CR-70 ESG ASSISTANCE PROVIDED AND OUTCOMES ……….…………………………………………………..…………………..……….53</w:t>
    </w:r>
  </w:p>
  <w:p w14:paraId="6CE6BE9F" w14:textId="77777777" w:rsidR="005F3FCF" w:rsidRPr="00DF5513" w:rsidRDefault="005F3FCF" w:rsidP="005068B5">
    <w:pPr>
      <w:spacing w:line="480" w:lineRule="auto"/>
      <w:ind w:left="360" w:right="360"/>
      <w:rPr>
        <w:rFonts w:asciiTheme="minorHAnsi" w:hAnsiTheme="minorHAnsi" w:cstheme="minorHAnsi"/>
        <w:color w:val="404040" w:themeColor="text1" w:themeTint="BF"/>
        <w:szCs w:val="20"/>
      </w:rPr>
    </w:pPr>
    <w:r w:rsidRPr="00870265">
      <w:rPr>
        <w:rFonts w:asciiTheme="minorHAnsi" w:hAnsiTheme="minorHAnsi" w:cstheme="minorHAnsi"/>
        <w:color w:val="404040" w:themeColor="text1" w:themeTint="BF"/>
        <w:szCs w:val="20"/>
      </w:rPr>
      <w:t>CR-75 ESG EXPENDITURES ……..…………………………………………………………………………………………….……………………………54</w:t>
    </w:r>
  </w:p>
  <w:p w14:paraId="6B2BCA60" w14:textId="77777777" w:rsidR="005F3FCF" w:rsidRDefault="005F3FCF" w:rsidP="005068B5">
    <w:pPr>
      <w:pStyle w:val="Title"/>
      <w:spacing w:after="120"/>
      <w:ind w:left="360" w:right="360"/>
      <w:jc w:val="left"/>
      <w:rPr>
        <w:rFonts w:asciiTheme="minorHAnsi" w:hAnsiTheme="minorHAnsi" w:cstheme="minorHAnsi"/>
        <w:color w:val="FF0000"/>
        <w:szCs w:val="20"/>
      </w:rPr>
    </w:pPr>
  </w:p>
  <w:p w14:paraId="09FFC561" w14:textId="77777777" w:rsidR="005F3FCF" w:rsidRDefault="005F3FCF" w:rsidP="005068B5">
    <w:pPr>
      <w:pStyle w:val="Title"/>
      <w:spacing w:after="120"/>
      <w:ind w:left="360" w:right="360"/>
      <w:jc w:val="left"/>
      <w:rPr>
        <w:rFonts w:asciiTheme="minorHAnsi" w:hAnsiTheme="minorHAnsi" w:cstheme="minorHAnsi"/>
        <w:color w:val="FF0000"/>
        <w:szCs w:val="20"/>
      </w:rPr>
    </w:pPr>
  </w:p>
  <w:p w14:paraId="3443E17F" w14:textId="77777777" w:rsidR="005F3FCF" w:rsidRDefault="005F3FCF" w:rsidP="005068B5">
    <w:pPr>
      <w:spacing w:line="276" w:lineRule="auto"/>
      <w:ind w:left="360" w:right="360"/>
      <w:rPr>
        <w:rFonts w:asciiTheme="minorHAnsi" w:hAnsiTheme="minorHAnsi" w:cstheme="minorHAnsi"/>
        <w:color w:val="FF0000"/>
        <w:szCs w:val="20"/>
      </w:rPr>
    </w:pPr>
  </w:p>
  <w:p w14:paraId="2B2E9503" w14:textId="77777777" w:rsidR="005F3FCF" w:rsidRDefault="005F3FCF" w:rsidP="005068B5">
    <w:pPr>
      <w:spacing w:line="276" w:lineRule="auto"/>
      <w:ind w:left="360" w:right="360"/>
      <w:rPr>
        <w:rFonts w:asciiTheme="minorHAnsi" w:hAnsiTheme="minorHAnsi" w:cstheme="minorHAnsi"/>
        <w:color w:val="FF0000"/>
        <w:szCs w:val="20"/>
      </w:rPr>
    </w:pPr>
  </w:p>
  <w:p w14:paraId="35175FB2" w14:textId="77777777" w:rsidR="005F3FCF" w:rsidRDefault="005F3FCF" w:rsidP="005068B5">
    <w:pPr>
      <w:spacing w:line="276" w:lineRule="auto"/>
      <w:ind w:left="360" w:right="360"/>
      <w:rPr>
        <w:rFonts w:asciiTheme="minorHAnsi" w:hAnsiTheme="minorHAnsi" w:cstheme="minorHAnsi"/>
        <w:color w:val="FF0000"/>
        <w:szCs w:val="20"/>
      </w:rPr>
    </w:pPr>
  </w:p>
  <w:p w14:paraId="5CBEEDB4" w14:textId="77777777" w:rsidR="005F3FCF" w:rsidRDefault="005F3FCF" w:rsidP="005068B5">
    <w:pPr>
      <w:spacing w:line="276" w:lineRule="auto"/>
      <w:ind w:left="360" w:right="360"/>
      <w:rPr>
        <w:rFonts w:asciiTheme="minorHAnsi" w:hAnsiTheme="minorHAnsi" w:cstheme="minorHAnsi"/>
        <w:color w:val="FF0000"/>
        <w:szCs w:val="20"/>
      </w:rPr>
    </w:pPr>
  </w:p>
  <w:p w14:paraId="23B1FB84" w14:textId="77777777" w:rsidR="005F3FCF" w:rsidRDefault="005F3FCF" w:rsidP="005068B5">
    <w:pPr>
      <w:spacing w:line="276" w:lineRule="auto"/>
      <w:ind w:left="360" w:right="360"/>
      <w:rPr>
        <w:rFonts w:asciiTheme="minorHAnsi" w:hAnsiTheme="minorHAnsi" w:cstheme="minorHAnsi"/>
        <w:color w:val="FF0000"/>
        <w:szCs w:val="20"/>
      </w:rPr>
    </w:pPr>
  </w:p>
  <w:p w14:paraId="7E0ACAB8" w14:textId="77777777" w:rsidR="005F3FCF" w:rsidRDefault="005F3FCF" w:rsidP="005068B5">
    <w:pPr>
      <w:spacing w:line="276" w:lineRule="auto"/>
      <w:ind w:left="360" w:right="360"/>
      <w:rPr>
        <w:rFonts w:asciiTheme="minorHAnsi" w:hAnsiTheme="minorHAnsi" w:cstheme="minorHAnsi"/>
        <w:color w:val="FF0000"/>
        <w:szCs w:val="20"/>
      </w:rPr>
    </w:pPr>
  </w:p>
  <w:p w14:paraId="7F0FF7E4" w14:textId="77777777" w:rsidR="005F3FCF" w:rsidRDefault="005F3FCF" w:rsidP="005068B5">
    <w:pPr>
      <w:spacing w:line="276" w:lineRule="auto"/>
      <w:ind w:left="360" w:right="360"/>
      <w:rPr>
        <w:rFonts w:asciiTheme="minorHAnsi" w:hAnsiTheme="minorHAnsi" w:cstheme="minorHAnsi"/>
        <w:color w:val="FF0000"/>
        <w:szCs w:val="20"/>
      </w:rPr>
    </w:pPr>
  </w:p>
  <w:p w14:paraId="22A5DA32" w14:textId="77777777" w:rsidR="005F3FCF" w:rsidRDefault="005F3FCF" w:rsidP="005068B5">
    <w:pPr>
      <w:spacing w:line="276" w:lineRule="auto"/>
      <w:ind w:left="360" w:right="360"/>
      <w:rPr>
        <w:rFonts w:asciiTheme="minorHAnsi" w:hAnsiTheme="minorHAnsi" w:cstheme="minorHAnsi"/>
        <w:color w:val="FF0000"/>
        <w:szCs w:val="20"/>
      </w:rPr>
    </w:pPr>
  </w:p>
  <w:p w14:paraId="4FB06716" w14:textId="77777777" w:rsidR="005F3FCF" w:rsidRPr="00C83460" w:rsidRDefault="005F3FCF" w:rsidP="005068B5">
    <w:pPr>
      <w:spacing w:line="276" w:lineRule="auto"/>
      <w:ind w:left="360" w:right="360"/>
      <w:rPr>
        <w:rFonts w:asciiTheme="minorHAnsi" w:hAnsiTheme="minorHAnsi" w:cstheme="minorHAnsi"/>
        <w:color w:val="FF0000"/>
        <w:szCs w:val="20"/>
      </w:rPr>
    </w:pPr>
  </w:p>
  <w:p w14:paraId="3D6F964D" w14:textId="77777777" w:rsidR="005F3FCF" w:rsidRPr="00C83460" w:rsidRDefault="005F3FCF" w:rsidP="005068B5">
    <w:pPr>
      <w:spacing w:line="480" w:lineRule="auto"/>
      <w:ind w:right="360"/>
      <w:rPr>
        <w:rFonts w:ascii="Arial" w:hAnsi="Arial" w:cs="Arial"/>
        <w:b/>
        <w:color w:val="FF0000"/>
        <w:sz w:val="24"/>
        <w:lang w:eastAsia="ko-KR"/>
      </w:rPr>
    </w:pPr>
    <w:r w:rsidRPr="00C83460">
      <w:rPr>
        <w:rFonts w:asciiTheme="minorHAnsi" w:hAnsiTheme="minorHAnsi" w:cstheme="minorHAnsi"/>
        <w:b/>
        <w:color w:val="1F497D" w:themeColor="text2"/>
        <w:sz w:val="24"/>
      </w:rPr>
      <w:t>EXECUTIVE SUMMARY</w:t>
    </w:r>
  </w:p>
  <w:p w14:paraId="7CE5E39B" w14:textId="77777777" w:rsidR="005F3FCF" w:rsidRDefault="005F3FCF" w:rsidP="005068B5">
    <w:pPr>
      <w:spacing w:line="360" w:lineRule="auto"/>
      <w:ind w:right="360"/>
      <w:rPr>
        <w:rFonts w:asciiTheme="minorHAnsi" w:hAnsiTheme="minorHAnsi" w:cstheme="minorHAnsi"/>
        <w:color w:val="404040" w:themeColor="text1" w:themeTint="BF"/>
        <w:szCs w:val="20"/>
      </w:rPr>
    </w:pPr>
    <w:r>
      <w:rPr>
        <w:rFonts w:asciiTheme="minorHAnsi" w:hAnsiTheme="minorHAnsi" w:cstheme="minorHAnsi"/>
        <w:color w:val="404040" w:themeColor="text1" w:themeTint="BF"/>
        <w:szCs w:val="20"/>
      </w:rPr>
      <w:t xml:space="preserve">Salt Lake City is committed to creating a City that provides opportunity for all of its residents. To further this mission, Salt Lake City Mayor Jacqueline Biskupski has created three supporting goals: equity, empowerment, and resilience. Salt Lake City Housing and Neighborhood Development Division (HAND) is committed to furthering these goals. The Consolidated Plan, Neighborhoods of Opportunity, and the Federal Funding provided by the </w:t>
    </w:r>
    <w:r w:rsidRPr="00C83460">
      <w:rPr>
        <w:rFonts w:asciiTheme="minorHAnsi" w:hAnsiTheme="minorHAnsi" w:cstheme="minorHAnsi"/>
        <w:color w:val="404040" w:themeColor="text1" w:themeTint="BF"/>
        <w:szCs w:val="20"/>
      </w:rPr>
      <w:t>U.S. Department of Housing and Urban Development (HUD)</w:t>
    </w:r>
    <w:r>
      <w:rPr>
        <w:rFonts w:asciiTheme="minorHAnsi" w:hAnsiTheme="minorHAnsi" w:cstheme="minorHAnsi"/>
        <w:color w:val="404040" w:themeColor="text1" w:themeTint="BF"/>
        <w:szCs w:val="20"/>
      </w:rPr>
      <w:t xml:space="preserve"> allow HAND to help further these goals and to significantly improve the lives of Salt Lake City residents, particularly the most vulnerable. </w:t>
    </w:r>
  </w:p>
  <w:p w14:paraId="1A59B722" w14:textId="77777777" w:rsidR="005F3FCF" w:rsidRDefault="005F3FCF" w:rsidP="005068B5">
    <w:pPr>
      <w:spacing w:line="360" w:lineRule="auto"/>
      <w:ind w:right="360"/>
      <w:rPr>
        <w:rFonts w:asciiTheme="minorHAnsi" w:hAnsiTheme="minorHAnsi" w:cstheme="minorHAnsi"/>
        <w:color w:val="404040" w:themeColor="text1" w:themeTint="BF"/>
        <w:szCs w:val="20"/>
      </w:rPr>
    </w:pPr>
  </w:p>
  <w:p w14:paraId="7ED356B5" w14:textId="77777777" w:rsidR="005F3FCF" w:rsidRDefault="005F3FCF" w:rsidP="005068B5">
    <w:pPr>
      <w:spacing w:line="360" w:lineRule="auto"/>
      <w:ind w:right="360"/>
      <w:rPr>
        <w:rFonts w:asciiTheme="minorHAnsi" w:hAnsiTheme="minorHAnsi" w:cstheme="minorHAnsi"/>
        <w:color w:val="404040" w:themeColor="text1" w:themeTint="BF"/>
        <w:szCs w:val="20"/>
      </w:rPr>
    </w:pPr>
    <w:r w:rsidRPr="00C83460">
      <w:rPr>
        <w:rFonts w:asciiTheme="minorHAnsi" w:hAnsiTheme="minorHAnsi" w:cstheme="minorHAnsi"/>
        <w:color w:val="404040" w:themeColor="text1" w:themeTint="BF"/>
        <w:szCs w:val="20"/>
      </w:rPr>
      <w:t xml:space="preserve">In accordance with the Federal Regulations 24 CFR Part 570, the Consolidated Annual Performance and Evaluation Report (CAPER) for the period of July 1, </w:t>
    </w:r>
    <w:r>
      <w:rPr>
        <w:rFonts w:asciiTheme="minorHAnsi" w:hAnsiTheme="minorHAnsi" w:cstheme="minorHAnsi"/>
        <w:color w:val="404040" w:themeColor="text1" w:themeTint="BF"/>
        <w:szCs w:val="20"/>
      </w:rPr>
      <w:t>2017</w:t>
    </w:r>
    <w:r w:rsidRPr="00C83460">
      <w:rPr>
        <w:rFonts w:asciiTheme="minorHAnsi" w:hAnsiTheme="minorHAnsi" w:cstheme="minorHAnsi"/>
        <w:color w:val="404040" w:themeColor="text1" w:themeTint="BF"/>
        <w:szCs w:val="20"/>
      </w:rPr>
      <w:t xml:space="preserve"> through June 30, 201</w:t>
    </w:r>
    <w:r>
      <w:rPr>
        <w:rFonts w:asciiTheme="minorHAnsi" w:hAnsiTheme="minorHAnsi" w:cstheme="minorHAnsi"/>
        <w:color w:val="404040" w:themeColor="text1" w:themeTint="BF"/>
        <w:szCs w:val="20"/>
      </w:rPr>
      <w:t>8</w:t>
    </w:r>
    <w:r w:rsidRPr="00C83460">
      <w:rPr>
        <w:rFonts w:asciiTheme="minorHAnsi" w:hAnsiTheme="minorHAnsi" w:cstheme="minorHAnsi"/>
        <w:color w:val="404040" w:themeColor="text1" w:themeTint="BF"/>
        <w:szCs w:val="20"/>
      </w:rPr>
      <w:t xml:space="preserve"> was prepared for Salt Lake City Corporation. The CAPER describes the activities undertaken during this time period for fu</w:t>
    </w:r>
    <w:r>
      <w:rPr>
        <w:rFonts w:asciiTheme="minorHAnsi" w:hAnsiTheme="minorHAnsi" w:cstheme="minorHAnsi"/>
        <w:color w:val="404040" w:themeColor="text1" w:themeTint="BF"/>
        <w:szCs w:val="20"/>
      </w:rPr>
      <w:t xml:space="preserve">nding from </w:t>
    </w:r>
    <w:r w:rsidRPr="00C83460">
      <w:rPr>
        <w:rFonts w:asciiTheme="minorHAnsi" w:hAnsiTheme="minorHAnsi" w:cstheme="minorHAnsi"/>
        <w:color w:val="404040" w:themeColor="text1" w:themeTint="BF"/>
        <w:szCs w:val="20"/>
      </w:rPr>
      <w:t xml:space="preserve">HUD under the Community Development Block Grant (CDBG), Emergency Solutions Grant (ESG), Home Investment Partnership (HOME), and Housing Opportunities for Persons with </w:t>
    </w:r>
    <w:r>
      <w:rPr>
        <w:rFonts w:asciiTheme="minorHAnsi" w:hAnsiTheme="minorHAnsi" w:cstheme="minorHAnsi"/>
        <w:color w:val="404040" w:themeColor="text1" w:themeTint="BF"/>
        <w:szCs w:val="20"/>
      </w:rPr>
      <w:t>HIV/</w:t>
    </w:r>
    <w:r w:rsidRPr="00C83460">
      <w:rPr>
        <w:rFonts w:asciiTheme="minorHAnsi" w:hAnsiTheme="minorHAnsi" w:cstheme="minorHAnsi"/>
        <w:color w:val="404040" w:themeColor="text1" w:themeTint="BF"/>
        <w:szCs w:val="20"/>
      </w:rPr>
      <w:t>AIDS (HOPWA) Programs. The projects, activities and accomplishments described in the CAPER principally benefit low and low-moderate income residents of the City. The funding has been target</w:t>
    </w:r>
    <w:r>
      <w:rPr>
        <w:rFonts w:asciiTheme="minorHAnsi" w:hAnsiTheme="minorHAnsi" w:cstheme="minorHAnsi"/>
        <w:color w:val="404040" w:themeColor="text1" w:themeTint="BF"/>
        <w:szCs w:val="20"/>
      </w:rPr>
      <w:t>ed</w:t>
    </w:r>
    <w:r w:rsidRPr="00C83460">
      <w:rPr>
        <w:rFonts w:asciiTheme="minorHAnsi" w:hAnsiTheme="minorHAnsi" w:cstheme="minorHAnsi"/>
        <w:color w:val="404040" w:themeColor="text1" w:themeTint="BF"/>
        <w:szCs w:val="20"/>
      </w:rPr>
      <w:t xml:space="preserve"> to neighborhoods where there is a high percentage of low and low-moderate income residents. The following is the overall program narrative based on the 2015-2019 Consolidated Plan and associated Annual Action Plans. This is the CAPER for the </w:t>
    </w:r>
    <w:r>
      <w:rPr>
        <w:rFonts w:asciiTheme="minorHAnsi" w:hAnsiTheme="minorHAnsi" w:cstheme="minorHAnsi"/>
        <w:color w:val="404040" w:themeColor="text1" w:themeTint="BF"/>
        <w:szCs w:val="20"/>
      </w:rPr>
      <w:t>third</w:t>
    </w:r>
    <w:r w:rsidRPr="00C83460">
      <w:rPr>
        <w:rFonts w:asciiTheme="minorHAnsi" w:hAnsiTheme="minorHAnsi" w:cstheme="minorHAnsi"/>
        <w:color w:val="404040" w:themeColor="text1" w:themeTint="BF"/>
        <w:szCs w:val="20"/>
      </w:rPr>
      <w:t xml:space="preserve"> year of the Consolidated Plan.</w:t>
    </w:r>
  </w:p>
  <w:p w14:paraId="0CB26946" w14:textId="77777777" w:rsidR="005F3FCF" w:rsidRDefault="005F3FCF" w:rsidP="005068B5">
    <w:pPr>
      <w:spacing w:line="360" w:lineRule="auto"/>
      <w:ind w:right="360"/>
      <w:rPr>
        <w:rFonts w:asciiTheme="minorHAnsi" w:hAnsiTheme="minorHAnsi" w:cstheme="minorHAnsi"/>
        <w:color w:val="404040" w:themeColor="text1" w:themeTint="BF"/>
        <w:szCs w:val="20"/>
      </w:rPr>
    </w:pPr>
  </w:p>
  <w:p w14:paraId="337D5E4C" w14:textId="77777777" w:rsidR="005F3FCF" w:rsidRPr="00882C27" w:rsidRDefault="005F3FCF" w:rsidP="005068B5">
    <w:pPr>
      <w:pStyle w:val="Title"/>
      <w:spacing w:after="120"/>
      <w:ind w:right="360"/>
      <w:jc w:val="left"/>
      <w:rPr>
        <w:rFonts w:asciiTheme="minorHAnsi" w:hAnsiTheme="minorHAnsi" w:cstheme="minorHAnsi"/>
        <w:b/>
        <w:color w:val="404040" w:themeColor="text1" w:themeTint="BF"/>
        <w:sz w:val="20"/>
        <w:szCs w:val="20"/>
      </w:rPr>
    </w:pPr>
    <w:r>
      <w:rPr>
        <w:rFonts w:asciiTheme="minorHAnsi" w:hAnsiTheme="minorHAnsi" w:cstheme="minorHAnsi"/>
        <w:b/>
        <w:color w:val="404040" w:themeColor="text1" w:themeTint="BF"/>
        <w:sz w:val="20"/>
        <w:szCs w:val="20"/>
      </w:rPr>
      <w:t>2017-2018</w:t>
    </w:r>
    <w:r w:rsidRPr="00882C27">
      <w:rPr>
        <w:rFonts w:asciiTheme="minorHAnsi" w:hAnsiTheme="minorHAnsi" w:cstheme="minorHAnsi"/>
        <w:b/>
        <w:color w:val="404040" w:themeColor="text1" w:themeTint="BF"/>
        <w:sz w:val="20"/>
        <w:szCs w:val="20"/>
      </w:rPr>
      <w:t xml:space="preserve"> FUNDS AVAILABLE</w:t>
    </w:r>
  </w:p>
  <w:tbl>
    <w:tblPr>
      <w:tblW w:w="0" w:type="auto"/>
      <w:jc w:val="center"/>
      <w:shd w:val="clear" w:color="auto" w:fill="D9D9D9"/>
      <w:tblLayout w:type="fixed"/>
      <w:tblLook w:val="01E0" w:firstRow="1" w:lastRow="1" w:firstColumn="1" w:lastColumn="1" w:noHBand="0" w:noVBand="0"/>
    </w:tblPr>
    <w:tblGrid>
      <w:gridCol w:w="6366"/>
      <w:gridCol w:w="2586"/>
    </w:tblGrid>
    <w:tr w:rsidR="005F3FCF" w:rsidRPr="00882C27" w14:paraId="62583FEA" w14:textId="77777777" w:rsidTr="00816745">
      <w:trPr>
        <w:trHeight w:val="620"/>
        <w:jc w:val="center"/>
      </w:trPr>
      <w:tc>
        <w:tcPr>
          <w:tcW w:w="6366" w:type="dxa"/>
          <w:tcBorders>
            <w:top w:val="dotted" w:sz="4" w:space="0" w:color="auto"/>
            <w:left w:val="dotted" w:sz="4" w:space="0" w:color="auto"/>
            <w:bottom w:val="dotted" w:sz="4" w:space="0" w:color="auto"/>
            <w:right w:val="dotted" w:sz="4" w:space="0" w:color="auto"/>
          </w:tcBorders>
          <w:shd w:val="clear" w:color="auto" w:fill="C6D9F1" w:themeFill="text2" w:themeFillTint="33"/>
          <w:vAlign w:val="center"/>
        </w:tcPr>
        <w:p w14:paraId="6B976877" w14:textId="77777777" w:rsidR="005F3FCF" w:rsidRPr="00882C27" w:rsidRDefault="005F3FCF" w:rsidP="00816745">
          <w:pPr>
            <w:tabs>
              <w:tab w:val="left" w:pos="-1440"/>
              <w:tab w:val="left" w:pos="-720"/>
              <w:tab w:val="left" w:pos="720"/>
              <w:tab w:val="left" w:pos="1440"/>
              <w:tab w:val="left" w:pos="2160"/>
              <w:tab w:val="left" w:pos="2880"/>
              <w:tab w:val="left" w:pos="3600"/>
              <w:tab w:val="left" w:pos="4704"/>
              <w:tab w:val="left" w:pos="5284"/>
              <w:tab w:val="left" w:pos="7625"/>
            </w:tabs>
            <w:suppressAutoHyphens/>
            <w:ind w:right="432"/>
            <w:jc w:val="center"/>
            <w:rPr>
              <w:rFonts w:asciiTheme="minorHAnsi" w:hAnsiTheme="minorHAnsi" w:cstheme="minorHAnsi"/>
              <w:b/>
              <w:color w:val="404040" w:themeColor="text1" w:themeTint="BF"/>
              <w:szCs w:val="20"/>
            </w:rPr>
          </w:pPr>
          <w:r w:rsidRPr="00882C27">
            <w:rPr>
              <w:rFonts w:asciiTheme="minorHAnsi" w:hAnsiTheme="minorHAnsi" w:cstheme="minorHAnsi"/>
              <w:b/>
              <w:color w:val="404040" w:themeColor="text1" w:themeTint="BF"/>
              <w:szCs w:val="20"/>
            </w:rPr>
            <w:t>GRANT</w:t>
          </w:r>
        </w:p>
      </w:tc>
      <w:tc>
        <w:tcPr>
          <w:tcW w:w="2586" w:type="dxa"/>
          <w:tcBorders>
            <w:top w:val="dotted" w:sz="4" w:space="0" w:color="auto"/>
            <w:left w:val="dotted" w:sz="4" w:space="0" w:color="auto"/>
            <w:bottom w:val="dotted" w:sz="4" w:space="0" w:color="auto"/>
            <w:right w:val="dotted" w:sz="4" w:space="0" w:color="auto"/>
          </w:tcBorders>
          <w:shd w:val="clear" w:color="auto" w:fill="C6D9F1" w:themeFill="text2" w:themeFillTint="33"/>
          <w:vAlign w:val="center"/>
        </w:tcPr>
        <w:p w14:paraId="2A8F9BC9" w14:textId="77777777" w:rsidR="005F3FCF" w:rsidRPr="00882C27" w:rsidRDefault="005F3FCF" w:rsidP="00816745">
          <w:pPr>
            <w:tabs>
              <w:tab w:val="left" w:pos="-1440"/>
              <w:tab w:val="left" w:pos="-720"/>
              <w:tab w:val="left" w:pos="720"/>
              <w:tab w:val="left" w:pos="1440"/>
              <w:tab w:val="left" w:pos="2160"/>
              <w:tab w:val="left" w:pos="2880"/>
              <w:tab w:val="left" w:pos="3600"/>
              <w:tab w:val="left" w:pos="4704"/>
              <w:tab w:val="left" w:pos="5284"/>
              <w:tab w:val="left" w:pos="7625"/>
            </w:tabs>
            <w:suppressAutoHyphens/>
            <w:ind w:right="432"/>
            <w:jc w:val="center"/>
            <w:rPr>
              <w:rFonts w:asciiTheme="minorHAnsi" w:hAnsiTheme="minorHAnsi" w:cstheme="minorHAnsi"/>
              <w:b/>
              <w:color w:val="404040" w:themeColor="text1" w:themeTint="BF"/>
              <w:szCs w:val="20"/>
            </w:rPr>
          </w:pPr>
          <w:r w:rsidRPr="00882C27">
            <w:rPr>
              <w:rFonts w:asciiTheme="minorHAnsi" w:hAnsiTheme="minorHAnsi" w:cstheme="minorHAnsi"/>
              <w:b/>
              <w:color w:val="404040" w:themeColor="text1" w:themeTint="BF"/>
              <w:szCs w:val="20"/>
            </w:rPr>
            <w:t>FUNDING AVAILABLE</w:t>
          </w:r>
        </w:p>
      </w:tc>
    </w:tr>
    <w:tr w:rsidR="005F3FCF" w:rsidRPr="00882C27" w14:paraId="66C54D7A" w14:textId="77777777" w:rsidTr="00816745">
      <w:trPr>
        <w:jc w:val="center"/>
      </w:trPr>
      <w:tc>
        <w:tcPr>
          <w:tcW w:w="6366" w:type="dxa"/>
          <w:tcBorders>
            <w:top w:val="dotted" w:sz="4" w:space="0" w:color="auto"/>
            <w:left w:val="dotted" w:sz="4" w:space="0" w:color="auto"/>
            <w:bottom w:val="dotted" w:sz="4" w:space="0" w:color="auto"/>
            <w:right w:val="dotted" w:sz="4" w:space="0" w:color="auto"/>
          </w:tcBorders>
          <w:shd w:val="clear" w:color="auto" w:fill="auto"/>
          <w:vAlign w:val="center"/>
        </w:tcPr>
        <w:p w14:paraId="6E98E24D" w14:textId="77777777" w:rsidR="005F3FCF" w:rsidRPr="00882C27" w:rsidRDefault="005F3FCF" w:rsidP="00816745">
          <w:pPr>
            <w:tabs>
              <w:tab w:val="left" w:pos="-1440"/>
              <w:tab w:val="left" w:pos="-720"/>
              <w:tab w:val="left" w:pos="720"/>
              <w:tab w:val="left" w:pos="1440"/>
              <w:tab w:val="left" w:pos="2160"/>
              <w:tab w:val="left" w:pos="2880"/>
              <w:tab w:val="left" w:pos="3600"/>
              <w:tab w:val="left" w:pos="4704"/>
              <w:tab w:val="left" w:pos="5284"/>
              <w:tab w:val="left" w:pos="7625"/>
            </w:tabs>
            <w:suppressAutoHyphens/>
            <w:ind w:right="432"/>
            <w:rPr>
              <w:rFonts w:asciiTheme="minorHAnsi" w:hAnsiTheme="minorHAnsi" w:cstheme="minorHAnsi"/>
              <w:color w:val="404040" w:themeColor="text1" w:themeTint="BF"/>
              <w:szCs w:val="20"/>
            </w:rPr>
          </w:pPr>
          <w:r w:rsidRPr="00882C27">
            <w:rPr>
              <w:rFonts w:asciiTheme="minorHAnsi" w:hAnsiTheme="minorHAnsi" w:cstheme="minorHAnsi"/>
              <w:color w:val="404040" w:themeColor="text1" w:themeTint="BF"/>
              <w:szCs w:val="20"/>
            </w:rPr>
            <w:t>Community Development Block Grant</w:t>
          </w:r>
        </w:p>
      </w:tc>
      <w:tc>
        <w:tcPr>
          <w:tcW w:w="2586" w:type="dxa"/>
          <w:tcBorders>
            <w:top w:val="dotted" w:sz="4" w:space="0" w:color="auto"/>
            <w:left w:val="dotted" w:sz="4" w:space="0" w:color="auto"/>
            <w:bottom w:val="dotted" w:sz="4" w:space="0" w:color="auto"/>
            <w:right w:val="dotted" w:sz="4" w:space="0" w:color="auto"/>
          </w:tcBorders>
          <w:shd w:val="clear" w:color="auto" w:fill="auto"/>
          <w:vAlign w:val="center"/>
        </w:tcPr>
        <w:p w14:paraId="7A2E8C32" w14:textId="77777777" w:rsidR="005F3FCF" w:rsidRPr="00394C69" w:rsidRDefault="005F3FCF" w:rsidP="00816745">
          <w:pPr>
            <w:tabs>
              <w:tab w:val="left" w:pos="-1440"/>
              <w:tab w:val="left" w:pos="-720"/>
              <w:tab w:val="left" w:pos="720"/>
              <w:tab w:val="left" w:pos="1440"/>
              <w:tab w:val="left" w:pos="2160"/>
              <w:tab w:val="left" w:pos="2880"/>
              <w:tab w:val="left" w:pos="3600"/>
              <w:tab w:val="left" w:pos="4704"/>
              <w:tab w:val="left" w:pos="5284"/>
              <w:tab w:val="left" w:pos="7625"/>
            </w:tabs>
            <w:suppressAutoHyphens/>
            <w:ind w:right="432"/>
            <w:jc w:val="center"/>
            <w:rPr>
              <w:rFonts w:asciiTheme="minorHAnsi" w:hAnsiTheme="minorHAnsi" w:cstheme="minorHAnsi"/>
              <w:color w:val="404040" w:themeColor="text1" w:themeTint="BF"/>
              <w:szCs w:val="20"/>
            </w:rPr>
          </w:pPr>
          <w:r w:rsidRPr="00394C69">
            <w:rPr>
              <w:rFonts w:asciiTheme="minorHAnsi" w:hAnsiTheme="minorHAnsi" w:cstheme="minorHAnsi"/>
              <w:color w:val="404040" w:themeColor="text1" w:themeTint="BF"/>
              <w:szCs w:val="20"/>
            </w:rPr>
            <w:t>$3,</w:t>
          </w:r>
          <w:r>
            <w:rPr>
              <w:rFonts w:asciiTheme="minorHAnsi" w:hAnsiTheme="minorHAnsi" w:cstheme="minorHAnsi"/>
              <w:color w:val="404040" w:themeColor="text1" w:themeTint="BF"/>
              <w:szCs w:val="20"/>
            </w:rPr>
            <w:t>235,164</w:t>
          </w:r>
        </w:p>
      </w:tc>
    </w:tr>
    <w:tr w:rsidR="005F3FCF" w:rsidRPr="00882C27" w14:paraId="211BF674" w14:textId="77777777" w:rsidTr="00816745">
      <w:trPr>
        <w:jc w:val="center"/>
      </w:trPr>
      <w:tc>
        <w:tcPr>
          <w:tcW w:w="6366" w:type="dxa"/>
          <w:tcBorders>
            <w:top w:val="dotted" w:sz="4" w:space="0" w:color="auto"/>
            <w:left w:val="dotted" w:sz="4" w:space="0" w:color="auto"/>
            <w:bottom w:val="dotted" w:sz="4" w:space="0" w:color="auto"/>
            <w:right w:val="dotted" w:sz="4" w:space="0" w:color="auto"/>
          </w:tcBorders>
          <w:shd w:val="clear" w:color="auto" w:fill="auto"/>
          <w:vAlign w:val="center"/>
        </w:tcPr>
        <w:p w14:paraId="3A3A3024" w14:textId="77777777" w:rsidR="005F3FCF" w:rsidRPr="00882C27" w:rsidRDefault="005F3FCF" w:rsidP="00816745">
          <w:pPr>
            <w:tabs>
              <w:tab w:val="left" w:pos="-1440"/>
              <w:tab w:val="left" w:pos="-720"/>
              <w:tab w:val="left" w:pos="720"/>
              <w:tab w:val="left" w:pos="1440"/>
              <w:tab w:val="left" w:pos="2160"/>
              <w:tab w:val="left" w:pos="2880"/>
              <w:tab w:val="left" w:pos="3600"/>
              <w:tab w:val="left" w:pos="4704"/>
              <w:tab w:val="left" w:pos="5284"/>
              <w:tab w:val="left" w:pos="7625"/>
            </w:tabs>
            <w:suppressAutoHyphens/>
            <w:ind w:right="432"/>
            <w:rPr>
              <w:rFonts w:asciiTheme="minorHAnsi" w:hAnsiTheme="minorHAnsi" w:cstheme="minorHAnsi"/>
              <w:color w:val="404040" w:themeColor="text1" w:themeTint="BF"/>
              <w:szCs w:val="20"/>
            </w:rPr>
          </w:pPr>
          <w:r w:rsidRPr="00882C27">
            <w:rPr>
              <w:rFonts w:asciiTheme="minorHAnsi" w:hAnsiTheme="minorHAnsi" w:cstheme="minorHAnsi"/>
              <w:color w:val="404040" w:themeColor="text1" w:themeTint="BF"/>
              <w:szCs w:val="20"/>
            </w:rPr>
            <w:t>Emergency Solutions Grant</w:t>
          </w:r>
        </w:p>
      </w:tc>
      <w:tc>
        <w:tcPr>
          <w:tcW w:w="2586" w:type="dxa"/>
          <w:tcBorders>
            <w:top w:val="dotted" w:sz="4" w:space="0" w:color="auto"/>
            <w:left w:val="dotted" w:sz="4" w:space="0" w:color="auto"/>
            <w:bottom w:val="dotted" w:sz="4" w:space="0" w:color="auto"/>
            <w:right w:val="dotted" w:sz="4" w:space="0" w:color="auto"/>
          </w:tcBorders>
          <w:shd w:val="clear" w:color="auto" w:fill="auto"/>
          <w:vAlign w:val="center"/>
        </w:tcPr>
        <w:p w14:paraId="6555A15A" w14:textId="77777777" w:rsidR="005F3FCF" w:rsidRPr="00394C69" w:rsidRDefault="005F3FCF" w:rsidP="00816745">
          <w:pPr>
            <w:tabs>
              <w:tab w:val="left" w:pos="-1440"/>
              <w:tab w:val="left" w:pos="-720"/>
              <w:tab w:val="left" w:pos="720"/>
              <w:tab w:val="left" w:pos="1440"/>
              <w:tab w:val="left" w:pos="2160"/>
              <w:tab w:val="left" w:pos="2880"/>
              <w:tab w:val="left" w:pos="3600"/>
              <w:tab w:val="left" w:pos="4704"/>
              <w:tab w:val="left" w:pos="5284"/>
              <w:tab w:val="left" w:pos="7625"/>
            </w:tabs>
            <w:suppressAutoHyphens/>
            <w:ind w:right="432"/>
            <w:jc w:val="center"/>
            <w:rPr>
              <w:rFonts w:asciiTheme="minorHAnsi" w:hAnsiTheme="minorHAnsi" w:cstheme="minorHAnsi"/>
              <w:color w:val="404040" w:themeColor="text1" w:themeTint="BF"/>
              <w:szCs w:val="20"/>
            </w:rPr>
          </w:pPr>
          <w:r>
            <w:rPr>
              <w:rFonts w:asciiTheme="minorHAnsi" w:hAnsiTheme="minorHAnsi" w:cstheme="minorHAnsi"/>
              <w:color w:val="404040" w:themeColor="text1" w:themeTint="BF"/>
              <w:szCs w:val="20"/>
            </w:rPr>
            <w:t>$288,788</w:t>
          </w:r>
        </w:p>
      </w:tc>
    </w:tr>
    <w:tr w:rsidR="005F3FCF" w:rsidRPr="00882C27" w14:paraId="7FD063C3" w14:textId="77777777" w:rsidTr="00816745">
      <w:trPr>
        <w:jc w:val="center"/>
      </w:trPr>
      <w:tc>
        <w:tcPr>
          <w:tcW w:w="6366" w:type="dxa"/>
          <w:tcBorders>
            <w:top w:val="dotted" w:sz="4" w:space="0" w:color="auto"/>
            <w:left w:val="dotted" w:sz="4" w:space="0" w:color="auto"/>
            <w:bottom w:val="dotted" w:sz="4" w:space="0" w:color="auto"/>
            <w:right w:val="dotted" w:sz="4" w:space="0" w:color="auto"/>
          </w:tcBorders>
          <w:shd w:val="clear" w:color="auto" w:fill="auto"/>
          <w:vAlign w:val="center"/>
        </w:tcPr>
        <w:p w14:paraId="48CA842D" w14:textId="77777777" w:rsidR="005F3FCF" w:rsidRPr="00882C27" w:rsidRDefault="005F3FCF" w:rsidP="00816745">
          <w:pPr>
            <w:tabs>
              <w:tab w:val="left" w:pos="-1440"/>
              <w:tab w:val="left" w:pos="-720"/>
              <w:tab w:val="left" w:pos="720"/>
              <w:tab w:val="left" w:pos="1440"/>
              <w:tab w:val="left" w:pos="2160"/>
              <w:tab w:val="left" w:pos="2880"/>
              <w:tab w:val="left" w:pos="3600"/>
              <w:tab w:val="left" w:pos="4704"/>
              <w:tab w:val="left" w:pos="5284"/>
              <w:tab w:val="left" w:pos="7625"/>
            </w:tabs>
            <w:suppressAutoHyphens/>
            <w:ind w:right="432"/>
            <w:rPr>
              <w:rFonts w:asciiTheme="minorHAnsi" w:hAnsiTheme="minorHAnsi" w:cstheme="minorHAnsi"/>
              <w:color w:val="404040" w:themeColor="text1" w:themeTint="BF"/>
              <w:szCs w:val="20"/>
            </w:rPr>
          </w:pPr>
          <w:r w:rsidRPr="00882C27">
            <w:rPr>
              <w:rFonts w:asciiTheme="minorHAnsi" w:hAnsiTheme="minorHAnsi" w:cstheme="minorHAnsi"/>
              <w:color w:val="404040" w:themeColor="text1" w:themeTint="BF"/>
              <w:szCs w:val="20"/>
            </w:rPr>
            <w:t>HOME Investment Partnership</w:t>
          </w:r>
        </w:p>
      </w:tc>
      <w:tc>
        <w:tcPr>
          <w:tcW w:w="2586" w:type="dxa"/>
          <w:tcBorders>
            <w:top w:val="dotted" w:sz="4" w:space="0" w:color="auto"/>
            <w:left w:val="dotted" w:sz="4" w:space="0" w:color="auto"/>
            <w:bottom w:val="dotted" w:sz="4" w:space="0" w:color="auto"/>
            <w:right w:val="dotted" w:sz="4" w:space="0" w:color="auto"/>
          </w:tcBorders>
          <w:shd w:val="clear" w:color="auto" w:fill="auto"/>
          <w:vAlign w:val="center"/>
        </w:tcPr>
        <w:p w14:paraId="1C3D897E" w14:textId="77777777" w:rsidR="005F3FCF" w:rsidRPr="00394C69" w:rsidRDefault="005F3FCF" w:rsidP="00816745">
          <w:pPr>
            <w:tabs>
              <w:tab w:val="left" w:pos="-1440"/>
              <w:tab w:val="left" w:pos="-720"/>
              <w:tab w:val="left" w:pos="720"/>
              <w:tab w:val="left" w:pos="1440"/>
              <w:tab w:val="left" w:pos="2160"/>
              <w:tab w:val="left" w:pos="2880"/>
              <w:tab w:val="left" w:pos="3600"/>
              <w:tab w:val="left" w:pos="4704"/>
              <w:tab w:val="left" w:pos="5284"/>
              <w:tab w:val="left" w:pos="7625"/>
            </w:tabs>
            <w:suppressAutoHyphens/>
            <w:ind w:right="432"/>
            <w:jc w:val="center"/>
            <w:rPr>
              <w:rFonts w:asciiTheme="minorHAnsi" w:hAnsiTheme="minorHAnsi" w:cstheme="minorHAnsi"/>
              <w:color w:val="404040" w:themeColor="text1" w:themeTint="BF"/>
              <w:szCs w:val="20"/>
            </w:rPr>
          </w:pPr>
          <w:r>
            <w:rPr>
              <w:rFonts w:asciiTheme="minorHAnsi" w:hAnsiTheme="minorHAnsi" w:cstheme="minorHAnsi"/>
              <w:color w:val="404040" w:themeColor="text1" w:themeTint="BF"/>
              <w:szCs w:val="20"/>
            </w:rPr>
            <w:t>$713,578</w:t>
          </w:r>
        </w:p>
      </w:tc>
    </w:tr>
    <w:tr w:rsidR="005F3FCF" w:rsidRPr="00882C27" w14:paraId="215FA88D" w14:textId="77777777" w:rsidTr="00816745">
      <w:trPr>
        <w:jc w:val="center"/>
      </w:trPr>
      <w:tc>
        <w:tcPr>
          <w:tcW w:w="6366" w:type="dxa"/>
          <w:tcBorders>
            <w:top w:val="dotted" w:sz="4" w:space="0" w:color="auto"/>
            <w:left w:val="dotted" w:sz="4" w:space="0" w:color="auto"/>
            <w:bottom w:val="dotted" w:sz="4" w:space="0" w:color="auto"/>
            <w:right w:val="dotted" w:sz="4" w:space="0" w:color="auto"/>
          </w:tcBorders>
          <w:shd w:val="clear" w:color="auto" w:fill="auto"/>
          <w:vAlign w:val="center"/>
        </w:tcPr>
        <w:p w14:paraId="78902A7F" w14:textId="77777777" w:rsidR="005F3FCF" w:rsidRPr="00882C27" w:rsidRDefault="005F3FCF" w:rsidP="00816745">
          <w:pPr>
            <w:tabs>
              <w:tab w:val="left" w:pos="-1440"/>
              <w:tab w:val="left" w:pos="-720"/>
              <w:tab w:val="left" w:pos="720"/>
              <w:tab w:val="left" w:pos="1440"/>
              <w:tab w:val="left" w:pos="2160"/>
              <w:tab w:val="left" w:pos="2880"/>
              <w:tab w:val="left" w:pos="3600"/>
              <w:tab w:val="left" w:pos="4704"/>
              <w:tab w:val="left" w:pos="5284"/>
              <w:tab w:val="left" w:pos="7625"/>
            </w:tabs>
            <w:suppressAutoHyphens/>
            <w:ind w:right="432"/>
            <w:rPr>
              <w:rFonts w:asciiTheme="minorHAnsi" w:hAnsiTheme="minorHAnsi" w:cstheme="minorHAnsi"/>
              <w:color w:val="404040" w:themeColor="text1" w:themeTint="BF"/>
              <w:szCs w:val="20"/>
            </w:rPr>
          </w:pPr>
          <w:r w:rsidRPr="00882C27">
            <w:rPr>
              <w:rFonts w:asciiTheme="minorHAnsi" w:hAnsiTheme="minorHAnsi" w:cstheme="minorHAnsi"/>
              <w:color w:val="404040" w:themeColor="text1" w:themeTint="BF"/>
              <w:szCs w:val="20"/>
            </w:rPr>
            <w:t>Housing Opportunities for Persons with AIDS</w:t>
          </w:r>
        </w:p>
      </w:tc>
      <w:tc>
        <w:tcPr>
          <w:tcW w:w="2586" w:type="dxa"/>
          <w:tcBorders>
            <w:top w:val="dotted" w:sz="4" w:space="0" w:color="auto"/>
            <w:left w:val="dotted" w:sz="4" w:space="0" w:color="auto"/>
            <w:bottom w:val="dotted" w:sz="4" w:space="0" w:color="auto"/>
            <w:right w:val="dotted" w:sz="4" w:space="0" w:color="auto"/>
          </w:tcBorders>
          <w:shd w:val="clear" w:color="auto" w:fill="auto"/>
          <w:vAlign w:val="center"/>
        </w:tcPr>
        <w:p w14:paraId="4DBB3150" w14:textId="77777777" w:rsidR="005F3FCF" w:rsidRPr="00394C69" w:rsidRDefault="005F3FCF" w:rsidP="00816745">
          <w:pPr>
            <w:tabs>
              <w:tab w:val="left" w:pos="-1440"/>
              <w:tab w:val="left" w:pos="-720"/>
              <w:tab w:val="left" w:pos="720"/>
              <w:tab w:val="left" w:pos="1440"/>
              <w:tab w:val="left" w:pos="2160"/>
              <w:tab w:val="left" w:pos="2880"/>
              <w:tab w:val="left" w:pos="3600"/>
              <w:tab w:val="left" w:pos="4704"/>
              <w:tab w:val="left" w:pos="5284"/>
              <w:tab w:val="left" w:pos="7625"/>
            </w:tabs>
            <w:suppressAutoHyphens/>
            <w:ind w:right="432"/>
            <w:jc w:val="center"/>
            <w:rPr>
              <w:rFonts w:asciiTheme="minorHAnsi" w:hAnsiTheme="minorHAnsi" w:cstheme="minorHAnsi"/>
              <w:color w:val="404040" w:themeColor="text1" w:themeTint="BF"/>
              <w:szCs w:val="20"/>
            </w:rPr>
          </w:pPr>
          <w:r>
            <w:rPr>
              <w:rFonts w:asciiTheme="minorHAnsi" w:hAnsiTheme="minorHAnsi" w:cstheme="minorHAnsi"/>
              <w:color w:val="404040" w:themeColor="text1" w:themeTint="BF"/>
              <w:szCs w:val="20"/>
            </w:rPr>
            <w:t>$416,846</w:t>
          </w:r>
        </w:p>
      </w:tc>
    </w:tr>
    <w:tr w:rsidR="005F3FCF" w:rsidRPr="00882C27" w14:paraId="6CF853C2" w14:textId="77777777" w:rsidTr="00816745">
      <w:trPr>
        <w:trHeight w:val="243"/>
        <w:jc w:val="center"/>
      </w:trPr>
      <w:tc>
        <w:tcPr>
          <w:tcW w:w="6366" w:type="dxa"/>
          <w:tcBorders>
            <w:top w:val="dotted" w:sz="4" w:space="0" w:color="auto"/>
            <w:left w:val="dotted" w:sz="4" w:space="0" w:color="auto"/>
            <w:bottom w:val="dotted" w:sz="4" w:space="0" w:color="auto"/>
            <w:right w:val="dotted" w:sz="4" w:space="0" w:color="auto"/>
          </w:tcBorders>
          <w:shd w:val="clear" w:color="auto" w:fill="auto"/>
          <w:vAlign w:val="center"/>
        </w:tcPr>
        <w:p w14:paraId="6DD1DE92" w14:textId="77777777" w:rsidR="005F3FCF" w:rsidRPr="00882C27" w:rsidRDefault="005F3FCF" w:rsidP="00816745">
          <w:pPr>
            <w:tabs>
              <w:tab w:val="left" w:pos="-1440"/>
              <w:tab w:val="left" w:pos="-720"/>
              <w:tab w:val="left" w:pos="720"/>
              <w:tab w:val="left" w:pos="1440"/>
              <w:tab w:val="left" w:pos="2160"/>
              <w:tab w:val="left" w:pos="2880"/>
              <w:tab w:val="left" w:pos="3600"/>
              <w:tab w:val="left" w:pos="4704"/>
              <w:tab w:val="left" w:pos="6258"/>
              <w:tab w:val="left" w:pos="6330"/>
              <w:tab w:val="left" w:pos="7625"/>
            </w:tabs>
            <w:suppressAutoHyphens/>
            <w:ind w:right="-108"/>
            <w:rPr>
              <w:rFonts w:asciiTheme="minorHAnsi" w:hAnsiTheme="minorHAnsi" w:cstheme="minorHAnsi"/>
              <w:color w:val="404040" w:themeColor="text1" w:themeTint="BF"/>
              <w:szCs w:val="20"/>
            </w:rPr>
          </w:pPr>
          <w:r w:rsidRPr="00882C27">
            <w:rPr>
              <w:rFonts w:asciiTheme="minorHAnsi" w:hAnsiTheme="minorHAnsi" w:cstheme="minorHAnsi"/>
              <w:color w:val="404040" w:themeColor="text1" w:themeTint="BF"/>
              <w:szCs w:val="20"/>
            </w:rPr>
            <w:t>Reallocated CDBG funds from prior years &amp; program income</w:t>
          </w:r>
        </w:p>
      </w:tc>
      <w:tc>
        <w:tcPr>
          <w:tcW w:w="2586" w:type="dxa"/>
          <w:tcBorders>
            <w:top w:val="dotted" w:sz="4" w:space="0" w:color="auto"/>
            <w:left w:val="dotted" w:sz="4" w:space="0" w:color="auto"/>
            <w:bottom w:val="dotted" w:sz="4" w:space="0" w:color="auto"/>
            <w:right w:val="dotted" w:sz="4" w:space="0" w:color="auto"/>
          </w:tcBorders>
          <w:shd w:val="clear" w:color="auto" w:fill="auto"/>
          <w:vAlign w:val="center"/>
        </w:tcPr>
        <w:p w14:paraId="27546D78" w14:textId="77777777" w:rsidR="005F3FCF" w:rsidRPr="00394C69" w:rsidRDefault="005F3FCF" w:rsidP="00816745">
          <w:pPr>
            <w:tabs>
              <w:tab w:val="left" w:pos="-1440"/>
              <w:tab w:val="left" w:pos="-720"/>
              <w:tab w:val="left" w:pos="720"/>
              <w:tab w:val="left" w:pos="1440"/>
              <w:tab w:val="left" w:pos="2160"/>
              <w:tab w:val="left" w:pos="2880"/>
              <w:tab w:val="left" w:pos="3600"/>
              <w:tab w:val="left" w:pos="4704"/>
              <w:tab w:val="left" w:pos="5284"/>
              <w:tab w:val="left" w:pos="7625"/>
            </w:tabs>
            <w:suppressAutoHyphens/>
            <w:ind w:right="432"/>
            <w:jc w:val="center"/>
            <w:rPr>
              <w:rFonts w:asciiTheme="minorHAnsi" w:hAnsiTheme="minorHAnsi" w:cstheme="minorHAnsi"/>
              <w:color w:val="404040" w:themeColor="text1" w:themeTint="BF"/>
              <w:szCs w:val="20"/>
            </w:rPr>
          </w:pPr>
          <w:r w:rsidRPr="00816745">
            <w:rPr>
              <w:rFonts w:asciiTheme="minorHAnsi" w:hAnsiTheme="minorHAnsi" w:cstheme="minorHAnsi"/>
              <w:color w:val="404040" w:themeColor="text1" w:themeTint="BF"/>
              <w:szCs w:val="20"/>
            </w:rPr>
            <w:t>$1,425,000</w:t>
          </w:r>
        </w:p>
      </w:tc>
    </w:tr>
    <w:tr w:rsidR="005F3FCF" w:rsidRPr="00882C27" w14:paraId="30B15353" w14:textId="77777777" w:rsidTr="00816745">
      <w:trPr>
        <w:trHeight w:val="243"/>
        <w:jc w:val="center"/>
      </w:trPr>
      <w:tc>
        <w:tcPr>
          <w:tcW w:w="6366" w:type="dxa"/>
          <w:tcBorders>
            <w:top w:val="dotted" w:sz="4" w:space="0" w:color="auto"/>
            <w:left w:val="dotted" w:sz="4" w:space="0" w:color="auto"/>
            <w:bottom w:val="dotted" w:sz="4" w:space="0" w:color="auto"/>
            <w:right w:val="dotted" w:sz="4" w:space="0" w:color="auto"/>
          </w:tcBorders>
          <w:shd w:val="clear" w:color="auto" w:fill="auto"/>
          <w:vAlign w:val="center"/>
        </w:tcPr>
        <w:p w14:paraId="0DB2180A" w14:textId="77777777" w:rsidR="005F3FCF" w:rsidRPr="00882C27" w:rsidRDefault="005F3FCF" w:rsidP="00816745">
          <w:pPr>
            <w:tabs>
              <w:tab w:val="left" w:pos="-1440"/>
              <w:tab w:val="left" w:pos="-720"/>
              <w:tab w:val="left" w:pos="720"/>
              <w:tab w:val="left" w:pos="1440"/>
              <w:tab w:val="left" w:pos="2160"/>
              <w:tab w:val="left" w:pos="2880"/>
              <w:tab w:val="left" w:pos="3600"/>
              <w:tab w:val="left" w:pos="4704"/>
              <w:tab w:val="left" w:pos="5284"/>
              <w:tab w:val="left" w:pos="7625"/>
            </w:tabs>
            <w:suppressAutoHyphens/>
            <w:ind w:right="432"/>
            <w:rPr>
              <w:rFonts w:asciiTheme="minorHAnsi" w:hAnsiTheme="minorHAnsi" w:cstheme="minorHAnsi"/>
              <w:color w:val="404040" w:themeColor="text1" w:themeTint="BF"/>
              <w:szCs w:val="20"/>
            </w:rPr>
          </w:pPr>
          <w:r w:rsidRPr="00882C27">
            <w:rPr>
              <w:rFonts w:asciiTheme="minorHAnsi" w:hAnsiTheme="minorHAnsi" w:cstheme="minorHAnsi"/>
              <w:color w:val="404040" w:themeColor="text1" w:themeTint="BF"/>
              <w:szCs w:val="20"/>
            </w:rPr>
            <w:t>Reallocated ESG funds from prior years</w:t>
          </w:r>
        </w:p>
      </w:tc>
      <w:tc>
        <w:tcPr>
          <w:tcW w:w="2586" w:type="dxa"/>
          <w:tcBorders>
            <w:top w:val="dotted" w:sz="4" w:space="0" w:color="auto"/>
            <w:left w:val="dotted" w:sz="4" w:space="0" w:color="auto"/>
            <w:bottom w:val="dotted" w:sz="4" w:space="0" w:color="auto"/>
            <w:right w:val="dotted" w:sz="4" w:space="0" w:color="auto"/>
          </w:tcBorders>
          <w:shd w:val="clear" w:color="auto" w:fill="auto"/>
          <w:vAlign w:val="center"/>
        </w:tcPr>
        <w:p w14:paraId="0450F41B" w14:textId="77777777" w:rsidR="005F3FCF" w:rsidRPr="00394C69" w:rsidRDefault="005F3FCF" w:rsidP="00816745">
          <w:pPr>
            <w:tabs>
              <w:tab w:val="left" w:pos="-1440"/>
              <w:tab w:val="left" w:pos="-720"/>
              <w:tab w:val="left" w:pos="720"/>
              <w:tab w:val="left" w:pos="1440"/>
              <w:tab w:val="left" w:pos="2160"/>
              <w:tab w:val="left" w:pos="2880"/>
              <w:tab w:val="left" w:pos="3600"/>
              <w:tab w:val="left" w:pos="4704"/>
              <w:tab w:val="left" w:pos="5284"/>
              <w:tab w:val="left" w:pos="7625"/>
            </w:tabs>
            <w:suppressAutoHyphens/>
            <w:ind w:right="432"/>
            <w:jc w:val="center"/>
            <w:rPr>
              <w:rFonts w:asciiTheme="minorHAnsi" w:hAnsiTheme="minorHAnsi" w:cstheme="minorHAnsi"/>
              <w:color w:val="404040" w:themeColor="text1" w:themeTint="BF"/>
              <w:szCs w:val="20"/>
            </w:rPr>
          </w:pPr>
          <w:r>
            <w:rPr>
              <w:rFonts w:asciiTheme="minorHAnsi" w:hAnsiTheme="minorHAnsi" w:cstheme="minorHAnsi"/>
              <w:color w:val="404040" w:themeColor="text1" w:themeTint="BF"/>
              <w:szCs w:val="20"/>
            </w:rPr>
            <w:t>$14,494</w:t>
          </w:r>
        </w:p>
      </w:tc>
    </w:tr>
    <w:tr w:rsidR="005F3FCF" w:rsidRPr="00882C27" w14:paraId="61E178D6" w14:textId="77777777" w:rsidTr="00816745">
      <w:trPr>
        <w:trHeight w:val="243"/>
        <w:jc w:val="center"/>
      </w:trPr>
      <w:tc>
        <w:tcPr>
          <w:tcW w:w="6366" w:type="dxa"/>
          <w:tcBorders>
            <w:top w:val="dotted" w:sz="4" w:space="0" w:color="auto"/>
            <w:left w:val="dotted" w:sz="4" w:space="0" w:color="auto"/>
            <w:bottom w:val="dotted" w:sz="4" w:space="0" w:color="auto"/>
            <w:right w:val="dotted" w:sz="4" w:space="0" w:color="auto"/>
          </w:tcBorders>
          <w:shd w:val="clear" w:color="auto" w:fill="auto"/>
          <w:vAlign w:val="center"/>
        </w:tcPr>
        <w:p w14:paraId="1DD674BD" w14:textId="77777777" w:rsidR="005F3FCF" w:rsidRPr="00882C27" w:rsidRDefault="005F3FCF" w:rsidP="00816745">
          <w:pPr>
            <w:tabs>
              <w:tab w:val="left" w:pos="-1440"/>
              <w:tab w:val="left" w:pos="-720"/>
              <w:tab w:val="left" w:pos="720"/>
              <w:tab w:val="left" w:pos="1440"/>
              <w:tab w:val="left" w:pos="2160"/>
              <w:tab w:val="left" w:pos="2880"/>
              <w:tab w:val="left" w:pos="3600"/>
              <w:tab w:val="left" w:pos="4704"/>
              <w:tab w:val="left" w:pos="5284"/>
              <w:tab w:val="left" w:pos="7625"/>
            </w:tabs>
            <w:suppressAutoHyphens/>
            <w:ind w:right="432"/>
            <w:rPr>
              <w:rFonts w:asciiTheme="minorHAnsi" w:hAnsiTheme="minorHAnsi" w:cstheme="minorHAnsi"/>
              <w:color w:val="404040" w:themeColor="text1" w:themeTint="BF"/>
              <w:szCs w:val="20"/>
            </w:rPr>
          </w:pPr>
          <w:r w:rsidRPr="00882C27">
            <w:rPr>
              <w:rFonts w:asciiTheme="minorHAnsi" w:hAnsiTheme="minorHAnsi" w:cstheme="minorHAnsi"/>
              <w:color w:val="404040" w:themeColor="text1" w:themeTint="BF"/>
              <w:szCs w:val="20"/>
            </w:rPr>
            <w:t>Reallocated HOME funds from prior years &amp; program income</w:t>
          </w:r>
        </w:p>
      </w:tc>
      <w:tc>
        <w:tcPr>
          <w:tcW w:w="2586" w:type="dxa"/>
          <w:tcBorders>
            <w:top w:val="dotted" w:sz="4" w:space="0" w:color="auto"/>
            <w:left w:val="dotted" w:sz="4" w:space="0" w:color="auto"/>
            <w:bottom w:val="dotted" w:sz="4" w:space="0" w:color="auto"/>
            <w:right w:val="dotted" w:sz="4" w:space="0" w:color="auto"/>
          </w:tcBorders>
          <w:shd w:val="clear" w:color="auto" w:fill="auto"/>
          <w:vAlign w:val="center"/>
        </w:tcPr>
        <w:p w14:paraId="47494B7B" w14:textId="77777777" w:rsidR="005F3FCF" w:rsidRPr="00394C69" w:rsidRDefault="005F3FCF" w:rsidP="00816745">
          <w:pPr>
            <w:tabs>
              <w:tab w:val="left" w:pos="-1440"/>
              <w:tab w:val="left" w:pos="-720"/>
              <w:tab w:val="left" w:pos="720"/>
              <w:tab w:val="left" w:pos="1440"/>
              <w:tab w:val="left" w:pos="2160"/>
              <w:tab w:val="left" w:pos="2880"/>
              <w:tab w:val="left" w:pos="3600"/>
              <w:tab w:val="left" w:pos="4704"/>
              <w:tab w:val="left" w:pos="5284"/>
              <w:tab w:val="left" w:pos="7625"/>
            </w:tabs>
            <w:suppressAutoHyphens/>
            <w:ind w:right="432"/>
            <w:jc w:val="center"/>
            <w:rPr>
              <w:rFonts w:asciiTheme="minorHAnsi" w:hAnsiTheme="minorHAnsi" w:cstheme="minorHAnsi"/>
              <w:color w:val="404040" w:themeColor="text1" w:themeTint="BF"/>
              <w:szCs w:val="20"/>
            </w:rPr>
          </w:pPr>
          <w:r w:rsidRPr="00394C69">
            <w:rPr>
              <w:rFonts w:asciiTheme="minorHAnsi" w:hAnsiTheme="minorHAnsi" w:cstheme="minorHAnsi"/>
              <w:color w:val="404040" w:themeColor="text1" w:themeTint="BF"/>
              <w:szCs w:val="20"/>
            </w:rPr>
            <w:t>$</w:t>
          </w:r>
          <w:r>
            <w:rPr>
              <w:rFonts w:asciiTheme="minorHAnsi" w:hAnsiTheme="minorHAnsi" w:cstheme="minorHAnsi"/>
              <w:color w:val="404040" w:themeColor="text1" w:themeTint="BF"/>
              <w:szCs w:val="20"/>
            </w:rPr>
            <w:t>576,000</w:t>
          </w:r>
        </w:p>
      </w:tc>
    </w:tr>
    <w:tr w:rsidR="005F3FCF" w:rsidRPr="00882C27" w14:paraId="667A2979" w14:textId="77777777" w:rsidTr="00816745">
      <w:trPr>
        <w:trHeight w:val="243"/>
        <w:jc w:val="center"/>
      </w:trPr>
      <w:tc>
        <w:tcPr>
          <w:tcW w:w="6366" w:type="dxa"/>
          <w:tcBorders>
            <w:top w:val="dotted" w:sz="4" w:space="0" w:color="auto"/>
            <w:left w:val="dotted" w:sz="4" w:space="0" w:color="auto"/>
            <w:bottom w:val="dotted" w:sz="4" w:space="0" w:color="auto"/>
            <w:right w:val="dotted" w:sz="4" w:space="0" w:color="auto"/>
          </w:tcBorders>
          <w:shd w:val="clear" w:color="auto" w:fill="auto"/>
          <w:vAlign w:val="center"/>
        </w:tcPr>
        <w:p w14:paraId="21E58AB4" w14:textId="77777777" w:rsidR="005F3FCF" w:rsidRPr="00882C27" w:rsidRDefault="005F3FCF" w:rsidP="00816745">
          <w:pPr>
            <w:tabs>
              <w:tab w:val="left" w:pos="-1440"/>
              <w:tab w:val="left" w:pos="-720"/>
              <w:tab w:val="left" w:pos="720"/>
              <w:tab w:val="left" w:pos="1440"/>
              <w:tab w:val="left" w:pos="2160"/>
              <w:tab w:val="left" w:pos="2880"/>
              <w:tab w:val="left" w:pos="3600"/>
              <w:tab w:val="left" w:pos="4704"/>
              <w:tab w:val="left" w:pos="5284"/>
              <w:tab w:val="left" w:pos="7625"/>
            </w:tabs>
            <w:suppressAutoHyphens/>
            <w:ind w:right="432"/>
            <w:rPr>
              <w:rFonts w:asciiTheme="minorHAnsi" w:hAnsiTheme="minorHAnsi" w:cstheme="minorHAnsi"/>
              <w:color w:val="404040" w:themeColor="text1" w:themeTint="BF"/>
              <w:szCs w:val="20"/>
            </w:rPr>
          </w:pPr>
          <w:r w:rsidRPr="00882C27">
            <w:rPr>
              <w:rFonts w:asciiTheme="minorHAnsi" w:hAnsiTheme="minorHAnsi" w:cstheme="minorHAnsi"/>
              <w:color w:val="404040" w:themeColor="text1" w:themeTint="BF"/>
              <w:szCs w:val="20"/>
            </w:rPr>
            <w:t>Reallocated HOPWA from prior years</w:t>
          </w:r>
        </w:p>
      </w:tc>
      <w:tc>
        <w:tcPr>
          <w:tcW w:w="2586" w:type="dxa"/>
          <w:tcBorders>
            <w:top w:val="dotted" w:sz="4" w:space="0" w:color="auto"/>
            <w:left w:val="dotted" w:sz="4" w:space="0" w:color="auto"/>
            <w:bottom w:val="dotted" w:sz="4" w:space="0" w:color="auto"/>
            <w:right w:val="dotted" w:sz="4" w:space="0" w:color="auto"/>
          </w:tcBorders>
          <w:shd w:val="clear" w:color="auto" w:fill="auto"/>
          <w:vAlign w:val="center"/>
        </w:tcPr>
        <w:p w14:paraId="7E06D083" w14:textId="77777777" w:rsidR="005F3FCF" w:rsidRPr="00394C69" w:rsidRDefault="005F3FCF" w:rsidP="00816745">
          <w:pPr>
            <w:tabs>
              <w:tab w:val="left" w:pos="-1440"/>
              <w:tab w:val="left" w:pos="-720"/>
              <w:tab w:val="left" w:pos="720"/>
              <w:tab w:val="left" w:pos="1440"/>
              <w:tab w:val="left" w:pos="2160"/>
              <w:tab w:val="left" w:pos="2880"/>
              <w:tab w:val="left" w:pos="3600"/>
              <w:tab w:val="left" w:pos="4704"/>
              <w:tab w:val="left" w:pos="5284"/>
              <w:tab w:val="left" w:pos="7625"/>
            </w:tabs>
            <w:suppressAutoHyphens/>
            <w:ind w:right="432"/>
            <w:jc w:val="center"/>
            <w:rPr>
              <w:rFonts w:asciiTheme="minorHAnsi" w:hAnsiTheme="minorHAnsi" w:cstheme="minorHAnsi"/>
              <w:color w:val="404040" w:themeColor="text1" w:themeTint="BF"/>
              <w:szCs w:val="20"/>
            </w:rPr>
          </w:pPr>
          <w:r>
            <w:rPr>
              <w:rFonts w:asciiTheme="minorHAnsi" w:hAnsiTheme="minorHAnsi" w:cstheme="minorHAnsi"/>
              <w:color w:val="404040" w:themeColor="text1" w:themeTint="BF"/>
              <w:szCs w:val="20"/>
            </w:rPr>
            <w:t>$27,149</w:t>
          </w:r>
        </w:p>
      </w:tc>
    </w:tr>
    <w:tr w:rsidR="005F3FCF" w:rsidRPr="00882C27" w14:paraId="6DB10635" w14:textId="77777777" w:rsidTr="00816745">
      <w:trPr>
        <w:jc w:val="center"/>
      </w:trPr>
      <w:tc>
        <w:tcPr>
          <w:tcW w:w="6366" w:type="dxa"/>
          <w:tcBorders>
            <w:top w:val="dotted" w:sz="4" w:space="0" w:color="auto"/>
            <w:left w:val="dotted" w:sz="4" w:space="0" w:color="auto"/>
            <w:bottom w:val="dotted" w:sz="4" w:space="0" w:color="auto"/>
            <w:right w:val="dotted" w:sz="4" w:space="0" w:color="auto"/>
          </w:tcBorders>
          <w:shd w:val="clear" w:color="auto" w:fill="auto"/>
          <w:vAlign w:val="center"/>
        </w:tcPr>
        <w:p w14:paraId="7795F8C5" w14:textId="77777777" w:rsidR="005F3FCF" w:rsidRPr="00882C27" w:rsidRDefault="005F3FCF" w:rsidP="00816745">
          <w:pPr>
            <w:tabs>
              <w:tab w:val="left" w:pos="-1440"/>
              <w:tab w:val="left" w:pos="-720"/>
              <w:tab w:val="left" w:pos="720"/>
              <w:tab w:val="left" w:pos="1440"/>
              <w:tab w:val="left" w:pos="2160"/>
              <w:tab w:val="left" w:pos="2880"/>
              <w:tab w:val="left" w:pos="3600"/>
              <w:tab w:val="left" w:pos="4704"/>
              <w:tab w:val="left" w:pos="5284"/>
              <w:tab w:val="left" w:pos="7625"/>
            </w:tabs>
            <w:suppressAutoHyphens/>
            <w:ind w:right="432"/>
            <w:rPr>
              <w:rFonts w:asciiTheme="minorHAnsi" w:hAnsiTheme="minorHAnsi" w:cstheme="minorHAnsi"/>
              <w:b/>
              <w:color w:val="404040" w:themeColor="text1" w:themeTint="BF"/>
              <w:szCs w:val="20"/>
            </w:rPr>
          </w:pPr>
          <w:r w:rsidRPr="00882C27">
            <w:rPr>
              <w:rFonts w:asciiTheme="minorHAnsi" w:hAnsiTheme="minorHAnsi" w:cstheme="minorHAnsi"/>
              <w:b/>
              <w:color w:val="404040" w:themeColor="text1" w:themeTint="BF"/>
              <w:szCs w:val="20"/>
            </w:rPr>
            <w:t>Total</w:t>
          </w:r>
        </w:p>
      </w:tc>
      <w:tc>
        <w:tcPr>
          <w:tcW w:w="2586" w:type="dxa"/>
          <w:tcBorders>
            <w:top w:val="dotted" w:sz="4" w:space="0" w:color="auto"/>
            <w:left w:val="dotted" w:sz="4" w:space="0" w:color="auto"/>
            <w:bottom w:val="dotted" w:sz="4" w:space="0" w:color="auto"/>
            <w:right w:val="dotted" w:sz="4" w:space="0" w:color="auto"/>
          </w:tcBorders>
          <w:shd w:val="clear" w:color="auto" w:fill="auto"/>
          <w:vAlign w:val="center"/>
        </w:tcPr>
        <w:p w14:paraId="4F759A65" w14:textId="77777777" w:rsidR="005F3FCF" w:rsidRPr="00BC4542" w:rsidRDefault="005F3FCF" w:rsidP="00816745">
          <w:pPr>
            <w:tabs>
              <w:tab w:val="left" w:pos="-1440"/>
              <w:tab w:val="left" w:pos="-720"/>
              <w:tab w:val="left" w:pos="720"/>
              <w:tab w:val="left" w:pos="1440"/>
              <w:tab w:val="left" w:pos="2160"/>
              <w:tab w:val="left" w:pos="2880"/>
              <w:tab w:val="left" w:pos="3600"/>
              <w:tab w:val="left" w:pos="4704"/>
              <w:tab w:val="left" w:pos="5284"/>
              <w:tab w:val="left" w:pos="7625"/>
            </w:tabs>
            <w:suppressAutoHyphens/>
            <w:ind w:right="432"/>
            <w:jc w:val="center"/>
            <w:rPr>
              <w:rFonts w:asciiTheme="minorHAnsi" w:hAnsiTheme="minorHAnsi" w:cstheme="minorHAnsi"/>
              <w:b/>
              <w:color w:val="404040" w:themeColor="text1" w:themeTint="BF"/>
              <w:szCs w:val="20"/>
              <w:highlight w:val="yellow"/>
            </w:rPr>
          </w:pPr>
          <w:r>
            <w:rPr>
              <w:rFonts w:asciiTheme="minorHAnsi" w:hAnsiTheme="minorHAnsi" w:cstheme="minorHAnsi"/>
              <w:b/>
              <w:color w:val="404040" w:themeColor="text1" w:themeTint="BF"/>
              <w:szCs w:val="20"/>
            </w:rPr>
            <w:t>$5,272,037</w:t>
          </w:r>
        </w:p>
      </w:tc>
    </w:tr>
  </w:tbl>
  <w:p w14:paraId="3B480036" w14:textId="77777777" w:rsidR="005F3FCF" w:rsidRPr="00C83460" w:rsidRDefault="005F3FCF" w:rsidP="005068B5">
    <w:pPr>
      <w:pStyle w:val="Title"/>
      <w:spacing w:after="120"/>
      <w:ind w:left="360" w:right="360"/>
      <w:jc w:val="left"/>
      <w:rPr>
        <w:rFonts w:ascii="Gotham Book" w:hAnsi="Gotham Book"/>
        <w:color w:val="FF0000"/>
        <w:sz w:val="20"/>
        <w:szCs w:val="20"/>
      </w:rPr>
    </w:pPr>
  </w:p>
  <w:p w14:paraId="543CF341" w14:textId="77777777" w:rsidR="005F3FCF" w:rsidRPr="00C83460" w:rsidRDefault="005F3FCF" w:rsidP="005068B5">
    <w:pPr>
      <w:spacing w:line="360" w:lineRule="auto"/>
      <w:ind w:right="360"/>
      <w:rPr>
        <w:rFonts w:asciiTheme="minorHAnsi" w:hAnsiTheme="minorHAnsi" w:cstheme="minorHAnsi"/>
        <w:color w:val="404040" w:themeColor="text1" w:themeTint="BF"/>
        <w:szCs w:val="20"/>
      </w:rPr>
    </w:pPr>
  </w:p>
  <w:p w14:paraId="414CE412" w14:textId="77777777" w:rsidR="005F3FCF" w:rsidRPr="00C83460" w:rsidRDefault="005F3FCF" w:rsidP="005068B5">
    <w:pPr>
      <w:ind w:left="360" w:right="360"/>
      <w:rPr>
        <w:rFonts w:ascii="Arial" w:hAnsi="Arial" w:cs="Arial"/>
        <w:color w:val="FF0000"/>
        <w:sz w:val="22"/>
        <w:szCs w:val="22"/>
        <w:u w:val="single"/>
      </w:rPr>
    </w:pPr>
  </w:p>
  <w:p w14:paraId="3DD6701D" w14:textId="77777777" w:rsidR="005F3FCF" w:rsidRPr="00C83460" w:rsidRDefault="005F3FCF" w:rsidP="005068B5">
    <w:pPr>
      <w:spacing w:line="276" w:lineRule="auto"/>
      <w:ind w:right="360"/>
      <w:rPr>
        <w:rFonts w:asciiTheme="minorHAnsi" w:hAnsiTheme="minorHAnsi" w:cstheme="minorHAnsi"/>
        <w:i/>
        <w:color w:val="FF0000"/>
        <w:sz w:val="18"/>
        <w:szCs w:val="18"/>
      </w:rPr>
    </w:pPr>
    <w:r w:rsidRPr="00C83460">
      <w:rPr>
        <w:rFonts w:ascii="Arial" w:hAnsi="Arial" w:cs="Arial"/>
        <w:color w:val="FF0000"/>
        <w:sz w:val="22"/>
        <w:szCs w:val="22"/>
        <w:u w:val="single"/>
      </w:rPr>
      <w:br w:type="page"/>
    </w:r>
    <w:r w:rsidRPr="009629AD">
      <w:rPr>
        <w:rFonts w:asciiTheme="minorHAnsi" w:hAnsiTheme="minorHAnsi" w:cstheme="minorHAnsi"/>
        <w:b/>
        <w:color w:val="1F497D" w:themeColor="text2"/>
        <w:sz w:val="24"/>
      </w:rPr>
      <w:t xml:space="preserve">CR-05 ASSESSMENT OF GOALS AND OBJECTIVES </w:t>
    </w:r>
    <w:r w:rsidRPr="009629AD">
      <w:rPr>
        <w:rFonts w:asciiTheme="minorHAnsi" w:hAnsiTheme="minorHAnsi" w:cstheme="minorHAnsi"/>
        <w:i/>
        <w:color w:val="1F497D" w:themeColor="text2"/>
        <w:sz w:val="18"/>
        <w:szCs w:val="18"/>
      </w:rPr>
      <w:t>– 91.520(a), 91.520(g)</w:t>
    </w:r>
  </w:p>
  <w:p w14:paraId="6697DFC0" w14:textId="77777777" w:rsidR="005F3FCF" w:rsidRPr="00C83460" w:rsidRDefault="005F3FCF" w:rsidP="005068B5">
    <w:pPr>
      <w:spacing w:line="276" w:lineRule="auto"/>
      <w:ind w:right="360"/>
      <w:rPr>
        <w:rFonts w:asciiTheme="minorHAnsi" w:hAnsiTheme="minorHAnsi" w:cstheme="minorHAnsi"/>
        <w:color w:val="FF0000"/>
        <w:szCs w:val="20"/>
      </w:rPr>
    </w:pPr>
  </w:p>
  <w:p w14:paraId="6B6FB312" w14:textId="77777777" w:rsidR="005F3FCF" w:rsidRPr="006060B0" w:rsidRDefault="005F3FCF" w:rsidP="005068B5">
    <w:pPr>
      <w:spacing w:line="276" w:lineRule="auto"/>
      <w:ind w:right="360"/>
      <w:rPr>
        <w:rFonts w:asciiTheme="minorHAnsi" w:hAnsiTheme="minorHAnsi" w:cstheme="minorHAnsi"/>
        <w:b/>
        <w:color w:val="404040" w:themeColor="text1" w:themeTint="BF"/>
        <w:szCs w:val="20"/>
      </w:rPr>
    </w:pPr>
    <w:r w:rsidRPr="006060B0">
      <w:rPr>
        <w:rFonts w:asciiTheme="minorHAnsi" w:hAnsiTheme="minorHAnsi" w:cstheme="minorHAnsi"/>
        <w:b/>
        <w:color w:val="404040" w:themeColor="text1" w:themeTint="BF"/>
        <w:szCs w:val="20"/>
      </w:rPr>
      <w:t>Progress Salt Lake City has made in carrying out its strategic plan and action plan. (91.520(a))</w:t>
    </w:r>
  </w:p>
  <w:p w14:paraId="3735B014" w14:textId="77777777" w:rsidR="005F3FCF" w:rsidRPr="006060B0" w:rsidRDefault="005F3FCF" w:rsidP="005068B5">
    <w:pPr>
      <w:spacing w:line="276" w:lineRule="auto"/>
      <w:ind w:right="360"/>
      <w:rPr>
        <w:rFonts w:asciiTheme="minorHAnsi" w:hAnsiTheme="minorHAnsi" w:cstheme="minorHAnsi"/>
        <w:i/>
        <w:color w:val="404040" w:themeColor="text1" w:themeTint="BF"/>
        <w:sz w:val="18"/>
        <w:szCs w:val="18"/>
      </w:rPr>
    </w:pPr>
    <w:r w:rsidRPr="006060B0">
      <w:rPr>
        <w:rFonts w:asciiTheme="minorHAnsi" w:hAnsiTheme="minorHAnsi" w:cstheme="minorHAnsi"/>
        <w:i/>
        <w:color w:val="404040" w:themeColor="text1" w:themeTint="BF"/>
        <w:sz w:val="18"/>
        <w:szCs w:val="18"/>
      </w:rPr>
      <w:t>This could be an overview that includes major initiatives and highlights that were proposed and executed throughout the program year.</w:t>
    </w:r>
  </w:p>
  <w:p w14:paraId="21B0B088" w14:textId="77777777" w:rsidR="005F3FCF" w:rsidRDefault="005F3FCF" w:rsidP="005068B5">
    <w:pPr>
      <w:spacing w:line="276" w:lineRule="auto"/>
      <w:ind w:right="360"/>
      <w:rPr>
        <w:rFonts w:asciiTheme="minorHAnsi" w:hAnsiTheme="minorHAnsi" w:cstheme="minorHAnsi"/>
        <w:b/>
        <w:color w:val="404040" w:themeColor="text1" w:themeTint="BF"/>
        <w:szCs w:val="20"/>
      </w:rPr>
    </w:pPr>
  </w:p>
  <w:p w14:paraId="12710CE7" w14:textId="77777777" w:rsidR="005F3FCF" w:rsidRPr="00BA7F25" w:rsidRDefault="005F3FCF" w:rsidP="0020194F">
    <w:pPr>
      <w:spacing w:line="360" w:lineRule="auto"/>
      <w:ind w:right="360"/>
      <w:rPr>
        <w:rFonts w:asciiTheme="minorHAnsi" w:hAnsiTheme="minorHAnsi" w:cstheme="minorHAnsi"/>
        <w:color w:val="404040" w:themeColor="text1" w:themeTint="BF"/>
        <w:szCs w:val="20"/>
      </w:rPr>
    </w:pPr>
    <w:r w:rsidRPr="00BA7F25">
      <w:rPr>
        <w:rFonts w:asciiTheme="minorHAnsi" w:hAnsiTheme="minorHAnsi" w:cstheme="minorHAnsi"/>
        <w:color w:val="404040" w:themeColor="text1" w:themeTint="BF"/>
        <w:szCs w:val="20"/>
      </w:rPr>
      <w:t xml:space="preserve">The priorities and goals as outlined in Salt Lake City's 2015-2019 Consolidated Plan served as the </w:t>
    </w:r>
    <w:r>
      <w:rPr>
        <w:rFonts w:asciiTheme="minorHAnsi" w:hAnsiTheme="minorHAnsi" w:cstheme="minorHAnsi"/>
        <w:color w:val="404040" w:themeColor="text1" w:themeTint="BF"/>
        <w:szCs w:val="20"/>
      </w:rPr>
      <w:t>foundation for program year 2017-2018</w:t>
    </w:r>
    <w:r w:rsidRPr="00BA7F25">
      <w:rPr>
        <w:rFonts w:asciiTheme="minorHAnsi" w:hAnsiTheme="minorHAnsi" w:cstheme="minorHAnsi"/>
        <w:color w:val="404040" w:themeColor="text1" w:themeTint="BF"/>
        <w:szCs w:val="20"/>
      </w:rPr>
      <w:t xml:space="preserve"> projects and activities. The Consolidated Plan encourages capacity in neighborhoods with concentrated poverty and supports at-risk populations by promoting goals that increase access to housing, education, health, transportation and economic development. Many projects and activities that were undertaken this year were done within a specific geographical area, which allowed us to leverage other funding sources. This overall strategic alignment has yielded positive results and created new partnerships within the community. The overarching priorities and</w:t>
    </w:r>
    <w:r>
      <w:rPr>
        <w:rFonts w:asciiTheme="minorHAnsi" w:hAnsiTheme="minorHAnsi" w:cstheme="minorHAnsi"/>
        <w:color w:val="404040" w:themeColor="text1" w:themeTint="BF"/>
        <w:szCs w:val="20"/>
      </w:rPr>
      <w:t xml:space="preserve"> goals addressed during the 2017-18</w:t>
    </w:r>
    <w:r w:rsidRPr="00BA7F25">
      <w:rPr>
        <w:rFonts w:asciiTheme="minorHAnsi" w:hAnsiTheme="minorHAnsi" w:cstheme="minorHAnsi"/>
        <w:color w:val="404040" w:themeColor="text1" w:themeTint="BF"/>
        <w:szCs w:val="20"/>
      </w:rPr>
      <w:t xml:space="preserve"> program year are as follows</w:t>
    </w:r>
    <w:r>
      <w:rPr>
        <w:rFonts w:asciiTheme="minorHAnsi" w:hAnsiTheme="minorHAnsi" w:cstheme="minorHAnsi"/>
        <w:color w:val="404040" w:themeColor="text1" w:themeTint="BF"/>
        <w:szCs w:val="20"/>
      </w:rPr>
      <w:t>:</w:t>
    </w:r>
  </w:p>
  <w:p w14:paraId="1608B5F0" w14:textId="77777777" w:rsidR="005F3FCF" w:rsidRPr="00BA7F25" w:rsidRDefault="005F3FCF" w:rsidP="0020194F">
    <w:pPr>
      <w:spacing w:line="360" w:lineRule="auto"/>
      <w:rPr>
        <w:rFonts w:asciiTheme="minorHAnsi" w:hAnsiTheme="minorHAnsi" w:cstheme="minorHAnsi"/>
        <w:color w:val="404040" w:themeColor="text1" w:themeTint="BF"/>
        <w:szCs w:val="20"/>
      </w:rPr>
    </w:pPr>
  </w:p>
  <w:p w14:paraId="67387E9E" w14:textId="77777777" w:rsidR="005F3FCF" w:rsidRPr="00BA7F25" w:rsidRDefault="005F3FCF" w:rsidP="0020194F">
    <w:pPr>
      <w:pStyle w:val="ListParagraph"/>
      <w:numPr>
        <w:ilvl w:val="0"/>
        <w:numId w:val="28"/>
      </w:numPr>
      <w:spacing w:line="360" w:lineRule="auto"/>
      <w:rPr>
        <w:rFonts w:asciiTheme="minorHAnsi" w:hAnsiTheme="minorHAnsi" w:cstheme="minorHAnsi"/>
        <w:color w:val="404040" w:themeColor="text1" w:themeTint="BF"/>
        <w:szCs w:val="20"/>
      </w:rPr>
    </w:pPr>
    <w:r w:rsidRPr="00BA7F25">
      <w:rPr>
        <w:rFonts w:asciiTheme="minorHAnsi" w:hAnsiTheme="minorHAnsi" w:cstheme="minorHAnsi"/>
        <w:color w:val="404040" w:themeColor="text1" w:themeTint="BF"/>
        <w:szCs w:val="20"/>
      </w:rPr>
      <w:t>Housing: Provide housing options for all economic and demographic segments of Salt Lake City's population while diversifying the housing stock within neighborhoods.</w:t>
    </w:r>
  </w:p>
  <w:p w14:paraId="7D5E69B5" w14:textId="77777777" w:rsidR="005F3FCF" w:rsidRPr="00BA7F25" w:rsidRDefault="005F3FCF" w:rsidP="0020194F">
    <w:pPr>
      <w:pStyle w:val="ListParagraph"/>
      <w:numPr>
        <w:ilvl w:val="0"/>
        <w:numId w:val="28"/>
      </w:numPr>
      <w:spacing w:line="360" w:lineRule="auto"/>
      <w:rPr>
        <w:rFonts w:asciiTheme="minorHAnsi" w:hAnsiTheme="minorHAnsi" w:cstheme="minorHAnsi"/>
        <w:color w:val="404040" w:themeColor="text1" w:themeTint="BF"/>
        <w:szCs w:val="20"/>
      </w:rPr>
    </w:pPr>
    <w:r w:rsidRPr="00BA7F25">
      <w:rPr>
        <w:rFonts w:asciiTheme="minorHAnsi" w:hAnsiTheme="minorHAnsi" w:cstheme="minorHAnsi"/>
        <w:color w:val="404040" w:themeColor="text1" w:themeTint="BF"/>
        <w:szCs w:val="20"/>
      </w:rPr>
      <w:t>Education: Promote educational opportunities, with focus on reducing intergenerational poverty.</w:t>
    </w:r>
  </w:p>
  <w:p w14:paraId="2A0A3DB1" w14:textId="77777777" w:rsidR="005F3FCF" w:rsidRPr="00BA7F25" w:rsidRDefault="005F3FCF" w:rsidP="0020194F">
    <w:pPr>
      <w:pStyle w:val="ListParagraph"/>
      <w:numPr>
        <w:ilvl w:val="0"/>
        <w:numId w:val="28"/>
      </w:numPr>
      <w:spacing w:line="360" w:lineRule="auto"/>
      <w:rPr>
        <w:rFonts w:asciiTheme="minorHAnsi" w:hAnsiTheme="minorHAnsi" w:cstheme="minorHAnsi"/>
        <w:color w:val="404040" w:themeColor="text1" w:themeTint="BF"/>
        <w:szCs w:val="20"/>
      </w:rPr>
    </w:pPr>
    <w:r w:rsidRPr="00BA7F25">
      <w:rPr>
        <w:rFonts w:asciiTheme="minorHAnsi" w:hAnsiTheme="minorHAnsi" w:cstheme="minorHAnsi"/>
        <w:color w:val="404040" w:themeColor="text1" w:themeTint="BF"/>
        <w:szCs w:val="20"/>
      </w:rPr>
      <w:t>Health: Promote access to affordable healthcare, fresh foods, and safe living environments.</w:t>
    </w:r>
  </w:p>
  <w:p w14:paraId="65ED695E" w14:textId="77777777" w:rsidR="005F3FCF" w:rsidRPr="00BA7F25" w:rsidRDefault="005F3FCF" w:rsidP="0020194F">
    <w:pPr>
      <w:pStyle w:val="ListParagraph"/>
      <w:numPr>
        <w:ilvl w:val="0"/>
        <w:numId w:val="28"/>
      </w:numPr>
      <w:spacing w:line="360" w:lineRule="auto"/>
      <w:rPr>
        <w:rFonts w:asciiTheme="minorHAnsi" w:hAnsiTheme="minorHAnsi" w:cstheme="minorHAnsi"/>
        <w:color w:val="404040" w:themeColor="text1" w:themeTint="BF"/>
        <w:szCs w:val="20"/>
      </w:rPr>
    </w:pPr>
    <w:r w:rsidRPr="00BA7F25">
      <w:rPr>
        <w:rFonts w:asciiTheme="minorHAnsi" w:hAnsiTheme="minorHAnsi" w:cstheme="minorHAnsi"/>
        <w:color w:val="404040" w:themeColor="text1" w:themeTint="BF"/>
        <w:szCs w:val="20"/>
      </w:rPr>
      <w:t>Transportation: Promote accessibility and affordability of multimodal transportation.</w:t>
    </w:r>
  </w:p>
  <w:p w14:paraId="5FF03295" w14:textId="77777777" w:rsidR="005F3FCF" w:rsidRPr="00BA7F25" w:rsidRDefault="005F3FCF" w:rsidP="0020194F">
    <w:pPr>
      <w:pStyle w:val="ListParagraph"/>
      <w:numPr>
        <w:ilvl w:val="0"/>
        <w:numId w:val="28"/>
      </w:numPr>
      <w:spacing w:line="360" w:lineRule="auto"/>
      <w:rPr>
        <w:rFonts w:asciiTheme="minorHAnsi" w:hAnsiTheme="minorHAnsi" w:cstheme="minorHAnsi"/>
        <w:color w:val="404040" w:themeColor="text1" w:themeTint="BF"/>
        <w:szCs w:val="20"/>
      </w:rPr>
    </w:pPr>
    <w:r w:rsidRPr="00BA7F25">
      <w:rPr>
        <w:rFonts w:asciiTheme="minorHAnsi" w:hAnsiTheme="minorHAnsi" w:cstheme="minorHAnsi"/>
        <w:color w:val="404040" w:themeColor="text1" w:themeTint="BF"/>
        <w:szCs w:val="20"/>
      </w:rPr>
      <w:t>Economic Development: Expand access to economic mobility and vibrant neighborhood business nodes.</w:t>
    </w:r>
  </w:p>
  <w:p w14:paraId="1CD16C80" w14:textId="77777777" w:rsidR="005F3FCF" w:rsidRDefault="005F3FCF" w:rsidP="0020194F">
    <w:pPr>
      <w:spacing w:line="360" w:lineRule="auto"/>
      <w:rPr>
        <w:rFonts w:asciiTheme="minorHAnsi" w:hAnsiTheme="minorHAnsi" w:cstheme="minorHAnsi"/>
        <w:color w:val="404040" w:themeColor="text1" w:themeTint="BF"/>
        <w:szCs w:val="20"/>
      </w:rPr>
    </w:pPr>
  </w:p>
  <w:p w14:paraId="293C3355" w14:textId="77777777" w:rsidR="005F3FCF" w:rsidRDefault="005F3FCF" w:rsidP="0020194F">
    <w:pPr>
      <w:spacing w:line="336" w:lineRule="auto"/>
      <w:rPr>
        <w:rFonts w:asciiTheme="minorHAnsi" w:hAnsiTheme="minorHAnsi" w:cstheme="minorHAnsi"/>
        <w:color w:val="404040" w:themeColor="text1" w:themeTint="BF"/>
        <w:szCs w:val="20"/>
      </w:rPr>
    </w:pPr>
    <w:r w:rsidRPr="00AC6799">
      <w:rPr>
        <w:rFonts w:asciiTheme="minorHAnsi" w:hAnsiTheme="minorHAnsi" w:cstheme="minorHAnsi"/>
        <w:color w:val="404040" w:themeColor="text1" w:themeTint="BF"/>
        <w:szCs w:val="20"/>
      </w:rPr>
      <w:t>HAND is working to leverage added investment Salt Lake City’s Redevelopment Agency, which committed $17 million from its budget to be designated for affordable housing throughout the city, and an additional $4 million specifically for housing on the east side of the city in neighborhoods of high opportunity. HAND is working closely with RDA to structure this additional funding.</w:t>
    </w:r>
  </w:p>
  <w:p w14:paraId="058A0CA3" w14:textId="77777777" w:rsidR="005F3FCF" w:rsidRDefault="005F3FCF" w:rsidP="0020194F">
    <w:pPr>
      <w:spacing w:line="336" w:lineRule="auto"/>
      <w:rPr>
        <w:rFonts w:asciiTheme="minorHAnsi" w:hAnsiTheme="minorHAnsi" w:cstheme="minorHAnsi"/>
        <w:color w:val="404040" w:themeColor="text1" w:themeTint="BF"/>
        <w:szCs w:val="20"/>
      </w:rPr>
    </w:pPr>
  </w:p>
  <w:p w14:paraId="1C138B01" w14:textId="77777777" w:rsidR="005F3FCF" w:rsidRPr="00BC4542" w:rsidRDefault="005F3FCF" w:rsidP="0020194F">
    <w:pPr>
      <w:spacing w:line="336" w:lineRule="auto"/>
      <w:rPr>
        <w:rFonts w:asciiTheme="minorHAnsi" w:hAnsiTheme="minorHAnsi" w:cstheme="minorHAnsi"/>
        <w:color w:val="404040" w:themeColor="text1" w:themeTint="BF"/>
        <w:szCs w:val="20"/>
      </w:rPr>
    </w:pPr>
    <w:r>
      <w:rPr>
        <w:rFonts w:asciiTheme="minorHAnsi" w:hAnsiTheme="minorHAnsi" w:cstheme="minorHAnsi"/>
        <w:color w:val="404040" w:themeColor="text1" w:themeTint="BF"/>
        <w:szCs w:val="20"/>
      </w:rPr>
      <w:t xml:space="preserve">Salt Lake City Council recently passed a sales tax increase to fund several efforts in the City. A portion of this increased revenue will be leveraged by HAND to help increase affordable housing opportunities within the City. It is estimated that HAND will have an additional annual amount of $5.2 million in funding for these efforts. </w:t>
    </w:r>
  </w:p>
  <w:p w14:paraId="34C86B46" w14:textId="77777777" w:rsidR="005F3FCF" w:rsidRPr="00BC4542" w:rsidRDefault="005F3FCF" w:rsidP="0020194F">
    <w:pPr>
      <w:spacing w:line="336" w:lineRule="auto"/>
      <w:rPr>
        <w:rFonts w:ascii="Gotham Book" w:hAnsi="Gotham Book"/>
        <w:color w:val="404040" w:themeColor="text1" w:themeTint="BF"/>
        <w:sz w:val="18"/>
        <w:szCs w:val="18"/>
      </w:rPr>
    </w:pPr>
  </w:p>
  <w:p w14:paraId="07C821F8" w14:textId="77777777" w:rsidR="005F3FCF" w:rsidRPr="00BC4542" w:rsidRDefault="005F3FCF" w:rsidP="0020194F">
    <w:pPr>
      <w:spacing w:line="336" w:lineRule="auto"/>
      <w:rPr>
        <w:rFonts w:asciiTheme="minorHAnsi" w:hAnsiTheme="minorHAnsi" w:cstheme="minorHAnsi"/>
        <w:color w:val="404040" w:themeColor="text1" w:themeTint="BF"/>
        <w:szCs w:val="20"/>
      </w:rPr>
    </w:pPr>
    <w:r>
      <w:rPr>
        <w:rFonts w:asciiTheme="minorHAnsi" w:hAnsiTheme="minorHAnsi" w:cstheme="minorHAnsi"/>
        <w:color w:val="404040" w:themeColor="text1" w:themeTint="BF"/>
        <w:szCs w:val="20"/>
      </w:rPr>
      <w:t>HAND</w:t>
    </w:r>
    <w:r w:rsidRPr="00BC4542">
      <w:rPr>
        <w:rFonts w:asciiTheme="minorHAnsi" w:hAnsiTheme="minorHAnsi" w:cstheme="minorHAnsi"/>
        <w:color w:val="404040" w:themeColor="text1" w:themeTint="BF"/>
        <w:szCs w:val="20"/>
      </w:rPr>
      <w:t xml:space="preserve"> drafted</w:t>
    </w:r>
    <w:r>
      <w:rPr>
        <w:rFonts w:asciiTheme="minorHAnsi" w:hAnsiTheme="minorHAnsi" w:cstheme="minorHAnsi"/>
        <w:color w:val="404040" w:themeColor="text1" w:themeTint="BF"/>
        <w:szCs w:val="20"/>
      </w:rPr>
      <w:t xml:space="preserve"> and Council approved</w:t>
    </w:r>
    <w:r w:rsidRPr="00BC4542">
      <w:rPr>
        <w:rFonts w:asciiTheme="minorHAnsi" w:hAnsiTheme="minorHAnsi" w:cstheme="minorHAnsi"/>
        <w:color w:val="404040" w:themeColor="text1" w:themeTint="BF"/>
        <w:szCs w:val="20"/>
      </w:rPr>
      <w:t xml:space="preserve"> a new citywide housing master plan, Growing SLC, which provides a framework and strategy to increase both the total housing stock available in the city and the availability of affordable housing units through new development, acquisition, and p</w:t>
    </w:r>
    <w:r>
      <w:rPr>
        <w:rFonts w:asciiTheme="minorHAnsi" w:hAnsiTheme="minorHAnsi" w:cstheme="minorHAnsi"/>
        <w:color w:val="404040" w:themeColor="text1" w:themeTint="BF"/>
        <w:szCs w:val="20"/>
      </w:rPr>
      <w:t>reservation. Growing SLC relied</w:t>
    </w:r>
    <w:r w:rsidRPr="00BC4542">
      <w:rPr>
        <w:rFonts w:asciiTheme="minorHAnsi" w:hAnsiTheme="minorHAnsi" w:cstheme="minorHAnsi"/>
        <w:color w:val="404040" w:themeColor="text1" w:themeTint="BF"/>
        <w:szCs w:val="20"/>
      </w:rPr>
      <w:t xml:space="preserve"> on a robust public outreach effort and the detailed research conducted over the last several years that has also guided the City’s federal funding allocations. </w:t>
    </w:r>
  </w:p>
  <w:p w14:paraId="23CBC9CA" w14:textId="77777777" w:rsidR="005F3FCF" w:rsidRDefault="005F3FCF" w:rsidP="005068B5">
    <w:pPr>
      <w:spacing w:line="360" w:lineRule="auto"/>
      <w:ind w:right="360"/>
      <w:rPr>
        <w:rFonts w:asciiTheme="minorHAnsi" w:hAnsiTheme="minorHAnsi" w:cstheme="minorHAnsi"/>
        <w:color w:val="404040" w:themeColor="text1" w:themeTint="BF"/>
        <w:szCs w:val="20"/>
      </w:rPr>
    </w:pPr>
  </w:p>
  <w:p w14:paraId="5C0901AE" w14:textId="77777777" w:rsidR="005F3FCF" w:rsidRDefault="005F3FCF" w:rsidP="005068B5">
    <w:pPr>
      <w:spacing w:line="360" w:lineRule="auto"/>
      <w:ind w:right="360"/>
      <w:rPr>
        <w:rFonts w:asciiTheme="minorHAnsi" w:hAnsiTheme="minorHAnsi" w:cstheme="minorHAnsi"/>
        <w:color w:val="404040" w:themeColor="text1" w:themeTint="BF"/>
        <w:szCs w:val="20"/>
      </w:rPr>
    </w:pPr>
  </w:p>
  <w:p w14:paraId="60924BFF" w14:textId="77777777" w:rsidR="005F3FCF" w:rsidRDefault="005F3FCF" w:rsidP="005068B5">
    <w:pPr>
      <w:spacing w:line="360" w:lineRule="auto"/>
      <w:ind w:right="360"/>
      <w:rPr>
        <w:rFonts w:asciiTheme="minorHAnsi" w:hAnsiTheme="minorHAnsi" w:cstheme="minorHAnsi"/>
        <w:color w:val="404040" w:themeColor="text1" w:themeTint="BF"/>
        <w:szCs w:val="20"/>
      </w:rPr>
    </w:pPr>
    <w:r w:rsidRPr="00B516E3">
      <w:rPr>
        <w:rFonts w:asciiTheme="minorHAnsi" w:hAnsiTheme="minorHAnsi" w:cstheme="minorHAnsi"/>
        <w:color w:val="404040" w:themeColor="text1" w:themeTint="BF"/>
        <w:szCs w:val="20"/>
      </w:rPr>
      <w:t>The Blue Ribbon Housing Commission</w:t>
    </w:r>
    <w:r>
      <w:rPr>
        <w:rFonts w:asciiTheme="minorHAnsi" w:hAnsiTheme="minorHAnsi" w:cstheme="minorHAnsi"/>
        <w:color w:val="404040" w:themeColor="text1" w:themeTint="BF"/>
        <w:szCs w:val="20"/>
      </w:rPr>
      <w:t xml:space="preserve"> (BRC)</w:t>
    </w:r>
    <w:r w:rsidRPr="00B516E3">
      <w:rPr>
        <w:rFonts w:asciiTheme="minorHAnsi" w:hAnsiTheme="minorHAnsi" w:cstheme="minorHAnsi"/>
        <w:color w:val="404040" w:themeColor="text1" w:themeTint="BF"/>
        <w:szCs w:val="20"/>
      </w:rPr>
      <w:t xml:space="preserve"> is a body o</w:t>
    </w:r>
    <w:r>
      <w:rPr>
        <w:rFonts w:asciiTheme="minorHAnsi" w:hAnsiTheme="minorHAnsi" w:cstheme="minorHAnsi"/>
        <w:color w:val="404040" w:themeColor="text1" w:themeTint="BF"/>
        <w:szCs w:val="20"/>
      </w:rPr>
      <w:t xml:space="preserve">f local developers, financiers, </w:t>
    </w:r>
    <w:r w:rsidRPr="00B516E3">
      <w:rPr>
        <w:rFonts w:asciiTheme="minorHAnsi" w:hAnsiTheme="minorHAnsi" w:cstheme="minorHAnsi"/>
        <w:color w:val="404040" w:themeColor="text1" w:themeTint="BF"/>
        <w:szCs w:val="20"/>
      </w:rPr>
      <w:t>insurers, and elected officials committed to ide</w:t>
    </w:r>
    <w:r>
      <w:rPr>
        <w:rFonts w:asciiTheme="minorHAnsi" w:hAnsiTheme="minorHAnsi" w:cstheme="minorHAnsi"/>
        <w:color w:val="404040" w:themeColor="text1" w:themeTint="BF"/>
        <w:szCs w:val="20"/>
      </w:rPr>
      <w:t xml:space="preserve">ntifying a funding strategy and </w:t>
    </w:r>
    <w:r w:rsidRPr="00B516E3">
      <w:rPr>
        <w:rFonts w:asciiTheme="minorHAnsi" w:hAnsiTheme="minorHAnsi" w:cstheme="minorHAnsi"/>
        <w:color w:val="404040" w:themeColor="text1" w:themeTint="BF"/>
        <w:szCs w:val="20"/>
      </w:rPr>
      <w:t>locations to create 1,000 new housing uni</w:t>
    </w:r>
    <w:r>
      <w:rPr>
        <w:rFonts w:asciiTheme="minorHAnsi" w:hAnsiTheme="minorHAnsi" w:cstheme="minorHAnsi"/>
        <w:color w:val="404040" w:themeColor="text1" w:themeTint="BF"/>
        <w:szCs w:val="20"/>
      </w:rPr>
      <w:t>ts by June 2019. The BRC was convened by Mayor Biskupski and has recently finished making its recommendations</w:t>
    </w:r>
    <w:r w:rsidRPr="00B516E3">
      <w:rPr>
        <w:rFonts w:asciiTheme="minorHAnsi" w:hAnsiTheme="minorHAnsi" w:cstheme="minorHAnsi"/>
        <w:color w:val="404040" w:themeColor="text1" w:themeTint="BF"/>
        <w:szCs w:val="20"/>
      </w:rPr>
      <w:t>.</w:t>
    </w:r>
    <w:r>
      <w:rPr>
        <w:rFonts w:asciiTheme="minorHAnsi" w:hAnsiTheme="minorHAnsi" w:cstheme="minorHAnsi"/>
        <w:color w:val="404040" w:themeColor="text1" w:themeTint="BF"/>
        <w:szCs w:val="20"/>
      </w:rPr>
      <w:t xml:space="preserve"> This group </w:t>
    </w:r>
    <w:r w:rsidRPr="00B516E3">
      <w:rPr>
        <w:rFonts w:asciiTheme="minorHAnsi" w:hAnsiTheme="minorHAnsi" w:cstheme="minorHAnsi"/>
        <w:color w:val="404040" w:themeColor="text1" w:themeTint="BF"/>
        <w:szCs w:val="20"/>
      </w:rPr>
      <w:t>provide</w:t>
    </w:r>
    <w:r>
      <w:rPr>
        <w:rFonts w:asciiTheme="minorHAnsi" w:hAnsiTheme="minorHAnsi" w:cstheme="minorHAnsi"/>
        <w:color w:val="404040" w:themeColor="text1" w:themeTint="BF"/>
        <w:szCs w:val="20"/>
      </w:rPr>
      <w:t>d</w:t>
    </w:r>
    <w:r w:rsidRPr="00B516E3">
      <w:rPr>
        <w:rFonts w:asciiTheme="minorHAnsi" w:hAnsiTheme="minorHAnsi" w:cstheme="minorHAnsi"/>
        <w:color w:val="404040" w:themeColor="text1" w:themeTint="BF"/>
        <w:szCs w:val="20"/>
      </w:rPr>
      <w:t xml:space="preserve"> gui</w:t>
    </w:r>
    <w:r>
      <w:rPr>
        <w:rFonts w:asciiTheme="minorHAnsi" w:hAnsiTheme="minorHAnsi" w:cstheme="minorHAnsi"/>
        <w:color w:val="404040" w:themeColor="text1" w:themeTint="BF"/>
        <w:szCs w:val="20"/>
      </w:rPr>
      <w:t xml:space="preserve">dance for implementing long-term </w:t>
    </w:r>
    <w:r w:rsidRPr="00B516E3">
      <w:rPr>
        <w:rFonts w:asciiTheme="minorHAnsi" w:hAnsiTheme="minorHAnsi" w:cstheme="minorHAnsi"/>
        <w:color w:val="404040" w:themeColor="text1" w:themeTint="BF"/>
        <w:szCs w:val="20"/>
      </w:rPr>
      <w:t>solutions to creating and preserving affordable housing in Salt Lake</w:t>
    </w:r>
    <w:r>
      <w:rPr>
        <w:rFonts w:asciiTheme="minorHAnsi" w:hAnsiTheme="minorHAnsi" w:cstheme="minorHAnsi"/>
        <w:color w:val="404040" w:themeColor="text1" w:themeTint="BF"/>
        <w:szCs w:val="20"/>
      </w:rPr>
      <w:t xml:space="preserve">. HAND </w:t>
    </w:r>
    <w:r w:rsidRPr="00B516E3">
      <w:rPr>
        <w:rFonts w:asciiTheme="minorHAnsi" w:hAnsiTheme="minorHAnsi" w:cstheme="minorHAnsi"/>
        <w:color w:val="404040" w:themeColor="text1" w:themeTint="BF"/>
        <w:szCs w:val="20"/>
      </w:rPr>
      <w:t xml:space="preserve">will </w:t>
    </w:r>
    <w:r>
      <w:rPr>
        <w:rFonts w:asciiTheme="minorHAnsi" w:hAnsiTheme="minorHAnsi" w:cstheme="minorHAnsi"/>
        <w:color w:val="404040" w:themeColor="text1" w:themeTint="BF"/>
        <w:szCs w:val="20"/>
      </w:rPr>
      <w:t xml:space="preserve">continue the </w:t>
    </w:r>
    <w:r w:rsidRPr="00B516E3">
      <w:rPr>
        <w:rFonts w:asciiTheme="minorHAnsi" w:hAnsiTheme="minorHAnsi" w:cstheme="minorHAnsi"/>
        <w:color w:val="404040" w:themeColor="text1" w:themeTint="BF"/>
        <w:szCs w:val="20"/>
      </w:rPr>
      <w:t xml:space="preserve">work </w:t>
    </w:r>
    <w:r>
      <w:rPr>
        <w:rFonts w:asciiTheme="minorHAnsi" w:hAnsiTheme="minorHAnsi" w:cstheme="minorHAnsi"/>
        <w:color w:val="404040" w:themeColor="text1" w:themeTint="BF"/>
        <w:szCs w:val="20"/>
      </w:rPr>
      <w:t xml:space="preserve">of the Commission to continue </w:t>
    </w:r>
    <w:r w:rsidRPr="00B516E3">
      <w:rPr>
        <w:rFonts w:asciiTheme="minorHAnsi" w:hAnsiTheme="minorHAnsi" w:cstheme="minorHAnsi"/>
        <w:color w:val="404040" w:themeColor="text1" w:themeTint="BF"/>
        <w:szCs w:val="20"/>
      </w:rPr>
      <w:t>implement</w:t>
    </w:r>
    <w:r>
      <w:rPr>
        <w:rFonts w:asciiTheme="minorHAnsi" w:hAnsiTheme="minorHAnsi" w:cstheme="minorHAnsi"/>
        <w:color w:val="404040" w:themeColor="text1" w:themeTint="BF"/>
        <w:szCs w:val="20"/>
      </w:rPr>
      <w:t>ing</w:t>
    </w:r>
    <w:r w:rsidRPr="00B516E3">
      <w:rPr>
        <w:rFonts w:asciiTheme="minorHAnsi" w:hAnsiTheme="minorHAnsi" w:cstheme="minorHAnsi"/>
        <w:color w:val="404040" w:themeColor="text1" w:themeTint="BF"/>
        <w:szCs w:val="20"/>
      </w:rPr>
      <w:t xml:space="preserve"> its recommendations.</w:t>
    </w:r>
    <w:r>
      <w:rPr>
        <w:rFonts w:asciiTheme="minorHAnsi" w:hAnsiTheme="minorHAnsi" w:cstheme="minorHAnsi"/>
        <w:color w:val="404040" w:themeColor="text1" w:themeTint="BF"/>
        <w:szCs w:val="20"/>
      </w:rPr>
      <w:t xml:space="preserve"> During the two years in which the BRC met, the City helped facilitate the creation of approximately 1,500 units of new affordable housing. This includes 242 units of permanent supportive housing from three separate projects.</w:t>
    </w:r>
    <w:r w:rsidRPr="00527BF5">
      <w:rPr>
        <w:rFonts w:asciiTheme="minorHAnsi" w:hAnsiTheme="minorHAnsi" w:cstheme="minorHAnsi"/>
        <w:color w:val="404040" w:themeColor="text1" w:themeTint="BF"/>
        <w:szCs w:val="20"/>
      </w:rPr>
      <w:t xml:space="preserve"> </w:t>
    </w:r>
    <w:r>
      <w:rPr>
        <w:rFonts w:asciiTheme="minorHAnsi" w:hAnsiTheme="minorHAnsi" w:cstheme="minorHAnsi"/>
        <w:color w:val="404040" w:themeColor="text1" w:themeTint="BF"/>
        <w:szCs w:val="20"/>
      </w:rPr>
      <w:t xml:space="preserve">Many of these projects remain in development.  HAND is committed to building on the progress that has already been made.  </w:t>
    </w:r>
  </w:p>
  <w:p w14:paraId="677A6308" w14:textId="77777777" w:rsidR="005F3FCF" w:rsidRDefault="005F3FCF" w:rsidP="005068B5">
    <w:pPr>
      <w:spacing w:line="360" w:lineRule="auto"/>
      <w:ind w:right="360"/>
      <w:rPr>
        <w:rFonts w:asciiTheme="minorHAnsi" w:hAnsiTheme="minorHAnsi" w:cstheme="minorHAnsi"/>
        <w:color w:val="404040" w:themeColor="text1" w:themeTint="BF"/>
        <w:szCs w:val="20"/>
      </w:rPr>
    </w:pPr>
  </w:p>
  <w:p w14:paraId="5D360B3D" w14:textId="77777777" w:rsidR="005F3FCF" w:rsidRPr="006060B0" w:rsidRDefault="005F3FCF" w:rsidP="005068B5">
    <w:pPr>
      <w:spacing w:line="276" w:lineRule="auto"/>
      <w:ind w:right="360"/>
      <w:rPr>
        <w:rFonts w:asciiTheme="minorHAnsi" w:hAnsiTheme="minorHAnsi" w:cstheme="minorHAnsi"/>
        <w:b/>
        <w:color w:val="404040" w:themeColor="text1" w:themeTint="BF"/>
        <w:szCs w:val="20"/>
      </w:rPr>
    </w:pPr>
    <w:r w:rsidRPr="006060B0">
      <w:rPr>
        <w:rFonts w:asciiTheme="minorHAnsi" w:hAnsiTheme="minorHAnsi" w:cstheme="minorHAnsi"/>
        <w:b/>
        <w:color w:val="404040" w:themeColor="text1" w:themeTint="BF"/>
        <w:szCs w:val="20"/>
      </w:rPr>
      <w:t>Comparison of the proposed vs the actual outcomes for each outcome measure submitted with the Consolidated Plan and explain, if applicable, why progress was not made toward meeting goals and objectives (91.520 (g))</w:t>
    </w:r>
  </w:p>
  <w:p w14:paraId="7D59FB1F" w14:textId="77777777" w:rsidR="005F3FCF" w:rsidRPr="00C35F2F" w:rsidRDefault="005F3FCF" w:rsidP="005068B5">
    <w:pPr>
      <w:keepNext/>
      <w:widowControl w:val="0"/>
      <w:rPr>
        <w:rFonts w:asciiTheme="minorHAnsi" w:hAnsiTheme="minorHAnsi"/>
        <w:i/>
        <w:color w:val="404040" w:themeColor="text1" w:themeTint="BF"/>
        <w:sz w:val="18"/>
        <w:szCs w:val="18"/>
      </w:rPr>
    </w:pPr>
    <w:r w:rsidRPr="00C35F2F">
      <w:rPr>
        <w:rFonts w:asciiTheme="minorHAnsi" w:hAnsiTheme="minorHAnsi"/>
        <w:i/>
        <w:color w:val="404040" w:themeColor="text1" w:themeTint="BF"/>
        <w:sz w:val="18"/>
        <w:szCs w:val="18"/>
      </w:rPr>
      <w:t>Categories, priority levels, funding sources and amounts, outcomes/objectives, goal outcome indicators, units of measure, targets, actual outcomes/outputs, and perce</w:t>
    </w:r>
    <w:r>
      <w:rPr>
        <w:rFonts w:asciiTheme="minorHAnsi" w:hAnsiTheme="minorHAnsi"/>
        <w:i/>
        <w:color w:val="404040" w:themeColor="text1" w:themeTint="BF"/>
        <w:sz w:val="18"/>
        <w:szCs w:val="18"/>
      </w:rPr>
      <w:t xml:space="preserve">ntage completed for each of Salt Lake City’s </w:t>
    </w:r>
    <w:r w:rsidRPr="00C35F2F">
      <w:rPr>
        <w:rFonts w:asciiTheme="minorHAnsi" w:hAnsiTheme="minorHAnsi"/>
        <w:i/>
        <w:color w:val="404040" w:themeColor="text1" w:themeTint="BF"/>
        <w:sz w:val="18"/>
        <w:szCs w:val="18"/>
      </w:rPr>
      <w:t>program year goals.</w:t>
    </w:r>
  </w:p>
  <w:p w14:paraId="0003DDE9" w14:textId="77777777" w:rsidR="005F3FCF" w:rsidRDefault="005F3FCF" w:rsidP="005068B5">
    <w:pPr>
      <w:spacing w:line="276" w:lineRule="auto"/>
      <w:ind w:right="360"/>
      <w:rPr>
        <w:rFonts w:asciiTheme="minorHAnsi" w:hAnsiTheme="minorHAnsi" w:cstheme="minorHAnsi"/>
        <w:b/>
        <w:color w:val="FF0000"/>
        <w:szCs w:val="20"/>
      </w:rPr>
    </w:pPr>
  </w:p>
  <w:p w14:paraId="2F64DAAF" w14:textId="77777777" w:rsidR="005F3FCF" w:rsidRDefault="005F3FCF" w:rsidP="005068B5">
    <w:pPr>
      <w:spacing w:line="276" w:lineRule="auto"/>
      <w:ind w:right="360"/>
      <w:rPr>
        <w:rFonts w:asciiTheme="minorHAnsi" w:hAnsiTheme="minorHAnsi" w:cstheme="minorHAnsi"/>
        <w:b/>
        <w:color w:val="404040" w:themeColor="text1" w:themeTint="BF"/>
        <w:szCs w:val="20"/>
      </w:rPr>
    </w:pPr>
    <w:r w:rsidRPr="004E77EA">
      <w:rPr>
        <w:rFonts w:asciiTheme="minorHAnsi" w:hAnsiTheme="minorHAnsi" w:cstheme="minorHAnsi"/>
        <w:b/>
        <w:color w:val="404040" w:themeColor="text1" w:themeTint="BF"/>
        <w:szCs w:val="20"/>
      </w:rPr>
      <w:t>Table 1- Goals and Outcomes</w:t>
    </w:r>
  </w:p>
  <w:tbl>
    <w:tblPr>
      <w:tblW w:w="10662" w:type="dxa"/>
      <w:tblInd w:w="-460" w:type="dxa"/>
      <w:tblLook w:val="04A0" w:firstRow="1" w:lastRow="0" w:firstColumn="1" w:lastColumn="0" w:noHBand="0" w:noVBand="1"/>
    </w:tblPr>
    <w:tblGrid>
      <w:gridCol w:w="2251"/>
      <w:gridCol w:w="662"/>
      <w:gridCol w:w="621"/>
      <w:gridCol w:w="2074"/>
      <w:gridCol w:w="788"/>
      <w:gridCol w:w="763"/>
      <w:gridCol w:w="763"/>
      <w:gridCol w:w="698"/>
      <w:gridCol w:w="672"/>
      <w:gridCol w:w="672"/>
      <w:gridCol w:w="698"/>
    </w:tblGrid>
    <w:tr w:rsidR="005F3FCF" w:rsidRPr="009605B2" w14:paraId="5D6B330B" w14:textId="77777777" w:rsidTr="005F3FCF">
      <w:trPr>
        <w:trHeight w:val="294"/>
      </w:trPr>
      <w:tc>
        <w:tcPr>
          <w:tcW w:w="2251"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4B263767" w14:textId="77777777" w:rsidR="005F3FCF" w:rsidRPr="009605B2" w:rsidRDefault="005F3FCF" w:rsidP="00816745">
          <w:pPr>
            <w:jc w:val="center"/>
            <w:rPr>
              <w:rFonts w:ascii="Calibri" w:eastAsia="Times New Roman" w:hAnsi="Calibri"/>
              <w:b/>
              <w:bCs/>
              <w:color w:val="000000"/>
              <w:sz w:val="12"/>
              <w:szCs w:val="12"/>
            </w:rPr>
          </w:pPr>
          <w:r w:rsidRPr="009605B2">
            <w:rPr>
              <w:rFonts w:ascii="Calibri" w:eastAsia="Times New Roman" w:hAnsi="Calibri"/>
              <w:b/>
              <w:bCs/>
              <w:color w:val="000000"/>
              <w:sz w:val="12"/>
              <w:szCs w:val="12"/>
            </w:rPr>
            <w:t>Goal</w:t>
          </w:r>
        </w:p>
      </w:tc>
      <w:tc>
        <w:tcPr>
          <w:tcW w:w="662" w:type="dxa"/>
          <w:tcBorders>
            <w:top w:val="single" w:sz="8" w:space="0" w:color="auto"/>
            <w:left w:val="nil"/>
            <w:bottom w:val="single" w:sz="8" w:space="0" w:color="auto"/>
            <w:right w:val="single" w:sz="8" w:space="0" w:color="auto"/>
          </w:tcBorders>
          <w:shd w:val="clear" w:color="000000" w:fill="BDD7EE"/>
          <w:vAlign w:val="center"/>
          <w:hideMark/>
        </w:tcPr>
        <w:p w14:paraId="14284B31" w14:textId="77777777" w:rsidR="005F3FCF" w:rsidRPr="009605B2" w:rsidRDefault="005F3FCF" w:rsidP="00816745">
          <w:pPr>
            <w:jc w:val="center"/>
            <w:rPr>
              <w:rFonts w:ascii="Calibri" w:eastAsia="Times New Roman" w:hAnsi="Calibri"/>
              <w:b/>
              <w:bCs/>
              <w:color w:val="000000"/>
              <w:sz w:val="12"/>
              <w:szCs w:val="12"/>
            </w:rPr>
          </w:pPr>
          <w:r w:rsidRPr="009605B2">
            <w:rPr>
              <w:rFonts w:ascii="Calibri" w:eastAsia="Times New Roman" w:hAnsi="Calibri"/>
              <w:b/>
              <w:bCs/>
              <w:color w:val="000000"/>
              <w:sz w:val="12"/>
              <w:szCs w:val="12"/>
            </w:rPr>
            <w:t>Category</w:t>
          </w:r>
        </w:p>
      </w:tc>
      <w:tc>
        <w:tcPr>
          <w:tcW w:w="621" w:type="dxa"/>
          <w:tcBorders>
            <w:top w:val="single" w:sz="8" w:space="0" w:color="auto"/>
            <w:left w:val="nil"/>
            <w:bottom w:val="single" w:sz="8" w:space="0" w:color="auto"/>
            <w:right w:val="single" w:sz="8" w:space="0" w:color="auto"/>
          </w:tcBorders>
          <w:shd w:val="clear" w:color="000000" w:fill="BDD7EE"/>
          <w:vAlign w:val="center"/>
          <w:hideMark/>
        </w:tcPr>
        <w:p w14:paraId="68D94DA5" w14:textId="77777777" w:rsidR="005F3FCF" w:rsidRPr="009605B2" w:rsidRDefault="005F3FCF" w:rsidP="00816745">
          <w:pPr>
            <w:jc w:val="center"/>
            <w:rPr>
              <w:rFonts w:ascii="Calibri" w:eastAsia="Times New Roman" w:hAnsi="Calibri"/>
              <w:b/>
              <w:bCs/>
              <w:color w:val="000000"/>
              <w:sz w:val="12"/>
              <w:szCs w:val="12"/>
            </w:rPr>
          </w:pPr>
          <w:r>
            <w:rPr>
              <w:rFonts w:ascii="Calibri" w:eastAsia="Times New Roman" w:hAnsi="Calibri"/>
              <w:b/>
              <w:bCs/>
              <w:color w:val="000000"/>
              <w:sz w:val="12"/>
              <w:szCs w:val="12"/>
            </w:rPr>
            <w:t>Source</w:t>
          </w:r>
        </w:p>
      </w:tc>
      <w:tc>
        <w:tcPr>
          <w:tcW w:w="2074" w:type="dxa"/>
          <w:tcBorders>
            <w:top w:val="single" w:sz="8" w:space="0" w:color="auto"/>
            <w:left w:val="nil"/>
            <w:bottom w:val="single" w:sz="8" w:space="0" w:color="auto"/>
            <w:right w:val="single" w:sz="8" w:space="0" w:color="auto"/>
          </w:tcBorders>
          <w:shd w:val="clear" w:color="000000" w:fill="BDD7EE"/>
          <w:vAlign w:val="center"/>
          <w:hideMark/>
        </w:tcPr>
        <w:p w14:paraId="7384B1A4" w14:textId="77777777" w:rsidR="005F3FCF" w:rsidRPr="009605B2" w:rsidRDefault="005F3FCF" w:rsidP="00816745">
          <w:pPr>
            <w:jc w:val="center"/>
            <w:rPr>
              <w:rFonts w:ascii="Calibri" w:eastAsia="Times New Roman" w:hAnsi="Calibri"/>
              <w:b/>
              <w:bCs/>
              <w:color w:val="000000"/>
              <w:sz w:val="12"/>
              <w:szCs w:val="12"/>
            </w:rPr>
          </w:pPr>
          <w:r w:rsidRPr="009605B2">
            <w:rPr>
              <w:rFonts w:ascii="Calibri" w:eastAsia="Times New Roman" w:hAnsi="Calibri"/>
              <w:b/>
              <w:bCs/>
              <w:color w:val="000000"/>
              <w:sz w:val="12"/>
              <w:szCs w:val="12"/>
            </w:rPr>
            <w:t>Indicator</w:t>
          </w:r>
        </w:p>
      </w:tc>
      <w:tc>
        <w:tcPr>
          <w:tcW w:w="788" w:type="dxa"/>
          <w:tcBorders>
            <w:top w:val="single" w:sz="8" w:space="0" w:color="auto"/>
            <w:left w:val="nil"/>
            <w:bottom w:val="single" w:sz="8" w:space="0" w:color="auto"/>
            <w:right w:val="single" w:sz="8" w:space="0" w:color="auto"/>
          </w:tcBorders>
          <w:shd w:val="clear" w:color="000000" w:fill="BDD7EE"/>
          <w:vAlign w:val="center"/>
          <w:hideMark/>
        </w:tcPr>
        <w:p w14:paraId="449FE6B3" w14:textId="77777777" w:rsidR="005F3FCF" w:rsidRPr="009605B2" w:rsidRDefault="005F3FCF" w:rsidP="00816745">
          <w:pPr>
            <w:jc w:val="center"/>
            <w:rPr>
              <w:rFonts w:ascii="Calibri" w:eastAsia="Times New Roman" w:hAnsi="Calibri"/>
              <w:b/>
              <w:bCs/>
              <w:color w:val="000000"/>
              <w:sz w:val="12"/>
              <w:szCs w:val="12"/>
            </w:rPr>
          </w:pPr>
          <w:r w:rsidRPr="009605B2">
            <w:rPr>
              <w:rFonts w:ascii="Calibri" w:eastAsia="Times New Roman" w:hAnsi="Calibri"/>
              <w:b/>
              <w:bCs/>
              <w:color w:val="000000"/>
              <w:sz w:val="12"/>
              <w:szCs w:val="12"/>
            </w:rPr>
            <w:t>Unit of Measure</w:t>
          </w:r>
        </w:p>
      </w:tc>
      <w:tc>
        <w:tcPr>
          <w:tcW w:w="763" w:type="dxa"/>
          <w:tcBorders>
            <w:top w:val="single" w:sz="8" w:space="0" w:color="auto"/>
            <w:left w:val="nil"/>
            <w:bottom w:val="single" w:sz="8" w:space="0" w:color="auto"/>
            <w:right w:val="single" w:sz="8" w:space="0" w:color="auto"/>
          </w:tcBorders>
          <w:shd w:val="clear" w:color="000000" w:fill="BDD7EE"/>
          <w:vAlign w:val="center"/>
          <w:hideMark/>
        </w:tcPr>
        <w:p w14:paraId="45624043" w14:textId="77777777" w:rsidR="005F3FCF" w:rsidRPr="009605B2" w:rsidRDefault="005F3FCF" w:rsidP="00816745">
          <w:pPr>
            <w:jc w:val="center"/>
            <w:rPr>
              <w:rFonts w:ascii="Calibri" w:eastAsia="Times New Roman" w:hAnsi="Calibri"/>
              <w:b/>
              <w:bCs/>
              <w:color w:val="000000"/>
              <w:sz w:val="12"/>
              <w:szCs w:val="12"/>
            </w:rPr>
          </w:pPr>
          <w:r w:rsidRPr="009605B2">
            <w:rPr>
              <w:rFonts w:ascii="Calibri" w:eastAsia="Times New Roman" w:hAnsi="Calibri"/>
              <w:b/>
              <w:bCs/>
              <w:color w:val="000000"/>
              <w:sz w:val="12"/>
              <w:szCs w:val="12"/>
            </w:rPr>
            <w:t xml:space="preserve"> Expected – Strategic Plan </w:t>
          </w:r>
        </w:p>
      </w:tc>
      <w:tc>
        <w:tcPr>
          <w:tcW w:w="763" w:type="dxa"/>
          <w:tcBorders>
            <w:top w:val="single" w:sz="8" w:space="0" w:color="auto"/>
            <w:left w:val="nil"/>
            <w:bottom w:val="single" w:sz="8" w:space="0" w:color="auto"/>
            <w:right w:val="single" w:sz="8" w:space="0" w:color="auto"/>
          </w:tcBorders>
          <w:shd w:val="clear" w:color="000000" w:fill="BDD7EE"/>
          <w:vAlign w:val="center"/>
          <w:hideMark/>
        </w:tcPr>
        <w:p w14:paraId="65481F02" w14:textId="77777777" w:rsidR="005F3FCF" w:rsidRPr="009605B2" w:rsidRDefault="005F3FCF" w:rsidP="00816745">
          <w:pPr>
            <w:jc w:val="center"/>
            <w:rPr>
              <w:rFonts w:ascii="Calibri" w:eastAsia="Times New Roman" w:hAnsi="Calibri"/>
              <w:b/>
              <w:bCs/>
              <w:color w:val="000000"/>
              <w:sz w:val="12"/>
              <w:szCs w:val="12"/>
            </w:rPr>
          </w:pPr>
          <w:r w:rsidRPr="009605B2">
            <w:rPr>
              <w:rFonts w:ascii="Calibri" w:eastAsia="Times New Roman" w:hAnsi="Calibri"/>
              <w:b/>
              <w:bCs/>
              <w:color w:val="000000"/>
              <w:sz w:val="12"/>
              <w:szCs w:val="12"/>
            </w:rPr>
            <w:t>Actual – Strategic Plan</w:t>
          </w:r>
        </w:p>
      </w:tc>
      <w:tc>
        <w:tcPr>
          <w:tcW w:w="698" w:type="dxa"/>
          <w:tcBorders>
            <w:top w:val="single" w:sz="8" w:space="0" w:color="auto"/>
            <w:left w:val="nil"/>
            <w:bottom w:val="single" w:sz="8" w:space="0" w:color="auto"/>
            <w:right w:val="single" w:sz="8" w:space="0" w:color="auto"/>
          </w:tcBorders>
          <w:shd w:val="clear" w:color="000000" w:fill="BDD7EE"/>
          <w:vAlign w:val="center"/>
          <w:hideMark/>
        </w:tcPr>
        <w:p w14:paraId="1ADA734F" w14:textId="77777777" w:rsidR="005F3FCF" w:rsidRPr="009605B2" w:rsidRDefault="005F3FCF" w:rsidP="00816745">
          <w:pPr>
            <w:jc w:val="center"/>
            <w:rPr>
              <w:rFonts w:ascii="Calibri" w:eastAsia="Times New Roman" w:hAnsi="Calibri"/>
              <w:b/>
              <w:bCs/>
              <w:color w:val="000000"/>
              <w:sz w:val="12"/>
              <w:szCs w:val="12"/>
            </w:rPr>
          </w:pPr>
          <w:r w:rsidRPr="009605B2">
            <w:rPr>
              <w:rFonts w:ascii="Calibri" w:eastAsia="Times New Roman" w:hAnsi="Calibri"/>
              <w:b/>
              <w:bCs/>
              <w:color w:val="000000"/>
              <w:sz w:val="12"/>
              <w:szCs w:val="12"/>
            </w:rPr>
            <w:t>Percent Complete</w:t>
          </w:r>
        </w:p>
      </w:tc>
      <w:tc>
        <w:tcPr>
          <w:tcW w:w="672" w:type="dxa"/>
          <w:tcBorders>
            <w:top w:val="single" w:sz="8" w:space="0" w:color="auto"/>
            <w:left w:val="nil"/>
            <w:bottom w:val="single" w:sz="8" w:space="0" w:color="auto"/>
            <w:right w:val="single" w:sz="8" w:space="0" w:color="auto"/>
          </w:tcBorders>
          <w:shd w:val="clear" w:color="000000" w:fill="BDD7EE"/>
          <w:vAlign w:val="center"/>
          <w:hideMark/>
        </w:tcPr>
        <w:p w14:paraId="49866089" w14:textId="77777777" w:rsidR="005F3FCF" w:rsidRPr="009605B2" w:rsidRDefault="005F3FCF" w:rsidP="00816745">
          <w:pPr>
            <w:jc w:val="center"/>
            <w:rPr>
              <w:rFonts w:ascii="Calibri" w:eastAsia="Times New Roman" w:hAnsi="Calibri"/>
              <w:b/>
              <w:bCs/>
              <w:color w:val="000000"/>
              <w:sz w:val="12"/>
              <w:szCs w:val="12"/>
            </w:rPr>
          </w:pPr>
          <w:r w:rsidRPr="009605B2">
            <w:rPr>
              <w:rFonts w:ascii="Calibri" w:eastAsia="Times New Roman" w:hAnsi="Calibri"/>
              <w:b/>
              <w:bCs/>
              <w:color w:val="000000"/>
              <w:sz w:val="12"/>
              <w:szCs w:val="12"/>
            </w:rPr>
            <w:t xml:space="preserve"> Expected – Program Year </w:t>
          </w:r>
        </w:p>
      </w:tc>
      <w:tc>
        <w:tcPr>
          <w:tcW w:w="672" w:type="dxa"/>
          <w:tcBorders>
            <w:top w:val="single" w:sz="8" w:space="0" w:color="auto"/>
            <w:left w:val="nil"/>
            <w:bottom w:val="single" w:sz="8" w:space="0" w:color="auto"/>
            <w:right w:val="single" w:sz="8" w:space="0" w:color="auto"/>
          </w:tcBorders>
          <w:shd w:val="clear" w:color="000000" w:fill="BDD7EE"/>
          <w:vAlign w:val="center"/>
          <w:hideMark/>
        </w:tcPr>
        <w:p w14:paraId="43324282" w14:textId="77777777" w:rsidR="005F3FCF" w:rsidRPr="009605B2" w:rsidRDefault="005F3FCF" w:rsidP="00816745">
          <w:pPr>
            <w:jc w:val="center"/>
            <w:rPr>
              <w:rFonts w:ascii="Calibri" w:eastAsia="Times New Roman" w:hAnsi="Calibri"/>
              <w:b/>
              <w:bCs/>
              <w:color w:val="000000"/>
              <w:sz w:val="12"/>
              <w:szCs w:val="12"/>
            </w:rPr>
          </w:pPr>
          <w:r w:rsidRPr="009605B2">
            <w:rPr>
              <w:rFonts w:ascii="Calibri" w:eastAsia="Times New Roman" w:hAnsi="Calibri"/>
              <w:b/>
              <w:bCs/>
              <w:color w:val="000000"/>
              <w:sz w:val="12"/>
              <w:szCs w:val="12"/>
            </w:rPr>
            <w:t>Actual – Program Year</w:t>
          </w:r>
        </w:p>
      </w:tc>
      <w:tc>
        <w:tcPr>
          <w:tcW w:w="698" w:type="dxa"/>
          <w:tcBorders>
            <w:top w:val="single" w:sz="8" w:space="0" w:color="auto"/>
            <w:left w:val="nil"/>
            <w:bottom w:val="single" w:sz="8" w:space="0" w:color="auto"/>
            <w:right w:val="single" w:sz="8" w:space="0" w:color="auto"/>
          </w:tcBorders>
          <w:shd w:val="clear" w:color="000000" w:fill="BDD7EE"/>
          <w:vAlign w:val="center"/>
          <w:hideMark/>
        </w:tcPr>
        <w:p w14:paraId="7A2E4DCA" w14:textId="77777777" w:rsidR="005F3FCF" w:rsidRPr="009605B2" w:rsidRDefault="005F3FCF" w:rsidP="00816745">
          <w:pPr>
            <w:jc w:val="center"/>
            <w:rPr>
              <w:rFonts w:ascii="Calibri" w:eastAsia="Times New Roman" w:hAnsi="Calibri"/>
              <w:b/>
              <w:bCs/>
              <w:color w:val="000000"/>
              <w:sz w:val="12"/>
              <w:szCs w:val="12"/>
            </w:rPr>
          </w:pPr>
          <w:r w:rsidRPr="009605B2">
            <w:rPr>
              <w:rFonts w:ascii="Calibri" w:eastAsia="Times New Roman" w:hAnsi="Calibri"/>
              <w:b/>
              <w:bCs/>
              <w:color w:val="000000"/>
              <w:sz w:val="12"/>
              <w:szCs w:val="12"/>
            </w:rPr>
            <w:t>Percent Complete</w:t>
          </w:r>
        </w:p>
      </w:tc>
    </w:tr>
    <w:tr w:rsidR="005F3FCF" w:rsidRPr="009605B2" w14:paraId="4F22E830" w14:textId="77777777" w:rsidTr="005F3FCF">
      <w:trPr>
        <w:trHeight w:val="342"/>
      </w:trPr>
      <w:tc>
        <w:tcPr>
          <w:tcW w:w="2251" w:type="dxa"/>
          <w:tcBorders>
            <w:top w:val="nil"/>
            <w:left w:val="single" w:sz="8" w:space="0" w:color="auto"/>
            <w:bottom w:val="single" w:sz="8" w:space="0" w:color="auto"/>
            <w:right w:val="single" w:sz="8" w:space="0" w:color="auto"/>
          </w:tcBorders>
          <w:shd w:val="clear" w:color="auto" w:fill="auto"/>
          <w:vAlign w:val="center"/>
          <w:hideMark/>
        </w:tcPr>
        <w:p w14:paraId="74922627"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Administration</w:t>
          </w:r>
        </w:p>
      </w:tc>
      <w:tc>
        <w:tcPr>
          <w:tcW w:w="662" w:type="dxa"/>
          <w:tcBorders>
            <w:top w:val="nil"/>
            <w:left w:val="nil"/>
            <w:bottom w:val="single" w:sz="8" w:space="0" w:color="auto"/>
            <w:right w:val="single" w:sz="8" w:space="0" w:color="auto"/>
          </w:tcBorders>
          <w:shd w:val="clear" w:color="auto" w:fill="auto"/>
          <w:vAlign w:val="center"/>
          <w:hideMark/>
        </w:tcPr>
        <w:p w14:paraId="25CE9B5C"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Admin</w:t>
          </w:r>
        </w:p>
      </w:tc>
      <w:tc>
        <w:tcPr>
          <w:tcW w:w="621" w:type="dxa"/>
          <w:tcBorders>
            <w:top w:val="nil"/>
            <w:left w:val="nil"/>
            <w:bottom w:val="single" w:sz="8" w:space="0" w:color="auto"/>
            <w:right w:val="single" w:sz="8" w:space="0" w:color="auto"/>
          </w:tcBorders>
          <w:shd w:val="clear" w:color="auto" w:fill="auto"/>
          <w:vAlign w:val="center"/>
          <w:hideMark/>
        </w:tcPr>
        <w:p w14:paraId="022ACF33"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 xml:space="preserve">CDBG </w:t>
          </w:r>
          <w:r w:rsidRPr="009605B2">
            <w:rPr>
              <w:rFonts w:ascii="Calibri" w:eastAsia="Times New Roman" w:hAnsi="Calibri"/>
              <w:color w:val="000000"/>
              <w:sz w:val="12"/>
              <w:szCs w:val="12"/>
            </w:rPr>
            <w:br/>
            <w:t>ESG</w:t>
          </w:r>
          <w:r w:rsidRPr="009605B2">
            <w:rPr>
              <w:rFonts w:ascii="Calibri" w:eastAsia="Times New Roman" w:hAnsi="Calibri"/>
              <w:color w:val="000000"/>
              <w:sz w:val="12"/>
              <w:szCs w:val="12"/>
            </w:rPr>
            <w:br/>
            <w:t>HOME</w:t>
          </w:r>
          <w:r w:rsidRPr="009605B2">
            <w:rPr>
              <w:rFonts w:ascii="Calibri" w:eastAsia="Times New Roman" w:hAnsi="Calibri"/>
              <w:color w:val="000000"/>
              <w:sz w:val="12"/>
              <w:szCs w:val="12"/>
            </w:rPr>
            <w:br/>
            <w:t>HOPWA</w:t>
          </w:r>
        </w:p>
      </w:tc>
      <w:tc>
        <w:tcPr>
          <w:tcW w:w="2074" w:type="dxa"/>
          <w:tcBorders>
            <w:top w:val="nil"/>
            <w:left w:val="nil"/>
            <w:bottom w:val="single" w:sz="8" w:space="0" w:color="auto"/>
            <w:right w:val="single" w:sz="8" w:space="0" w:color="auto"/>
          </w:tcBorders>
          <w:shd w:val="clear" w:color="auto" w:fill="auto"/>
          <w:vAlign w:val="center"/>
          <w:hideMark/>
        </w:tcPr>
        <w:p w14:paraId="3F5B8289"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Other</w:t>
          </w:r>
        </w:p>
      </w:tc>
      <w:tc>
        <w:tcPr>
          <w:tcW w:w="788" w:type="dxa"/>
          <w:tcBorders>
            <w:top w:val="nil"/>
            <w:left w:val="nil"/>
            <w:bottom w:val="single" w:sz="8" w:space="0" w:color="auto"/>
            <w:right w:val="single" w:sz="8" w:space="0" w:color="auto"/>
          </w:tcBorders>
          <w:shd w:val="clear" w:color="auto" w:fill="auto"/>
          <w:vAlign w:val="center"/>
          <w:hideMark/>
        </w:tcPr>
        <w:p w14:paraId="34ABA5A7" w14:textId="77777777" w:rsidR="005F3FCF" w:rsidRPr="00A60631" w:rsidRDefault="005F3FCF" w:rsidP="00816745">
          <w:pPr>
            <w:jc w:val="center"/>
            <w:rPr>
              <w:rFonts w:ascii="Calibri" w:eastAsia="Times New Roman" w:hAnsi="Calibri"/>
              <w:color w:val="000000"/>
              <w:sz w:val="12"/>
              <w:szCs w:val="12"/>
            </w:rPr>
          </w:pPr>
          <w:r w:rsidRPr="00A60631">
            <w:rPr>
              <w:rFonts w:ascii="Calibri" w:eastAsia="Times New Roman" w:hAnsi="Calibri"/>
              <w:color w:val="000000"/>
              <w:sz w:val="12"/>
              <w:szCs w:val="12"/>
            </w:rPr>
            <w:t>Other</w:t>
          </w:r>
        </w:p>
      </w:tc>
      <w:tc>
        <w:tcPr>
          <w:tcW w:w="763" w:type="dxa"/>
          <w:tcBorders>
            <w:top w:val="nil"/>
            <w:left w:val="nil"/>
            <w:bottom w:val="single" w:sz="8" w:space="0" w:color="auto"/>
            <w:right w:val="single" w:sz="8" w:space="0" w:color="auto"/>
          </w:tcBorders>
          <w:shd w:val="clear" w:color="auto" w:fill="auto"/>
          <w:vAlign w:val="center"/>
          <w:hideMark/>
        </w:tcPr>
        <w:p w14:paraId="37FEC705" w14:textId="77777777" w:rsidR="005F3FCF" w:rsidRPr="00EE1920" w:rsidRDefault="005F3FCF" w:rsidP="00816745">
          <w:pPr>
            <w:jc w:val="center"/>
            <w:rPr>
              <w:rFonts w:ascii="Calibri" w:eastAsia="Times New Roman" w:hAnsi="Calibri"/>
              <w:color w:val="000000"/>
              <w:sz w:val="12"/>
              <w:szCs w:val="12"/>
            </w:rPr>
          </w:pPr>
          <w:r>
            <w:rPr>
              <w:rFonts w:ascii="Calibri" w:eastAsia="Times New Roman" w:hAnsi="Calibri"/>
              <w:color w:val="000000"/>
              <w:sz w:val="12"/>
              <w:szCs w:val="12"/>
            </w:rPr>
            <w:t>$2,491,080</w:t>
          </w:r>
        </w:p>
      </w:tc>
      <w:tc>
        <w:tcPr>
          <w:tcW w:w="763" w:type="dxa"/>
          <w:tcBorders>
            <w:top w:val="nil"/>
            <w:left w:val="nil"/>
            <w:bottom w:val="single" w:sz="8" w:space="0" w:color="auto"/>
            <w:right w:val="single" w:sz="8" w:space="0" w:color="auto"/>
          </w:tcBorders>
          <w:shd w:val="clear" w:color="auto" w:fill="auto"/>
          <w:vAlign w:val="center"/>
          <w:hideMark/>
        </w:tcPr>
        <w:p w14:paraId="4425CC01" w14:textId="77777777" w:rsidR="005F3FCF" w:rsidRPr="00EE1920" w:rsidRDefault="005F3FCF" w:rsidP="00816745">
          <w:pPr>
            <w:jc w:val="center"/>
            <w:rPr>
              <w:rFonts w:ascii="Calibri" w:eastAsia="Times New Roman" w:hAnsi="Calibri"/>
              <w:color w:val="000000"/>
              <w:sz w:val="12"/>
              <w:szCs w:val="12"/>
            </w:rPr>
          </w:pPr>
          <w:r>
            <w:rPr>
              <w:rFonts w:ascii="Calibri" w:eastAsia="Times New Roman" w:hAnsi="Calibri"/>
              <w:color w:val="000000"/>
              <w:sz w:val="12"/>
              <w:szCs w:val="12"/>
            </w:rPr>
            <w:t>$2,344,327</w:t>
          </w:r>
          <w:r w:rsidRPr="00EE1920">
            <w:rPr>
              <w:rFonts w:ascii="Calibri" w:eastAsia="Times New Roman" w:hAnsi="Calibri"/>
              <w:color w:val="000000"/>
              <w:sz w:val="12"/>
              <w:szCs w:val="12"/>
            </w:rPr>
            <w:t xml:space="preserve"> </w:t>
          </w:r>
        </w:p>
      </w:tc>
      <w:tc>
        <w:tcPr>
          <w:tcW w:w="698" w:type="dxa"/>
          <w:tcBorders>
            <w:top w:val="nil"/>
            <w:left w:val="nil"/>
            <w:bottom w:val="single" w:sz="8" w:space="0" w:color="auto"/>
            <w:right w:val="single" w:sz="8" w:space="0" w:color="auto"/>
          </w:tcBorders>
          <w:shd w:val="clear" w:color="auto" w:fill="auto"/>
          <w:vAlign w:val="center"/>
          <w:hideMark/>
        </w:tcPr>
        <w:p w14:paraId="79101D40" w14:textId="77777777" w:rsidR="005F3FCF" w:rsidRPr="00EE1920" w:rsidRDefault="005F3FCF" w:rsidP="00816745">
          <w:pPr>
            <w:jc w:val="center"/>
            <w:rPr>
              <w:rFonts w:ascii="Calibri" w:eastAsia="Times New Roman" w:hAnsi="Calibri"/>
              <w:color w:val="000000"/>
              <w:sz w:val="12"/>
              <w:szCs w:val="12"/>
            </w:rPr>
          </w:pPr>
          <w:r w:rsidRPr="00EE1920">
            <w:rPr>
              <w:rFonts w:ascii="Calibri" w:eastAsia="Times New Roman" w:hAnsi="Calibri"/>
              <w:color w:val="000000"/>
              <w:sz w:val="12"/>
              <w:szCs w:val="12"/>
            </w:rPr>
            <w:t>60%</w:t>
          </w:r>
        </w:p>
      </w:tc>
      <w:tc>
        <w:tcPr>
          <w:tcW w:w="672" w:type="dxa"/>
          <w:tcBorders>
            <w:top w:val="nil"/>
            <w:left w:val="nil"/>
            <w:bottom w:val="single" w:sz="8" w:space="0" w:color="auto"/>
            <w:right w:val="single" w:sz="8" w:space="0" w:color="auto"/>
          </w:tcBorders>
          <w:shd w:val="clear" w:color="auto" w:fill="auto"/>
          <w:vAlign w:val="center"/>
          <w:hideMark/>
        </w:tcPr>
        <w:p w14:paraId="7A3F06C0" w14:textId="77777777" w:rsidR="005F3FCF" w:rsidRPr="00EE1920" w:rsidRDefault="005F3FCF" w:rsidP="00816745">
          <w:pPr>
            <w:jc w:val="center"/>
            <w:rPr>
              <w:rFonts w:ascii="Calibri" w:eastAsia="Times New Roman" w:hAnsi="Calibri"/>
              <w:color w:val="000000"/>
              <w:sz w:val="12"/>
              <w:szCs w:val="12"/>
            </w:rPr>
          </w:pPr>
          <w:r w:rsidRPr="00EE1920">
            <w:rPr>
              <w:rFonts w:ascii="Calibri" w:eastAsia="Times New Roman" w:hAnsi="Calibri"/>
              <w:color w:val="000000"/>
              <w:sz w:val="12"/>
              <w:szCs w:val="12"/>
            </w:rPr>
            <w:t>$748,345</w:t>
          </w:r>
        </w:p>
      </w:tc>
      <w:tc>
        <w:tcPr>
          <w:tcW w:w="672" w:type="dxa"/>
          <w:tcBorders>
            <w:top w:val="nil"/>
            <w:left w:val="nil"/>
            <w:bottom w:val="single" w:sz="8" w:space="0" w:color="auto"/>
            <w:right w:val="single" w:sz="8" w:space="0" w:color="auto"/>
          </w:tcBorders>
          <w:shd w:val="clear" w:color="auto" w:fill="auto"/>
          <w:vAlign w:val="center"/>
          <w:hideMark/>
        </w:tcPr>
        <w:p w14:paraId="5EF2E02B" w14:textId="77777777" w:rsidR="005F3FCF" w:rsidRPr="00EE1920" w:rsidRDefault="005F3FCF" w:rsidP="00816745">
          <w:pPr>
            <w:jc w:val="center"/>
            <w:rPr>
              <w:rFonts w:ascii="Calibri" w:eastAsia="Times New Roman" w:hAnsi="Calibri"/>
              <w:color w:val="000000"/>
              <w:sz w:val="12"/>
              <w:szCs w:val="12"/>
            </w:rPr>
          </w:pPr>
          <w:r w:rsidRPr="00EE1920">
            <w:rPr>
              <w:rFonts w:ascii="Calibri" w:eastAsia="Times New Roman" w:hAnsi="Calibri"/>
              <w:color w:val="000000"/>
              <w:sz w:val="12"/>
              <w:szCs w:val="12"/>
            </w:rPr>
            <w:t>$</w:t>
          </w:r>
          <w:r>
            <w:rPr>
              <w:rFonts w:ascii="Calibri" w:eastAsia="Times New Roman" w:hAnsi="Calibri"/>
              <w:color w:val="000000"/>
              <w:sz w:val="12"/>
              <w:szCs w:val="12"/>
            </w:rPr>
            <w:t>752,553</w:t>
          </w:r>
        </w:p>
      </w:tc>
      <w:tc>
        <w:tcPr>
          <w:tcW w:w="698" w:type="dxa"/>
          <w:tcBorders>
            <w:top w:val="nil"/>
            <w:left w:val="nil"/>
            <w:bottom w:val="single" w:sz="8" w:space="0" w:color="auto"/>
            <w:right w:val="single" w:sz="8" w:space="0" w:color="auto"/>
          </w:tcBorders>
          <w:shd w:val="clear" w:color="auto" w:fill="auto"/>
          <w:vAlign w:val="center"/>
          <w:hideMark/>
        </w:tcPr>
        <w:p w14:paraId="268ECB88" w14:textId="77777777" w:rsidR="005F3FCF" w:rsidRPr="00EE1920" w:rsidRDefault="005F3FCF" w:rsidP="00816745">
          <w:pPr>
            <w:jc w:val="center"/>
            <w:rPr>
              <w:rFonts w:ascii="Calibri" w:eastAsia="Times New Roman" w:hAnsi="Calibri"/>
              <w:color w:val="000000"/>
              <w:sz w:val="12"/>
              <w:szCs w:val="12"/>
            </w:rPr>
          </w:pPr>
          <w:r w:rsidRPr="00EE1920">
            <w:rPr>
              <w:rFonts w:ascii="Calibri" w:eastAsia="Times New Roman" w:hAnsi="Calibri"/>
              <w:color w:val="000000"/>
              <w:sz w:val="12"/>
              <w:szCs w:val="12"/>
            </w:rPr>
            <w:t>100%</w:t>
          </w:r>
        </w:p>
      </w:tc>
    </w:tr>
    <w:tr w:rsidR="005F3FCF" w:rsidRPr="009605B2" w14:paraId="494A1984" w14:textId="77777777" w:rsidTr="005F3FCF">
      <w:trPr>
        <w:trHeight w:val="294"/>
      </w:trPr>
      <w:tc>
        <w:tcPr>
          <w:tcW w:w="2251" w:type="dxa"/>
          <w:tcBorders>
            <w:top w:val="nil"/>
            <w:left w:val="single" w:sz="8" w:space="0" w:color="auto"/>
            <w:bottom w:val="single" w:sz="8" w:space="0" w:color="auto"/>
            <w:right w:val="single" w:sz="8" w:space="0" w:color="auto"/>
          </w:tcBorders>
          <w:shd w:val="clear" w:color="auto" w:fill="auto"/>
          <w:vAlign w:val="center"/>
          <w:hideMark/>
        </w:tcPr>
        <w:p w14:paraId="093253BB"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Expand Home Ownership Opportunities</w:t>
          </w:r>
        </w:p>
      </w:tc>
      <w:tc>
        <w:tcPr>
          <w:tcW w:w="662" w:type="dxa"/>
          <w:tcBorders>
            <w:top w:val="nil"/>
            <w:left w:val="nil"/>
            <w:bottom w:val="single" w:sz="8" w:space="0" w:color="auto"/>
            <w:right w:val="single" w:sz="8" w:space="0" w:color="auto"/>
          </w:tcBorders>
          <w:shd w:val="clear" w:color="auto" w:fill="auto"/>
          <w:vAlign w:val="center"/>
          <w:hideMark/>
        </w:tcPr>
        <w:p w14:paraId="6AC2DBB0"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AH</w:t>
          </w:r>
        </w:p>
      </w:tc>
      <w:tc>
        <w:tcPr>
          <w:tcW w:w="621" w:type="dxa"/>
          <w:tcBorders>
            <w:top w:val="nil"/>
            <w:left w:val="nil"/>
            <w:bottom w:val="single" w:sz="8" w:space="0" w:color="auto"/>
            <w:right w:val="single" w:sz="8" w:space="0" w:color="auto"/>
          </w:tcBorders>
          <w:shd w:val="clear" w:color="auto" w:fill="auto"/>
          <w:vAlign w:val="center"/>
          <w:hideMark/>
        </w:tcPr>
        <w:p w14:paraId="5072D5F7"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CDBG</w:t>
          </w:r>
          <w:r w:rsidRPr="009605B2">
            <w:rPr>
              <w:rFonts w:ascii="Calibri" w:eastAsia="Times New Roman" w:hAnsi="Calibri"/>
              <w:color w:val="000000"/>
              <w:sz w:val="12"/>
              <w:szCs w:val="12"/>
            </w:rPr>
            <w:br/>
            <w:t>HOME</w:t>
          </w:r>
        </w:p>
      </w:tc>
      <w:tc>
        <w:tcPr>
          <w:tcW w:w="2074" w:type="dxa"/>
          <w:tcBorders>
            <w:top w:val="nil"/>
            <w:left w:val="nil"/>
            <w:bottom w:val="single" w:sz="8" w:space="0" w:color="auto"/>
            <w:right w:val="single" w:sz="8" w:space="0" w:color="auto"/>
          </w:tcBorders>
          <w:shd w:val="clear" w:color="auto" w:fill="auto"/>
          <w:vAlign w:val="center"/>
          <w:hideMark/>
        </w:tcPr>
        <w:p w14:paraId="60873534"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Direct Financial Assistance to Homebuyers</w:t>
          </w:r>
        </w:p>
      </w:tc>
      <w:tc>
        <w:tcPr>
          <w:tcW w:w="788" w:type="dxa"/>
          <w:tcBorders>
            <w:top w:val="nil"/>
            <w:left w:val="nil"/>
            <w:bottom w:val="single" w:sz="8" w:space="0" w:color="auto"/>
            <w:right w:val="single" w:sz="8" w:space="0" w:color="auto"/>
          </w:tcBorders>
          <w:shd w:val="clear" w:color="auto" w:fill="auto"/>
          <w:vAlign w:val="center"/>
          <w:hideMark/>
        </w:tcPr>
        <w:p w14:paraId="3E10E8E1" w14:textId="77777777" w:rsidR="005F3FCF" w:rsidRPr="00A60631" w:rsidRDefault="005F3FCF" w:rsidP="00816745">
          <w:pPr>
            <w:jc w:val="center"/>
            <w:rPr>
              <w:rFonts w:ascii="Calibri" w:eastAsia="Times New Roman" w:hAnsi="Calibri"/>
              <w:color w:val="000000"/>
              <w:sz w:val="12"/>
              <w:szCs w:val="12"/>
            </w:rPr>
          </w:pPr>
          <w:r w:rsidRPr="00A60631">
            <w:rPr>
              <w:rFonts w:ascii="Calibri" w:eastAsia="Times New Roman" w:hAnsi="Calibri"/>
              <w:color w:val="000000"/>
              <w:sz w:val="12"/>
              <w:szCs w:val="12"/>
            </w:rPr>
            <w:t>Households Assisted</w:t>
          </w:r>
        </w:p>
      </w:tc>
      <w:tc>
        <w:tcPr>
          <w:tcW w:w="763" w:type="dxa"/>
          <w:tcBorders>
            <w:top w:val="nil"/>
            <w:left w:val="nil"/>
            <w:bottom w:val="single" w:sz="8" w:space="0" w:color="auto"/>
            <w:right w:val="single" w:sz="8" w:space="0" w:color="auto"/>
          </w:tcBorders>
          <w:shd w:val="clear" w:color="auto" w:fill="auto"/>
          <w:vAlign w:val="center"/>
          <w:hideMark/>
        </w:tcPr>
        <w:p w14:paraId="29C2C32D" w14:textId="77777777" w:rsidR="005F3FCF" w:rsidRPr="00A60631" w:rsidRDefault="005F3FCF" w:rsidP="00816745">
          <w:pPr>
            <w:jc w:val="center"/>
            <w:rPr>
              <w:rFonts w:ascii="Calibri" w:eastAsia="Times New Roman" w:hAnsi="Calibri"/>
              <w:color w:val="000000"/>
              <w:sz w:val="12"/>
              <w:szCs w:val="12"/>
            </w:rPr>
          </w:pPr>
          <w:r w:rsidRPr="00A60631">
            <w:rPr>
              <w:rFonts w:ascii="Calibri" w:eastAsia="Times New Roman" w:hAnsi="Calibri"/>
              <w:color w:val="000000"/>
              <w:sz w:val="12"/>
              <w:szCs w:val="12"/>
            </w:rPr>
            <w:t>110</w:t>
          </w:r>
        </w:p>
      </w:tc>
      <w:tc>
        <w:tcPr>
          <w:tcW w:w="763" w:type="dxa"/>
          <w:tcBorders>
            <w:top w:val="nil"/>
            <w:left w:val="nil"/>
            <w:bottom w:val="single" w:sz="8" w:space="0" w:color="auto"/>
            <w:right w:val="single" w:sz="8" w:space="0" w:color="auto"/>
          </w:tcBorders>
          <w:shd w:val="clear" w:color="auto" w:fill="auto"/>
          <w:vAlign w:val="center"/>
          <w:hideMark/>
        </w:tcPr>
        <w:p w14:paraId="2FC65B1B" w14:textId="77777777" w:rsidR="005F3FCF" w:rsidRPr="00A60631" w:rsidRDefault="005F3FCF" w:rsidP="00816745">
          <w:pPr>
            <w:jc w:val="center"/>
            <w:rPr>
              <w:rFonts w:ascii="Calibri" w:eastAsia="Times New Roman" w:hAnsi="Calibri"/>
              <w:color w:val="000000"/>
              <w:sz w:val="12"/>
              <w:szCs w:val="12"/>
            </w:rPr>
          </w:pPr>
          <w:r>
            <w:rPr>
              <w:rFonts w:ascii="Calibri" w:eastAsia="Times New Roman" w:hAnsi="Calibri"/>
              <w:color w:val="000000"/>
              <w:sz w:val="12"/>
              <w:szCs w:val="12"/>
            </w:rPr>
            <w:t>38</w:t>
          </w:r>
        </w:p>
      </w:tc>
      <w:tc>
        <w:tcPr>
          <w:tcW w:w="698" w:type="dxa"/>
          <w:tcBorders>
            <w:top w:val="nil"/>
            <w:left w:val="nil"/>
            <w:bottom w:val="single" w:sz="8" w:space="0" w:color="auto"/>
            <w:right w:val="single" w:sz="8" w:space="0" w:color="auto"/>
          </w:tcBorders>
          <w:shd w:val="clear" w:color="auto" w:fill="auto"/>
          <w:vAlign w:val="center"/>
          <w:hideMark/>
        </w:tcPr>
        <w:p w14:paraId="67A1F8C4" w14:textId="77777777" w:rsidR="005F3FCF" w:rsidRPr="00A60631" w:rsidRDefault="005F3FCF" w:rsidP="00816745">
          <w:pPr>
            <w:jc w:val="center"/>
            <w:rPr>
              <w:rFonts w:ascii="Calibri" w:eastAsia="Times New Roman" w:hAnsi="Calibri"/>
              <w:color w:val="000000"/>
              <w:sz w:val="12"/>
              <w:szCs w:val="12"/>
            </w:rPr>
          </w:pPr>
          <w:r>
            <w:rPr>
              <w:rFonts w:ascii="Calibri" w:eastAsia="Times New Roman" w:hAnsi="Calibri"/>
              <w:color w:val="000000"/>
              <w:sz w:val="12"/>
              <w:szCs w:val="12"/>
            </w:rPr>
            <w:t>35</w:t>
          </w:r>
          <w:r w:rsidRPr="00A60631">
            <w:rPr>
              <w:rFonts w:ascii="Calibri" w:eastAsia="Times New Roman" w:hAnsi="Calibri"/>
              <w:color w:val="000000"/>
              <w:sz w:val="12"/>
              <w:szCs w:val="12"/>
            </w:rPr>
            <w:t>%</w:t>
          </w:r>
        </w:p>
      </w:tc>
      <w:tc>
        <w:tcPr>
          <w:tcW w:w="672" w:type="dxa"/>
          <w:tcBorders>
            <w:top w:val="nil"/>
            <w:left w:val="nil"/>
            <w:bottom w:val="single" w:sz="8" w:space="0" w:color="auto"/>
            <w:right w:val="single" w:sz="8" w:space="0" w:color="auto"/>
          </w:tcBorders>
          <w:shd w:val="clear" w:color="auto" w:fill="auto"/>
          <w:vAlign w:val="center"/>
          <w:hideMark/>
        </w:tcPr>
        <w:p w14:paraId="4BD16EDD" w14:textId="77777777" w:rsidR="005F3FCF" w:rsidRPr="009605B2" w:rsidRDefault="005F3FCF" w:rsidP="00816745">
          <w:pPr>
            <w:jc w:val="center"/>
            <w:rPr>
              <w:rFonts w:ascii="Calibri" w:eastAsia="Times New Roman" w:hAnsi="Calibri"/>
              <w:color w:val="000000"/>
              <w:sz w:val="12"/>
              <w:szCs w:val="12"/>
            </w:rPr>
          </w:pPr>
          <w:r>
            <w:rPr>
              <w:rFonts w:ascii="Calibri" w:eastAsia="Times New Roman" w:hAnsi="Calibri"/>
              <w:color w:val="000000"/>
              <w:sz w:val="12"/>
              <w:szCs w:val="12"/>
            </w:rPr>
            <w:t>22</w:t>
          </w:r>
        </w:p>
      </w:tc>
      <w:tc>
        <w:tcPr>
          <w:tcW w:w="672" w:type="dxa"/>
          <w:tcBorders>
            <w:top w:val="nil"/>
            <w:left w:val="nil"/>
            <w:bottom w:val="single" w:sz="8" w:space="0" w:color="auto"/>
            <w:right w:val="single" w:sz="8" w:space="0" w:color="auto"/>
          </w:tcBorders>
          <w:shd w:val="clear" w:color="auto" w:fill="auto"/>
          <w:vAlign w:val="center"/>
          <w:hideMark/>
        </w:tcPr>
        <w:p w14:paraId="3C96F132" w14:textId="77777777" w:rsidR="005F3FCF" w:rsidRPr="009605B2" w:rsidRDefault="005F3FCF" w:rsidP="00816745">
          <w:pPr>
            <w:jc w:val="center"/>
            <w:rPr>
              <w:rFonts w:ascii="Calibri" w:eastAsia="Times New Roman" w:hAnsi="Calibri"/>
              <w:color w:val="000000"/>
              <w:sz w:val="12"/>
              <w:szCs w:val="12"/>
            </w:rPr>
          </w:pPr>
          <w:r>
            <w:rPr>
              <w:rFonts w:ascii="Calibri" w:eastAsia="Times New Roman" w:hAnsi="Calibri"/>
              <w:color w:val="000000"/>
              <w:sz w:val="12"/>
              <w:szCs w:val="12"/>
            </w:rPr>
            <w:t>9</w:t>
          </w:r>
        </w:p>
      </w:tc>
      <w:tc>
        <w:tcPr>
          <w:tcW w:w="698" w:type="dxa"/>
          <w:tcBorders>
            <w:top w:val="nil"/>
            <w:left w:val="nil"/>
            <w:bottom w:val="single" w:sz="8" w:space="0" w:color="auto"/>
            <w:right w:val="single" w:sz="8" w:space="0" w:color="auto"/>
          </w:tcBorders>
          <w:shd w:val="clear" w:color="auto" w:fill="auto"/>
          <w:vAlign w:val="center"/>
          <w:hideMark/>
        </w:tcPr>
        <w:p w14:paraId="05AFEE00" w14:textId="77777777" w:rsidR="005F3FCF" w:rsidRPr="009605B2" w:rsidRDefault="005F3FCF" w:rsidP="00816745">
          <w:pPr>
            <w:jc w:val="center"/>
            <w:rPr>
              <w:rFonts w:ascii="Calibri" w:eastAsia="Times New Roman" w:hAnsi="Calibri"/>
              <w:color w:val="000000"/>
              <w:sz w:val="12"/>
              <w:szCs w:val="12"/>
            </w:rPr>
          </w:pPr>
          <w:r>
            <w:rPr>
              <w:rFonts w:ascii="Calibri" w:eastAsia="Times New Roman" w:hAnsi="Calibri"/>
              <w:color w:val="000000"/>
              <w:sz w:val="12"/>
              <w:szCs w:val="12"/>
            </w:rPr>
            <w:t>41</w:t>
          </w:r>
          <w:r w:rsidRPr="009605B2">
            <w:rPr>
              <w:rFonts w:ascii="Calibri" w:eastAsia="Times New Roman" w:hAnsi="Calibri"/>
              <w:color w:val="000000"/>
              <w:sz w:val="12"/>
              <w:szCs w:val="12"/>
            </w:rPr>
            <w:t>%</w:t>
          </w:r>
        </w:p>
      </w:tc>
    </w:tr>
    <w:tr w:rsidR="005F3FCF" w:rsidRPr="009605B2" w14:paraId="11C4FA1A" w14:textId="77777777" w:rsidTr="005F3FCF">
      <w:trPr>
        <w:trHeight w:val="294"/>
      </w:trPr>
      <w:tc>
        <w:tcPr>
          <w:tcW w:w="2251" w:type="dxa"/>
          <w:tcBorders>
            <w:top w:val="nil"/>
            <w:left w:val="single" w:sz="8" w:space="0" w:color="auto"/>
            <w:bottom w:val="single" w:sz="8" w:space="0" w:color="auto"/>
            <w:right w:val="single" w:sz="8" w:space="0" w:color="auto"/>
          </w:tcBorders>
          <w:shd w:val="clear" w:color="auto" w:fill="auto"/>
          <w:vAlign w:val="center"/>
          <w:hideMark/>
        </w:tcPr>
        <w:p w14:paraId="3AC1BA8A"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Improve and Expand Affordable Housing Stock</w:t>
          </w:r>
        </w:p>
      </w:tc>
      <w:tc>
        <w:tcPr>
          <w:tcW w:w="662" w:type="dxa"/>
          <w:tcBorders>
            <w:top w:val="nil"/>
            <w:left w:val="nil"/>
            <w:bottom w:val="single" w:sz="8" w:space="0" w:color="auto"/>
            <w:right w:val="single" w:sz="8" w:space="0" w:color="auto"/>
          </w:tcBorders>
          <w:shd w:val="clear" w:color="auto" w:fill="auto"/>
          <w:vAlign w:val="center"/>
          <w:hideMark/>
        </w:tcPr>
        <w:p w14:paraId="351E14F4"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AH</w:t>
          </w:r>
        </w:p>
      </w:tc>
      <w:tc>
        <w:tcPr>
          <w:tcW w:w="621" w:type="dxa"/>
          <w:tcBorders>
            <w:top w:val="nil"/>
            <w:left w:val="nil"/>
            <w:bottom w:val="single" w:sz="8" w:space="0" w:color="auto"/>
            <w:right w:val="single" w:sz="8" w:space="0" w:color="auto"/>
          </w:tcBorders>
          <w:shd w:val="clear" w:color="auto" w:fill="auto"/>
          <w:vAlign w:val="center"/>
          <w:hideMark/>
        </w:tcPr>
        <w:p w14:paraId="5E169FCB"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CDBG</w:t>
          </w:r>
        </w:p>
      </w:tc>
      <w:tc>
        <w:tcPr>
          <w:tcW w:w="2074" w:type="dxa"/>
          <w:tcBorders>
            <w:top w:val="nil"/>
            <w:left w:val="nil"/>
            <w:bottom w:val="single" w:sz="8" w:space="0" w:color="auto"/>
            <w:right w:val="single" w:sz="8" w:space="0" w:color="auto"/>
          </w:tcBorders>
          <w:shd w:val="clear" w:color="auto" w:fill="auto"/>
          <w:vAlign w:val="center"/>
          <w:hideMark/>
        </w:tcPr>
        <w:p w14:paraId="24FD0FB5"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Homeowner Housing Rehabilitated</w:t>
          </w:r>
        </w:p>
      </w:tc>
      <w:tc>
        <w:tcPr>
          <w:tcW w:w="788" w:type="dxa"/>
          <w:tcBorders>
            <w:top w:val="nil"/>
            <w:left w:val="nil"/>
            <w:bottom w:val="single" w:sz="8" w:space="0" w:color="auto"/>
            <w:right w:val="single" w:sz="8" w:space="0" w:color="auto"/>
          </w:tcBorders>
          <w:shd w:val="clear" w:color="auto" w:fill="auto"/>
          <w:vAlign w:val="center"/>
          <w:hideMark/>
        </w:tcPr>
        <w:p w14:paraId="1B5047E1" w14:textId="77777777" w:rsidR="005F3FCF" w:rsidRPr="009605B2" w:rsidRDefault="005F3FCF" w:rsidP="00816745">
          <w:pPr>
            <w:jc w:val="center"/>
            <w:rPr>
              <w:rFonts w:ascii="Calibri" w:eastAsia="Times New Roman" w:hAnsi="Calibri"/>
              <w:color w:val="000000"/>
              <w:sz w:val="12"/>
              <w:szCs w:val="12"/>
            </w:rPr>
          </w:pPr>
          <w:r w:rsidRPr="009605B2">
            <w:rPr>
              <w:rFonts w:ascii="Calibri" w:eastAsia="Times New Roman" w:hAnsi="Calibri"/>
              <w:color w:val="000000"/>
              <w:sz w:val="12"/>
              <w:szCs w:val="12"/>
            </w:rPr>
            <w:t>Household Housing Unit</w:t>
          </w:r>
        </w:p>
      </w:tc>
      <w:tc>
        <w:tcPr>
          <w:tcW w:w="763" w:type="dxa"/>
          <w:tcBorders>
            <w:top w:val="nil"/>
            <w:left w:val="nil"/>
            <w:bottom w:val="single" w:sz="8" w:space="0" w:color="auto"/>
            <w:right w:val="single" w:sz="8" w:space="0" w:color="auto"/>
          </w:tcBorders>
          <w:shd w:val="clear" w:color="auto" w:fill="auto"/>
          <w:vAlign w:val="center"/>
          <w:hideMark/>
        </w:tcPr>
        <w:p w14:paraId="71E25442" w14:textId="77777777" w:rsidR="005F3FCF" w:rsidRPr="00A60631" w:rsidRDefault="005F3FCF" w:rsidP="00816745">
          <w:pPr>
            <w:jc w:val="center"/>
            <w:rPr>
              <w:rFonts w:ascii="Calibri" w:eastAsia="Times New Roman" w:hAnsi="Calibri"/>
              <w:color w:val="000000"/>
              <w:sz w:val="12"/>
              <w:szCs w:val="12"/>
            </w:rPr>
          </w:pPr>
          <w:r w:rsidRPr="00A60631">
            <w:rPr>
              <w:rFonts w:ascii="Calibri" w:eastAsia="Times New Roman" w:hAnsi="Calibri"/>
              <w:color w:val="000000"/>
              <w:sz w:val="12"/>
              <w:szCs w:val="12"/>
            </w:rPr>
            <w:t>1325</w:t>
          </w:r>
        </w:p>
      </w:tc>
      <w:tc>
        <w:tcPr>
          <w:tcW w:w="763" w:type="dxa"/>
          <w:tcBorders>
            <w:top w:val="nil"/>
            <w:left w:val="nil"/>
            <w:bottom w:val="single" w:sz="8" w:space="0" w:color="auto"/>
            <w:right w:val="single" w:sz="8" w:space="0" w:color="auto"/>
          </w:tcBorders>
          <w:shd w:val="clear" w:color="auto" w:fill="auto"/>
          <w:vAlign w:val="center"/>
          <w:hideMark/>
        </w:tcPr>
        <w:p w14:paraId="12C759CC" w14:textId="77777777" w:rsidR="005F3FCF" w:rsidRDefault="005F3FCF" w:rsidP="00816745">
          <w:pPr>
            <w:jc w:val="center"/>
            <w:rPr>
              <w:rFonts w:ascii="Calibri" w:eastAsia="Times New Roman" w:hAnsi="Calibri"/>
              <w:color w:val="000000"/>
              <w:sz w:val="12"/>
              <w:szCs w:val="12"/>
            </w:rPr>
          </w:pPr>
        </w:p>
        <w:p w14:paraId="04CC974B" w14:textId="77777777" w:rsidR="005F3FCF" w:rsidRDefault="005F3FCF" w:rsidP="00816745">
          <w:pPr>
            <w:jc w:val="center"/>
            <w:rPr>
              <w:rFonts w:ascii="Calibri" w:eastAsia="Times New Roman" w:hAnsi="Calibri"/>
              <w:color w:val="000000"/>
              <w:sz w:val="12"/>
              <w:szCs w:val="12"/>
            </w:rPr>
          </w:pPr>
          <w:r>
            <w:rPr>
              <w:rFonts w:ascii="Calibri" w:eastAsia="Times New Roman" w:hAnsi="Calibri"/>
              <w:color w:val="000000"/>
              <w:sz w:val="12"/>
              <w:szCs w:val="12"/>
            </w:rPr>
            <w:t>837</w:t>
          </w:r>
        </w:p>
        <w:p w14:paraId="37D4C3DB" w14:textId="77777777" w:rsidR="005F3FCF" w:rsidRPr="00A60631" w:rsidRDefault="005F3FCF" w:rsidP="00816745">
          <w:pPr>
            <w:jc w:val="center"/>
            <w:rPr>
              <w:rFonts w:ascii="Calibri" w:eastAsia="Times New Roman" w:hAnsi="Calibri"/>
              <w:color w:val="000000"/>
              <w:sz w:val="12"/>
              <w:szCs w:val="12"/>
            </w:rPr>
          </w:pPr>
        </w:p>
      </w:tc>
      <w:tc>
        <w:tcPr>
          <w:tcW w:w="698" w:type="dxa"/>
          <w:tcBorders>
            <w:top w:val="nil"/>
            <w:left w:val="nil"/>
            <w:bottom w:val="single" w:sz="8" w:space="0" w:color="auto"/>
            <w:right w:val="single" w:sz="8" w:space="0" w:color="auto"/>
          </w:tcBorders>
          <w:shd w:val="clear" w:color="auto" w:fill="auto"/>
          <w:vAlign w:val="center"/>
          <w:hideMark/>
        </w:tcPr>
        <w:p w14:paraId="786A7774" w14:textId="77777777" w:rsidR="005F3FCF" w:rsidRPr="00A60631" w:rsidRDefault="005F3FCF" w:rsidP="00816745">
          <w:pPr>
            <w:jc w:val="center"/>
            <w:rPr>
              <w:rFonts w:ascii="Calibri" w:eastAsia="Times New Roman" w:hAnsi="Calibri"/>
              <w:color w:val="000000"/>
              <w:sz w:val="12"/>
              <w:szCs w:val="12"/>
            </w:rPr>
          </w:pPr>
          <w:r>
            <w:rPr>
              <w:rFonts w:ascii="Calibri" w:eastAsia="Times New Roman" w:hAnsi="Calibri"/>
              <w:color w:val="000000"/>
              <w:sz w:val="12"/>
              <w:szCs w:val="12"/>
            </w:rPr>
            <w:t>63</w:t>
          </w:r>
          <w:r w:rsidRPr="00A60631">
            <w:rPr>
              <w:rFonts w:ascii="Calibri" w:eastAsia="Times New Roman" w:hAnsi="Calibri"/>
              <w:color w:val="000000"/>
              <w:sz w:val="12"/>
              <w:szCs w:val="12"/>
            </w:rPr>
            <w:t>%</w:t>
          </w:r>
        </w:p>
      </w:tc>
      <w:tc>
        <w:tcPr>
          <w:tcW w:w="672" w:type="dxa"/>
          <w:tcBorders>
            <w:top w:val="nil"/>
            <w:left w:val="nil"/>
            <w:bottom w:val="single" w:sz="8" w:space="0" w:color="auto"/>
            <w:right w:val="single" w:sz="8" w:space="0" w:color="auto"/>
          </w:tcBorders>
          <w:shd w:val="clear" w:color="auto" w:fill="auto"/>
          <w:vAlign w:val="center"/>
          <w:hideMark/>
        </w:tcPr>
        <w:p w14:paraId="2775A79C" w14:textId="77777777" w:rsidR="005F3FCF" w:rsidRPr="009605B2" w:rsidRDefault="005F3FCF" w:rsidP="00816745">
          <w:pPr>
            <w:jc w:val="center"/>
            <w:rPr>
              <w:rFonts w:ascii="Calibri" w:eastAsia="Times New Roman" w:hAnsi="Calibri"/>
              <w:color w:val="000000"/>
              <w:sz w:val="12"/>
              <w:szCs w:val="12"/>
            </w:rPr>
          </w:pPr>
          <w:r>
            <w:rPr>
              <w:rFonts w:ascii="Calibri" w:eastAsia="Times New Roman" w:hAnsi="Calibri"/>
              <w:color w:val="000000"/>
              <w:sz w:val="12"/>
              <w:szCs w:val="12"/>
            </w:rPr>
            <w:t>265</w:t>
          </w:r>
        </w:p>
      </w:tc>
      <w:tc>
        <w:tcPr>
          <w:tcW w:w="672" w:type="dxa"/>
          <w:tcBorders>
            <w:top w:val="nil"/>
            <w:left w:val="nil"/>
            <w:bottom w:val="single" w:sz="8" w:space="0" w:color="auto"/>
            <w:right w:val="single" w:sz="8" w:space="0" w:color="auto"/>
          </w:tcBorders>
          <w:shd w:val="clear" w:color="auto" w:fill="auto"/>
          <w:vAlign w:val="center"/>
          <w:hideMark/>
        </w:tcPr>
        <w:p w14:paraId="67ABD8EC" w14:textId="77777777" w:rsidR="005F3FCF" w:rsidRPr="009605B2" w:rsidRDefault="005F3FCF" w:rsidP="00816745">
          <w:pPr>
            <w:jc w:val="center"/>
            <w:rPr>
              <w:rFonts w:ascii="Calibri" w:eastAsia="Times New Roman" w:hAnsi="Calibri"/>
              <w:color w:val="000000"/>
              <w:sz w:val="12"/>
              <w:szCs w:val="12"/>
            </w:rPr>
          </w:pPr>
          <w:r>
            <w:rPr>
              <w:rFonts w:ascii="Calibri" w:eastAsia="Times New Roman" w:hAnsi="Calibri"/>
              <w:color w:val="000000"/>
              <w:sz w:val="12"/>
              <w:szCs w:val="12"/>
            </w:rPr>
            <w:t>237</w:t>
          </w:r>
        </w:p>
      </w:tc>
      <w:tc>
        <w:tcPr>
          <w:tcW w:w="698" w:type="dxa"/>
          <w:tcBorders>
            <w:top w:val="nil"/>
            <w:left w:val="nil"/>
            <w:bottom w:val="single" w:sz="8" w:space="0" w:color="auto"/>
            <w:right w:val="single" w:sz="8" w:space="0" w:color="auto"/>
          </w:tcBorders>
          <w:shd w:val="clear" w:color="auto" w:fill="auto"/>
          <w:vAlign w:val="center"/>
          <w:hideMark/>
        </w:tcPr>
        <w:p w14:paraId="46ADB9FD" w14:textId="77777777" w:rsidR="005F3FCF" w:rsidRPr="009605B2" w:rsidRDefault="005F3FCF" w:rsidP="00816745">
          <w:pPr>
            <w:jc w:val="center"/>
            <w:rPr>
              <w:rFonts w:ascii="Calibri" w:eastAsia="Times New Roman" w:hAnsi="Calibri"/>
              <w:color w:val="000000"/>
              <w:sz w:val="12"/>
              <w:szCs w:val="12"/>
            </w:rPr>
          </w:pPr>
          <w:r>
            <w:rPr>
              <w:rFonts w:ascii="Calibri" w:eastAsia="Times New Roman" w:hAnsi="Calibri"/>
              <w:color w:val="000000"/>
              <w:sz w:val="12"/>
              <w:szCs w:val="12"/>
            </w:rPr>
            <w:t>89</w:t>
          </w:r>
          <w:r w:rsidRPr="009605B2">
            <w:rPr>
              <w:rFonts w:ascii="Calibri" w:eastAsia="Times New Roman" w:hAnsi="Calibri"/>
              <w:color w:val="000000"/>
              <w:sz w:val="12"/>
              <w:szCs w:val="12"/>
            </w:rPr>
            <w:t>%</w:t>
          </w:r>
        </w:p>
      </w:tc>
    </w:tr>
    <w:tr w:rsidR="005F3FCF" w:rsidRPr="009605B2" w14:paraId="314FD1DD" w14:textId="77777777" w:rsidTr="005F3FCF">
      <w:trPr>
        <w:trHeight w:val="342"/>
      </w:trPr>
      <w:tc>
        <w:tcPr>
          <w:tcW w:w="2251" w:type="dxa"/>
          <w:tcBorders>
            <w:top w:val="nil"/>
            <w:left w:val="single" w:sz="8" w:space="0" w:color="auto"/>
            <w:bottom w:val="single" w:sz="8" w:space="0" w:color="auto"/>
            <w:right w:val="single" w:sz="8" w:space="0" w:color="auto"/>
          </w:tcBorders>
          <w:shd w:val="clear" w:color="auto" w:fill="auto"/>
          <w:vAlign w:val="center"/>
          <w:hideMark/>
        </w:tcPr>
        <w:p w14:paraId="4CBB6D18"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Improve Infrastructure in Distressed Neighborhoods</w:t>
          </w:r>
        </w:p>
      </w:tc>
      <w:tc>
        <w:tcPr>
          <w:tcW w:w="662" w:type="dxa"/>
          <w:tcBorders>
            <w:top w:val="nil"/>
            <w:left w:val="nil"/>
            <w:bottom w:val="single" w:sz="8" w:space="0" w:color="auto"/>
            <w:right w:val="single" w:sz="8" w:space="0" w:color="auto"/>
          </w:tcBorders>
          <w:shd w:val="clear" w:color="auto" w:fill="auto"/>
          <w:vAlign w:val="center"/>
          <w:hideMark/>
        </w:tcPr>
        <w:p w14:paraId="4D550DA8"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NHCD</w:t>
          </w:r>
        </w:p>
      </w:tc>
      <w:tc>
        <w:tcPr>
          <w:tcW w:w="621" w:type="dxa"/>
          <w:tcBorders>
            <w:top w:val="nil"/>
            <w:left w:val="nil"/>
            <w:bottom w:val="single" w:sz="8" w:space="0" w:color="auto"/>
            <w:right w:val="single" w:sz="8" w:space="0" w:color="auto"/>
          </w:tcBorders>
          <w:shd w:val="clear" w:color="auto" w:fill="auto"/>
          <w:vAlign w:val="center"/>
          <w:hideMark/>
        </w:tcPr>
        <w:p w14:paraId="52F9BB00"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CDBG</w:t>
          </w:r>
        </w:p>
      </w:tc>
      <w:tc>
        <w:tcPr>
          <w:tcW w:w="2074" w:type="dxa"/>
          <w:tcBorders>
            <w:top w:val="nil"/>
            <w:left w:val="nil"/>
            <w:bottom w:val="single" w:sz="8" w:space="0" w:color="auto"/>
            <w:right w:val="single" w:sz="8" w:space="0" w:color="auto"/>
          </w:tcBorders>
          <w:shd w:val="clear" w:color="auto" w:fill="auto"/>
          <w:vAlign w:val="center"/>
          <w:hideMark/>
        </w:tcPr>
        <w:p w14:paraId="5187C817"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Public Facility or Infrastructure Activities other than Low/Moderate Income Housing Benefit</w:t>
          </w:r>
        </w:p>
      </w:tc>
      <w:tc>
        <w:tcPr>
          <w:tcW w:w="788" w:type="dxa"/>
          <w:tcBorders>
            <w:top w:val="nil"/>
            <w:left w:val="nil"/>
            <w:bottom w:val="single" w:sz="8" w:space="0" w:color="auto"/>
            <w:right w:val="single" w:sz="8" w:space="0" w:color="auto"/>
          </w:tcBorders>
          <w:shd w:val="clear" w:color="auto" w:fill="auto"/>
          <w:vAlign w:val="center"/>
          <w:hideMark/>
        </w:tcPr>
        <w:p w14:paraId="6113F312" w14:textId="77777777" w:rsidR="005F3FCF" w:rsidRPr="009605B2" w:rsidRDefault="005F3FCF" w:rsidP="00816745">
          <w:pPr>
            <w:jc w:val="center"/>
            <w:rPr>
              <w:rFonts w:ascii="Calibri" w:eastAsia="Times New Roman" w:hAnsi="Calibri"/>
              <w:color w:val="000000"/>
              <w:sz w:val="12"/>
              <w:szCs w:val="12"/>
            </w:rPr>
          </w:pPr>
          <w:r w:rsidRPr="009605B2">
            <w:rPr>
              <w:rFonts w:ascii="Calibri" w:eastAsia="Times New Roman" w:hAnsi="Calibri"/>
              <w:color w:val="000000"/>
              <w:sz w:val="12"/>
              <w:szCs w:val="12"/>
            </w:rPr>
            <w:t>Persons Assisted</w:t>
          </w:r>
        </w:p>
      </w:tc>
      <w:tc>
        <w:tcPr>
          <w:tcW w:w="763" w:type="dxa"/>
          <w:tcBorders>
            <w:top w:val="nil"/>
            <w:left w:val="nil"/>
            <w:bottom w:val="single" w:sz="8" w:space="0" w:color="auto"/>
            <w:right w:val="single" w:sz="8" w:space="0" w:color="auto"/>
          </w:tcBorders>
          <w:shd w:val="clear" w:color="auto" w:fill="auto"/>
          <w:vAlign w:val="center"/>
          <w:hideMark/>
        </w:tcPr>
        <w:p w14:paraId="5560D5C6" w14:textId="77777777" w:rsidR="005F3FCF" w:rsidRPr="00A60631" w:rsidRDefault="005F3FCF" w:rsidP="00816745">
          <w:pPr>
            <w:jc w:val="center"/>
            <w:rPr>
              <w:rFonts w:ascii="Calibri" w:eastAsia="Times New Roman" w:hAnsi="Calibri"/>
              <w:color w:val="000000"/>
              <w:sz w:val="12"/>
              <w:szCs w:val="12"/>
            </w:rPr>
          </w:pPr>
          <w:r w:rsidRPr="00A60631">
            <w:rPr>
              <w:rFonts w:ascii="Calibri" w:eastAsia="Times New Roman" w:hAnsi="Calibri"/>
              <w:color w:val="000000"/>
              <w:sz w:val="12"/>
              <w:szCs w:val="12"/>
            </w:rPr>
            <w:t>100000</w:t>
          </w:r>
        </w:p>
      </w:tc>
      <w:tc>
        <w:tcPr>
          <w:tcW w:w="763" w:type="dxa"/>
          <w:tcBorders>
            <w:top w:val="nil"/>
            <w:left w:val="nil"/>
            <w:bottom w:val="single" w:sz="8" w:space="0" w:color="auto"/>
            <w:right w:val="single" w:sz="8" w:space="0" w:color="auto"/>
          </w:tcBorders>
          <w:shd w:val="clear" w:color="auto" w:fill="auto"/>
          <w:vAlign w:val="center"/>
          <w:hideMark/>
        </w:tcPr>
        <w:p w14:paraId="7EF5FDC5" w14:textId="77777777" w:rsidR="005F3FCF" w:rsidRPr="00A60631" w:rsidRDefault="005F3FCF" w:rsidP="00816745">
          <w:pPr>
            <w:jc w:val="center"/>
            <w:rPr>
              <w:rFonts w:ascii="Calibri" w:eastAsia="Times New Roman" w:hAnsi="Calibri"/>
              <w:color w:val="000000"/>
              <w:sz w:val="12"/>
              <w:szCs w:val="12"/>
            </w:rPr>
          </w:pPr>
          <w:r w:rsidRPr="00A60631">
            <w:rPr>
              <w:rFonts w:ascii="Calibri" w:eastAsia="Times New Roman" w:hAnsi="Calibri"/>
              <w:color w:val="000000"/>
              <w:sz w:val="12"/>
              <w:szCs w:val="12"/>
            </w:rPr>
            <w:t>0</w:t>
          </w:r>
        </w:p>
      </w:tc>
      <w:tc>
        <w:tcPr>
          <w:tcW w:w="698" w:type="dxa"/>
          <w:tcBorders>
            <w:top w:val="nil"/>
            <w:left w:val="nil"/>
            <w:bottom w:val="single" w:sz="8" w:space="0" w:color="auto"/>
            <w:right w:val="single" w:sz="8" w:space="0" w:color="auto"/>
          </w:tcBorders>
          <w:shd w:val="clear" w:color="auto" w:fill="auto"/>
          <w:vAlign w:val="center"/>
          <w:hideMark/>
        </w:tcPr>
        <w:p w14:paraId="3E155D89" w14:textId="77777777" w:rsidR="005F3FCF" w:rsidRPr="00A60631" w:rsidRDefault="005F3FCF" w:rsidP="00816745">
          <w:pPr>
            <w:jc w:val="center"/>
            <w:rPr>
              <w:rFonts w:ascii="Calibri" w:eastAsia="Times New Roman" w:hAnsi="Calibri"/>
              <w:color w:val="000000"/>
              <w:sz w:val="12"/>
              <w:szCs w:val="12"/>
            </w:rPr>
          </w:pPr>
          <w:r w:rsidRPr="00A60631">
            <w:rPr>
              <w:rFonts w:ascii="Calibri" w:eastAsia="Times New Roman" w:hAnsi="Calibri"/>
              <w:color w:val="000000"/>
              <w:sz w:val="12"/>
              <w:szCs w:val="12"/>
            </w:rPr>
            <w:t>0%</w:t>
          </w:r>
        </w:p>
      </w:tc>
      <w:tc>
        <w:tcPr>
          <w:tcW w:w="672" w:type="dxa"/>
          <w:tcBorders>
            <w:top w:val="nil"/>
            <w:left w:val="nil"/>
            <w:bottom w:val="single" w:sz="8" w:space="0" w:color="auto"/>
            <w:right w:val="single" w:sz="8" w:space="0" w:color="auto"/>
          </w:tcBorders>
          <w:shd w:val="clear" w:color="auto" w:fill="auto"/>
          <w:vAlign w:val="center"/>
          <w:hideMark/>
        </w:tcPr>
        <w:p w14:paraId="54B22B0F" w14:textId="77777777" w:rsidR="005F3FCF" w:rsidRPr="009605B2" w:rsidRDefault="005F3FCF" w:rsidP="00816745">
          <w:pPr>
            <w:jc w:val="center"/>
            <w:rPr>
              <w:rFonts w:ascii="Calibri" w:eastAsia="Times New Roman" w:hAnsi="Calibri"/>
              <w:color w:val="000000"/>
              <w:sz w:val="12"/>
              <w:szCs w:val="12"/>
            </w:rPr>
          </w:pPr>
          <w:r w:rsidRPr="009605B2">
            <w:rPr>
              <w:rFonts w:ascii="Calibri" w:eastAsia="Times New Roman" w:hAnsi="Calibri"/>
              <w:color w:val="000000"/>
              <w:sz w:val="12"/>
              <w:szCs w:val="12"/>
            </w:rPr>
            <w:t>20000</w:t>
          </w:r>
        </w:p>
      </w:tc>
      <w:tc>
        <w:tcPr>
          <w:tcW w:w="672" w:type="dxa"/>
          <w:tcBorders>
            <w:top w:val="nil"/>
            <w:left w:val="nil"/>
            <w:bottom w:val="single" w:sz="8" w:space="0" w:color="auto"/>
            <w:right w:val="single" w:sz="8" w:space="0" w:color="auto"/>
          </w:tcBorders>
          <w:shd w:val="clear" w:color="auto" w:fill="auto"/>
          <w:vAlign w:val="center"/>
          <w:hideMark/>
        </w:tcPr>
        <w:p w14:paraId="522AB391" w14:textId="77777777" w:rsidR="005F3FCF" w:rsidRPr="009605B2" w:rsidRDefault="005F3FCF" w:rsidP="00816745">
          <w:pPr>
            <w:jc w:val="center"/>
            <w:rPr>
              <w:rFonts w:ascii="Calibri" w:eastAsia="Times New Roman" w:hAnsi="Calibri"/>
              <w:color w:val="000000"/>
              <w:sz w:val="12"/>
              <w:szCs w:val="12"/>
            </w:rPr>
          </w:pPr>
          <w:r>
            <w:rPr>
              <w:rFonts w:ascii="Calibri" w:eastAsia="Times New Roman" w:hAnsi="Calibri"/>
              <w:color w:val="000000"/>
              <w:sz w:val="12"/>
              <w:szCs w:val="12"/>
            </w:rPr>
            <w:t>N/A</w:t>
          </w:r>
        </w:p>
      </w:tc>
      <w:tc>
        <w:tcPr>
          <w:tcW w:w="698" w:type="dxa"/>
          <w:tcBorders>
            <w:top w:val="nil"/>
            <w:left w:val="nil"/>
            <w:bottom w:val="single" w:sz="8" w:space="0" w:color="auto"/>
            <w:right w:val="single" w:sz="8" w:space="0" w:color="auto"/>
          </w:tcBorders>
          <w:shd w:val="clear" w:color="auto" w:fill="auto"/>
          <w:vAlign w:val="center"/>
          <w:hideMark/>
        </w:tcPr>
        <w:p w14:paraId="4B37A8B4" w14:textId="77777777" w:rsidR="005F3FCF" w:rsidRPr="009605B2" w:rsidRDefault="005F3FCF" w:rsidP="00816745">
          <w:pPr>
            <w:jc w:val="center"/>
            <w:rPr>
              <w:rFonts w:ascii="Calibri" w:eastAsia="Times New Roman" w:hAnsi="Calibri"/>
              <w:color w:val="000000"/>
              <w:sz w:val="12"/>
              <w:szCs w:val="12"/>
            </w:rPr>
          </w:pPr>
          <w:r>
            <w:rPr>
              <w:rFonts w:ascii="Calibri" w:eastAsia="Times New Roman" w:hAnsi="Calibri"/>
              <w:color w:val="000000"/>
              <w:sz w:val="12"/>
              <w:szCs w:val="12"/>
            </w:rPr>
            <w:t>N/A</w:t>
          </w:r>
        </w:p>
      </w:tc>
    </w:tr>
    <w:tr w:rsidR="005F3FCF" w:rsidRPr="009605B2" w14:paraId="08B7C8B6" w14:textId="77777777" w:rsidTr="005F3FCF">
      <w:trPr>
        <w:trHeight w:val="294"/>
      </w:trPr>
      <w:tc>
        <w:tcPr>
          <w:tcW w:w="2251" w:type="dxa"/>
          <w:tcBorders>
            <w:top w:val="nil"/>
            <w:left w:val="single" w:sz="8" w:space="0" w:color="auto"/>
            <w:bottom w:val="single" w:sz="8" w:space="0" w:color="auto"/>
            <w:right w:val="single" w:sz="8" w:space="0" w:color="auto"/>
          </w:tcBorders>
          <w:shd w:val="clear" w:color="auto" w:fill="auto"/>
          <w:vAlign w:val="center"/>
          <w:hideMark/>
        </w:tcPr>
        <w:p w14:paraId="5E32E845"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Improve Infrastructure in Distressed Neighborhoods</w:t>
          </w:r>
        </w:p>
      </w:tc>
      <w:tc>
        <w:tcPr>
          <w:tcW w:w="662" w:type="dxa"/>
          <w:tcBorders>
            <w:top w:val="nil"/>
            <w:left w:val="nil"/>
            <w:bottom w:val="single" w:sz="8" w:space="0" w:color="auto"/>
            <w:right w:val="single" w:sz="8" w:space="0" w:color="auto"/>
          </w:tcBorders>
          <w:shd w:val="clear" w:color="auto" w:fill="auto"/>
          <w:vAlign w:val="center"/>
          <w:hideMark/>
        </w:tcPr>
        <w:p w14:paraId="620588DD"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NHCD</w:t>
          </w:r>
        </w:p>
      </w:tc>
      <w:tc>
        <w:tcPr>
          <w:tcW w:w="621" w:type="dxa"/>
          <w:tcBorders>
            <w:top w:val="nil"/>
            <w:left w:val="nil"/>
            <w:bottom w:val="single" w:sz="8" w:space="0" w:color="auto"/>
            <w:right w:val="single" w:sz="8" w:space="0" w:color="auto"/>
          </w:tcBorders>
          <w:shd w:val="clear" w:color="auto" w:fill="auto"/>
          <w:vAlign w:val="center"/>
          <w:hideMark/>
        </w:tcPr>
        <w:p w14:paraId="09607269"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CDBG</w:t>
          </w:r>
        </w:p>
      </w:tc>
      <w:tc>
        <w:tcPr>
          <w:tcW w:w="2074" w:type="dxa"/>
          <w:tcBorders>
            <w:top w:val="nil"/>
            <w:left w:val="nil"/>
            <w:bottom w:val="single" w:sz="8" w:space="0" w:color="auto"/>
            <w:right w:val="single" w:sz="8" w:space="0" w:color="auto"/>
          </w:tcBorders>
          <w:shd w:val="clear" w:color="auto" w:fill="auto"/>
          <w:vAlign w:val="center"/>
          <w:hideMark/>
        </w:tcPr>
        <w:p w14:paraId="5411DDBE"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Homeless Person Overnight Shelter</w:t>
          </w:r>
        </w:p>
      </w:tc>
      <w:tc>
        <w:tcPr>
          <w:tcW w:w="788" w:type="dxa"/>
          <w:tcBorders>
            <w:top w:val="nil"/>
            <w:left w:val="nil"/>
            <w:bottom w:val="single" w:sz="8" w:space="0" w:color="auto"/>
            <w:right w:val="single" w:sz="8" w:space="0" w:color="auto"/>
          </w:tcBorders>
          <w:shd w:val="clear" w:color="auto" w:fill="auto"/>
          <w:vAlign w:val="center"/>
          <w:hideMark/>
        </w:tcPr>
        <w:p w14:paraId="4C749352" w14:textId="77777777" w:rsidR="005F3FCF" w:rsidRPr="009605B2" w:rsidRDefault="005F3FCF" w:rsidP="00816745">
          <w:pPr>
            <w:jc w:val="center"/>
            <w:rPr>
              <w:rFonts w:ascii="Calibri" w:eastAsia="Times New Roman" w:hAnsi="Calibri"/>
              <w:color w:val="000000"/>
              <w:sz w:val="12"/>
              <w:szCs w:val="12"/>
            </w:rPr>
          </w:pPr>
          <w:r w:rsidRPr="009605B2">
            <w:rPr>
              <w:rFonts w:ascii="Calibri" w:eastAsia="Times New Roman" w:hAnsi="Calibri"/>
              <w:color w:val="000000"/>
              <w:sz w:val="12"/>
              <w:szCs w:val="12"/>
            </w:rPr>
            <w:t>Persons Assisted</w:t>
          </w:r>
        </w:p>
      </w:tc>
      <w:tc>
        <w:tcPr>
          <w:tcW w:w="763" w:type="dxa"/>
          <w:tcBorders>
            <w:top w:val="nil"/>
            <w:left w:val="nil"/>
            <w:bottom w:val="single" w:sz="8" w:space="0" w:color="auto"/>
            <w:right w:val="single" w:sz="8" w:space="0" w:color="auto"/>
          </w:tcBorders>
          <w:shd w:val="clear" w:color="auto" w:fill="auto"/>
          <w:vAlign w:val="center"/>
          <w:hideMark/>
        </w:tcPr>
        <w:p w14:paraId="2F448DB4" w14:textId="77777777" w:rsidR="005F3FCF" w:rsidRPr="00A60631" w:rsidRDefault="005F3FCF" w:rsidP="00816745">
          <w:pPr>
            <w:jc w:val="center"/>
            <w:rPr>
              <w:rFonts w:ascii="Calibri" w:eastAsia="Times New Roman" w:hAnsi="Calibri"/>
              <w:color w:val="000000"/>
              <w:sz w:val="12"/>
              <w:szCs w:val="12"/>
            </w:rPr>
          </w:pPr>
          <w:r w:rsidRPr="00A60631">
            <w:rPr>
              <w:rFonts w:ascii="Calibri" w:eastAsia="Times New Roman" w:hAnsi="Calibri"/>
              <w:color w:val="000000"/>
              <w:sz w:val="12"/>
              <w:szCs w:val="12"/>
            </w:rPr>
            <w:t>0</w:t>
          </w:r>
        </w:p>
      </w:tc>
      <w:tc>
        <w:tcPr>
          <w:tcW w:w="763" w:type="dxa"/>
          <w:tcBorders>
            <w:top w:val="nil"/>
            <w:left w:val="nil"/>
            <w:bottom w:val="single" w:sz="8" w:space="0" w:color="auto"/>
            <w:right w:val="single" w:sz="8" w:space="0" w:color="auto"/>
          </w:tcBorders>
          <w:shd w:val="clear" w:color="auto" w:fill="auto"/>
          <w:vAlign w:val="center"/>
          <w:hideMark/>
        </w:tcPr>
        <w:p w14:paraId="73FCEEDB" w14:textId="77777777" w:rsidR="005F3FCF" w:rsidRPr="00A60631" w:rsidRDefault="005F3FCF" w:rsidP="00816745">
          <w:pPr>
            <w:jc w:val="center"/>
            <w:rPr>
              <w:rFonts w:ascii="Calibri" w:eastAsia="Times New Roman" w:hAnsi="Calibri"/>
              <w:color w:val="000000"/>
              <w:sz w:val="12"/>
              <w:szCs w:val="12"/>
            </w:rPr>
          </w:pPr>
          <w:r w:rsidRPr="00A60631">
            <w:rPr>
              <w:rFonts w:ascii="Calibri" w:eastAsia="Times New Roman" w:hAnsi="Calibri"/>
              <w:color w:val="000000"/>
              <w:sz w:val="12"/>
              <w:szCs w:val="12"/>
            </w:rPr>
            <w:t>N/A</w:t>
          </w:r>
        </w:p>
      </w:tc>
      <w:tc>
        <w:tcPr>
          <w:tcW w:w="698" w:type="dxa"/>
          <w:tcBorders>
            <w:top w:val="nil"/>
            <w:left w:val="nil"/>
            <w:bottom w:val="single" w:sz="8" w:space="0" w:color="auto"/>
            <w:right w:val="single" w:sz="8" w:space="0" w:color="auto"/>
          </w:tcBorders>
          <w:shd w:val="clear" w:color="auto" w:fill="auto"/>
          <w:vAlign w:val="center"/>
          <w:hideMark/>
        </w:tcPr>
        <w:p w14:paraId="496437CD" w14:textId="77777777" w:rsidR="005F3FCF" w:rsidRPr="00A60631" w:rsidRDefault="005F3FCF" w:rsidP="00816745">
          <w:pPr>
            <w:jc w:val="center"/>
            <w:rPr>
              <w:rFonts w:ascii="Calibri" w:eastAsia="Times New Roman" w:hAnsi="Calibri"/>
              <w:color w:val="000000"/>
              <w:sz w:val="12"/>
              <w:szCs w:val="12"/>
            </w:rPr>
          </w:pPr>
          <w:r w:rsidRPr="00A60631">
            <w:rPr>
              <w:rFonts w:ascii="Calibri" w:eastAsia="Times New Roman" w:hAnsi="Calibri"/>
              <w:color w:val="000000"/>
              <w:sz w:val="12"/>
              <w:szCs w:val="12"/>
            </w:rPr>
            <w:t>N/A</w:t>
          </w:r>
        </w:p>
      </w:tc>
      <w:tc>
        <w:tcPr>
          <w:tcW w:w="672" w:type="dxa"/>
          <w:tcBorders>
            <w:top w:val="nil"/>
            <w:left w:val="nil"/>
            <w:bottom w:val="single" w:sz="8" w:space="0" w:color="auto"/>
            <w:right w:val="single" w:sz="8" w:space="0" w:color="auto"/>
          </w:tcBorders>
          <w:shd w:val="clear" w:color="auto" w:fill="auto"/>
          <w:vAlign w:val="center"/>
          <w:hideMark/>
        </w:tcPr>
        <w:p w14:paraId="24BD9136" w14:textId="77777777" w:rsidR="005F3FCF" w:rsidRPr="009605B2" w:rsidRDefault="005F3FCF" w:rsidP="00816745">
          <w:pPr>
            <w:jc w:val="center"/>
            <w:rPr>
              <w:rFonts w:ascii="Calibri" w:eastAsia="Times New Roman" w:hAnsi="Calibri"/>
              <w:color w:val="000000"/>
              <w:sz w:val="12"/>
              <w:szCs w:val="12"/>
            </w:rPr>
          </w:pPr>
          <w:r w:rsidRPr="009605B2">
            <w:rPr>
              <w:rFonts w:ascii="Calibri" w:eastAsia="Times New Roman" w:hAnsi="Calibri"/>
              <w:color w:val="000000"/>
              <w:sz w:val="12"/>
              <w:szCs w:val="12"/>
            </w:rPr>
            <w:t>0</w:t>
          </w:r>
        </w:p>
      </w:tc>
      <w:tc>
        <w:tcPr>
          <w:tcW w:w="672" w:type="dxa"/>
          <w:tcBorders>
            <w:top w:val="nil"/>
            <w:left w:val="nil"/>
            <w:bottom w:val="single" w:sz="8" w:space="0" w:color="auto"/>
            <w:right w:val="single" w:sz="8" w:space="0" w:color="auto"/>
          </w:tcBorders>
          <w:shd w:val="clear" w:color="auto" w:fill="auto"/>
          <w:vAlign w:val="center"/>
          <w:hideMark/>
        </w:tcPr>
        <w:p w14:paraId="17788103" w14:textId="77777777" w:rsidR="005F3FCF" w:rsidRPr="009605B2" w:rsidRDefault="005F3FCF" w:rsidP="00816745">
          <w:pPr>
            <w:jc w:val="center"/>
            <w:rPr>
              <w:rFonts w:ascii="Calibri" w:eastAsia="Times New Roman" w:hAnsi="Calibri"/>
              <w:color w:val="000000"/>
              <w:sz w:val="12"/>
              <w:szCs w:val="12"/>
            </w:rPr>
          </w:pPr>
          <w:r w:rsidRPr="009605B2">
            <w:rPr>
              <w:rFonts w:ascii="Calibri" w:eastAsia="Times New Roman" w:hAnsi="Calibri"/>
              <w:color w:val="000000"/>
              <w:sz w:val="12"/>
              <w:szCs w:val="12"/>
            </w:rPr>
            <w:t>N/A</w:t>
          </w:r>
        </w:p>
      </w:tc>
      <w:tc>
        <w:tcPr>
          <w:tcW w:w="698" w:type="dxa"/>
          <w:tcBorders>
            <w:top w:val="nil"/>
            <w:left w:val="nil"/>
            <w:bottom w:val="single" w:sz="8" w:space="0" w:color="auto"/>
            <w:right w:val="single" w:sz="8" w:space="0" w:color="auto"/>
          </w:tcBorders>
          <w:shd w:val="clear" w:color="auto" w:fill="auto"/>
          <w:vAlign w:val="center"/>
          <w:hideMark/>
        </w:tcPr>
        <w:p w14:paraId="04FA1301" w14:textId="77777777" w:rsidR="005F3FCF" w:rsidRPr="009605B2" w:rsidRDefault="005F3FCF" w:rsidP="00816745">
          <w:pPr>
            <w:jc w:val="center"/>
            <w:rPr>
              <w:rFonts w:ascii="Calibri" w:eastAsia="Times New Roman" w:hAnsi="Calibri"/>
              <w:color w:val="000000"/>
              <w:sz w:val="12"/>
              <w:szCs w:val="12"/>
            </w:rPr>
          </w:pPr>
          <w:r w:rsidRPr="009605B2">
            <w:rPr>
              <w:rFonts w:ascii="Calibri" w:eastAsia="Times New Roman" w:hAnsi="Calibri"/>
              <w:color w:val="000000"/>
              <w:sz w:val="12"/>
              <w:szCs w:val="12"/>
            </w:rPr>
            <w:t>N/A</w:t>
          </w:r>
        </w:p>
      </w:tc>
    </w:tr>
    <w:tr w:rsidR="005F3FCF" w:rsidRPr="009605B2" w14:paraId="173D177B" w14:textId="77777777" w:rsidTr="005F3FCF">
      <w:trPr>
        <w:trHeight w:val="294"/>
      </w:trPr>
      <w:tc>
        <w:tcPr>
          <w:tcW w:w="2251" w:type="dxa"/>
          <w:tcBorders>
            <w:top w:val="nil"/>
            <w:left w:val="single" w:sz="8" w:space="0" w:color="auto"/>
            <w:bottom w:val="single" w:sz="8" w:space="0" w:color="auto"/>
            <w:right w:val="single" w:sz="8" w:space="0" w:color="auto"/>
          </w:tcBorders>
          <w:shd w:val="clear" w:color="auto" w:fill="auto"/>
          <w:vAlign w:val="center"/>
          <w:hideMark/>
        </w:tcPr>
        <w:p w14:paraId="0D9B9C34"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Improve Infrastructure in Distressed Neighborhoods</w:t>
          </w:r>
        </w:p>
      </w:tc>
      <w:tc>
        <w:tcPr>
          <w:tcW w:w="662" w:type="dxa"/>
          <w:tcBorders>
            <w:top w:val="nil"/>
            <w:left w:val="nil"/>
            <w:bottom w:val="single" w:sz="8" w:space="0" w:color="auto"/>
            <w:right w:val="single" w:sz="8" w:space="0" w:color="auto"/>
          </w:tcBorders>
          <w:shd w:val="clear" w:color="auto" w:fill="auto"/>
          <w:vAlign w:val="center"/>
          <w:hideMark/>
        </w:tcPr>
        <w:p w14:paraId="25C41F34"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NHCD</w:t>
          </w:r>
        </w:p>
      </w:tc>
      <w:tc>
        <w:tcPr>
          <w:tcW w:w="621" w:type="dxa"/>
          <w:tcBorders>
            <w:top w:val="nil"/>
            <w:left w:val="nil"/>
            <w:bottom w:val="single" w:sz="8" w:space="0" w:color="auto"/>
            <w:right w:val="single" w:sz="8" w:space="0" w:color="auto"/>
          </w:tcBorders>
          <w:shd w:val="clear" w:color="auto" w:fill="auto"/>
          <w:vAlign w:val="center"/>
          <w:hideMark/>
        </w:tcPr>
        <w:p w14:paraId="6FEDDD16"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CDBG</w:t>
          </w:r>
        </w:p>
      </w:tc>
      <w:tc>
        <w:tcPr>
          <w:tcW w:w="2074" w:type="dxa"/>
          <w:tcBorders>
            <w:top w:val="nil"/>
            <w:left w:val="nil"/>
            <w:bottom w:val="single" w:sz="8" w:space="0" w:color="auto"/>
            <w:right w:val="single" w:sz="8" w:space="0" w:color="auto"/>
          </w:tcBorders>
          <w:shd w:val="clear" w:color="auto" w:fill="auto"/>
          <w:vAlign w:val="center"/>
          <w:hideMark/>
        </w:tcPr>
        <w:p w14:paraId="134794F9"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Overnight/Emergency Shelter/Transitional Housing Beds added</w:t>
          </w:r>
        </w:p>
      </w:tc>
      <w:tc>
        <w:tcPr>
          <w:tcW w:w="788" w:type="dxa"/>
          <w:tcBorders>
            <w:top w:val="nil"/>
            <w:left w:val="nil"/>
            <w:bottom w:val="single" w:sz="8" w:space="0" w:color="auto"/>
            <w:right w:val="single" w:sz="8" w:space="0" w:color="auto"/>
          </w:tcBorders>
          <w:shd w:val="clear" w:color="auto" w:fill="auto"/>
          <w:vAlign w:val="center"/>
          <w:hideMark/>
        </w:tcPr>
        <w:p w14:paraId="3C2AD139" w14:textId="77777777" w:rsidR="005F3FCF" w:rsidRPr="009605B2" w:rsidRDefault="005F3FCF" w:rsidP="00816745">
          <w:pPr>
            <w:jc w:val="center"/>
            <w:rPr>
              <w:rFonts w:ascii="Calibri" w:eastAsia="Times New Roman" w:hAnsi="Calibri"/>
              <w:color w:val="000000"/>
              <w:sz w:val="12"/>
              <w:szCs w:val="12"/>
            </w:rPr>
          </w:pPr>
          <w:r w:rsidRPr="009605B2">
            <w:rPr>
              <w:rFonts w:ascii="Calibri" w:eastAsia="Times New Roman" w:hAnsi="Calibri"/>
              <w:color w:val="000000"/>
              <w:sz w:val="12"/>
              <w:szCs w:val="12"/>
            </w:rPr>
            <w:t>Beds</w:t>
          </w:r>
        </w:p>
      </w:tc>
      <w:tc>
        <w:tcPr>
          <w:tcW w:w="763" w:type="dxa"/>
          <w:tcBorders>
            <w:top w:val="nil"/>
            <w:left w:val="nil"/>
            <w:bottom w:val="single" w:sz="8" w:space="0" w:color="auto"/>
            <w:right w:val="single" w:sz="8" w:space="0" w:color="auto"/>
          </w:tcBorders>
          <w:shd w:val="clear" w:color="auto" w:fill="auto"/>
          <w:vAlign w:val="center"/>
          <w:hideMark/>
        </w:tcPr>
        <w:p w14:paraId="51A95D75" w14:textId="77777777" w:rsidR="005F3FCF" w:rsidRPr="00A60631" w:rsidRDefault="005F3FCF" w:rsidP="00816745">
          <w:pPr>
            <w:jc w:val="center"/>
            <w:rPr>
              <w:rFonts w:ascii="Calibri" w:eastAsia="Times New Roman" w:hAnsi="Calibri"/>
              <w:color w:val="000000"/>
              <w:sz w:val="12"/>
              <w:szCs w:val="12"/>
            </w:rPr>
          </w:pPr>
          <w:r w:rsidRPr="00A60631">
            <w:rPr>
              <w:rFonts w:ascii="Calibri" w:eastAsia="Times New Roman" w:hAnsi="Calibri"/>
              <w:color w:val="000000"/>
              <w:sz w:val="12"/>
              <w:szCs w:val="12"/>
            </w:rPr>
            <w:t>0</w:t>
          </w:r>
        </w:p>
      </w:tc>
      <w:tc>
        <w:tcPr>
          <w:tcW w:w="763" w:type="dxa"/>
          <w:tcBorders>
            <w:top w:val="nil"/>
            <w:left w:val="nil"/>
            <w:bottom w:val="single" w:sz="8" w:space="0" w:color="auto"/>
            <w:right w:val="single" w:sz="8" w:space="0" w:color="auto"/>
          </w:tcBorders>
          <w:shd w:val="clear" w:color="auto" w:fill="auto"/>
          <w:vAlign w:val="center"/>
          <w:hideMark/>
        </w:tcPr>
        <w:p w14:paraId="697344F7" w14:textId="77777777" w:rsidR="005F3FCF" w:rsidRPr="00A60631" w:rsidRDefault="005F3FCF" w:rsidP="00816745">
          <w:pPr>
            <w:jc w:val="center"/>
            <w:rPr>
              <w:rFonts w:ascii="Calibri" w:eastAsia="Times New Roman" w:hAnsi="Calibri"/>
              <w:color w:val="000000"/>
              <w:sz w:val="12"/>
              <w:szCs w:val="12"/>
            </w:rPr>
          </w:pPr>
          <w:r w:rsidRPr="00A60631">
            <w:rPr>
              <w:rFonts w:ascii="Calibri" w:eastAsia="Times New Roman" w:hAnsi="Calibri"/>
              <w:color w:val="000000"/>
              <w:sz w:val="12"/>
              <w:szCs w:val="12"/>
            </w:rPr>
            <w:t>N/A</w:t>
          </w:r>
        </w:p>
      </w:tc>
      <w:tc>
        <w:tcPr>
          <w:tcW w:w="698" w:type="dxa"/>
          <w:tcBorders>
            <w:top w:val="nil"/>
            <w:left w:val="nil"/>
            <w:bottom w:val="single" w:sz="8" w:space="0" w:color="auto"/>
            <w:right w:val="single" w:sz="8" w:space="0" w:color="auto"/>
          </w:tcBorders>
          <w:shd w:val="clear" w:color="auto" w:fill="auto"/>
          <w:vAlign w:val="center"/>
          <w:hideMark/>
        </w:tcPr>
        <w:p w14:paraId="0629B46A" w14:textId="77777777" w:rsidR="005F3FCF" w:rsidRPr="00A60631" w:rsidRDefault="005F3FCF" w:rsidP="00816745">
          <w:pPr>
            <w:jc w:val="center"/>
            <w:rPr>
              <w:rFonts w:ascii="Calibri" w:eastAsia="Times New Roman" w:hAnsi="Calibri"/>
              <w:color w:val="000000"/>
              <w:sz w:val="12"/>
              <w:szCs w:val="12"/>
            </w:rPr>
          </w:pPr>
          <w:r w:rsidRPr="00A60631">
            <w:rPr>
              <w:rFonts w:ascii="Calibri" w:eastAsia="Times New Roman" w:hAnsi="Calibri"/>
              <w:color w:val="000000"/>
              <w:sz w:val="12"/>
              <w:szCs w:val="12"/>
            </w:rPr>
            <w:t>N/A</w:t>
          </w:r>
        </w:p>
      </w:tc>
      <w:tc>
        <w:tcPr>
          <w:tcW w:w="672" w:type="dxa"/>
          <w:tcBorders>
            <w:top w:val="nil"/>
            <w:left w:val="nil"/>
            <w:bottom w:val="single" w:sz="8" w:space="0" w:color="auto"/>
            <w:right w:val="single" w:sz="8" w:space="0" w:color="auto"/>
          </w:tcBorders>
          <w:shd w:val="clear" w:color="auto" w:fill="auto"/>
          <w:vAlign w:val="center"/>
          <w:hideMark/>
        </w:tcPr>
        <w:p w14:paraId="08FB0394" w14:textId="77777777" w:rsidR="005F3FCF" w:rsidRPr="009605B2" w:rsidRDefault="005F3FCF" w:rsidP="00816745">
          <w:pPr>
            <w:jc w:val="center"/>
            <w:rPr>
              <w:rFonts w:ascii="Calibri" w:eastAsia="Times New Roman" w:hAnsi="Calibri"/>
              <w:color w:val="000000"/>
              <w:sz w:val="12"/>
              <w:szCs w:val="12"/>
            </w:rPr>
          </w:pPr>
          <w:r w:rsidRPr="009605B2">
            <w:rPr>
              <w:rFonts w:ascii="Calibri" w:eastAsia="Times New Roman" w:hAnsi="Calibri"/>
              <w:color w:val="000000"/>
              <w:sz w:val="12"/>
              <w:szCs w:val="12"/>
            </w:rPr>
            <w:t>0</w:t>
          </w:r>
        </w:p>
      </w:tc>
      <w:tc>
        <w:tcPr>
          <w:tcW w:w="672" w:type="dxa"/>
          <w:tcBorders>
            <w:top w:val="nil"/>
            <w:left w:val="nil"/>
            <w:bottom w:val="single" w:sz="8" w:space="0" w:color="auto"/>
            <w:right w:val="single" w:sz="8" w:space="0" w:color="auto"/>
          </w:tcBorders>
          <w:shd w:val="clear" w:color="auto" w:fill="auto"/>
          <w:vAlign w:val="center"/>
          <w:hideMark/>
        </w:tcPr>
        <w:p w14:paraId="20C4F9AB" w14:textId="77777777" w:rsidR="005F3FCF" w:rsidRPr="009605B2" w:rsidRDefault="005F3FCF" w:rsidP="00816745">
          <w:pPr>
            <w:jc w:val="center"/>
            <w:rPr>
              <w:rFonts w:ascii="Calibri" w:eastAsia="Times New Roman" w:hAnsi="Calibri"/>
              <w:color w:val="000000"/>
              <w:sz w:val="12"/>
              <w:szCs w:val="12"/>
            </w:rPr>
          </w:pPr>
          <w:r w:rsidRPr="009605B2">
            <w:rPr>
              <w:rFonts w:ascii="Calibri" w:eastAsia="Times New Roman" w:hAnsi="Calibri"/>
              <w:color w:val="000000"/>
              <w:sz w:val="12"/>
              <w:szCs w:val="12"/>
            </w:rPr>
            <w:t>N/A</w:t>
          </w:r>
        </w:p>
      </w:tc>
      <w:tc>
        <w:tcPr>
          <w:tcW w:w="698" w:type="dxa"/>
          <w:tcBorders>
            <w:top w:val="nil"/>
            <w:left w:val="nil"/>
            <w:bottom w:val="single" w:sz="8" w:space="0" w:color="auto"/>
            <w:right w:val="single" w:sz="8" w:space="0" w:color="auto"/>
          </w:tcBorders>
          <w:shd w:val="clear" w:color="auto" w:fill="auto"/>
          <w:vAlign w:val="center"/>
          <w:hideMark/>
        </w:tcPr>
        <w:p w14:paraId="3FAAD1BD" w14:textId="77777777" w:rsidR="005F3FCF" w:rsidRPr="009605B2" w:rsidRDefault="005F3FCF" w:rsidP="00816745">
          <w:pPr>
            <w:jc w:val="center"/>
            <w:rPr>
              <w:rFonts w:ascii="Calibri" w:eastAsia="Times New Roman" w:hAnsi="Calibri"/>
              <w:color w:val="000000"/>
              <w:sz w:val="12"/>
              <w:szCs w:val="12"/>
            </w:rPr>
          </w:pPr>
          <w:r w:rsidRPr="009605B2">
            <w:rPr>
              <w:rFonts w:ascii="Calibri" w:eastAsia="Times New Roman" w:hAnsi="Calibri"/>
              <w:color w:val="000000"/>
              <w:sz w:val="12"/>
              <w:szCs w:val="12"/>
            </w:rPr>
            <w:t>N/A</w:t>
          </w:r>
        </w:p>
      </w:tc>
    </w:tr>
    <w:tr w:rsidR="005F3FCF" w:rsidRPr="0020194F" w14:paraId="5D8DF9C8" w14:textId="77777777" w:rsidTr="005F3FCF">
      <w:trPr>
        <w:trHeight w:val="342"/>
      </w:trPr>
      <w:tc>
        <w:tcPr>
          <w:tcW w:w="2298" w:type="dxa"/>
          <w:tcBorders>
            <w:top w:val="nil"/>
            <w:left w:val="single" w:sz="8" w:space="0" w:color="auto"/>
            <w:bottom w:val="single" w:sz="8" w:space="0" w:color="auto"/>
            <w:right w:val="single" w:sz="8" w:space="0" w:color="auto"/>
          </w:tcBorders>
          <w:shd w:val="clear" w:color="auto" w:fill="auto"/>
          <w:vAlign w:val="center"/>
          <w:hideMark/>
        </w:tcPr>
        <w:p w14:paraId="1DBA78AB"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Improve the Quality of Public Facilities</w:t>
          </w:r>
        </w:p>
      </w:tc>
      <w:tc>
        <w:tcPr>
          <w:tcW w:w="662" w:type="dxa"/>
          <w:tcBorders>
            <w:top w:val="nil"/>
            <w:left w:val="nil"/>
            <w:bottom w:val="single" w:sz="8" w:space="0" w:color="auto"/>
            <w:right w:val="single" w:sz="8" w:space="0" w:color="auto"/>
          </w:tcBorders>
          <w:shd w:val="clear" w:color="auto" w:fill="auto"/>
          <w:vAlign w:val="center"/>
          <w:hideMark/>
        </w:tcPr>
        <w:p w14:paraId="15B3E754"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NHSN</w:t>
          </w:r>
        </w:p>
      </w:tc>
      <w:tc>
        <w:tcPr>
          <w:tcW w:w="622" w:type="dxa"/>
          <w:tcBorders>
            <w:top w:val="nil"/>
            <w:left w:val="nil"/>
            <w:bottom w:val="single" w:sz="8" w:space="0" w:color="auto"/>
            <w:right w:val="single" w:sz="8" w:space="0" w:color="auto"/>
          </w:tcBorders>
          <w:shd w:val="clear" w:color="auto" w:fill="auto"/>
          <w:vAlign w:val="center"/>
          <w:hideMark/>
        </w:tcPr>
        <w:p w14:paraId="31BE45A0"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CDBG</w:t>
          </w:r>
        </w:p>
      </w:tc>
      <w:tc>
        <w:tcPr>
          <w:tcW w:w="2117" w:type="dxa"/>
          <w:tcBorders>
            <w:top w:val="nil"/>
            <w:left w:val="nil"/>
            <w:bottom w:val="single" w:sz="8" w:space="0" w:color="auto"/>
            <w:right w:val="single" w:sz="8" w:space="0" w:color="auto"/>
          </w:tcBorders>
          <w:shd w:val="clear" w:color="auto" w:fill="auto"/>
          <w:vAlign w:val="center"/>
          <w:hideMark/>
        </w:tcPr>
        <w:p w14:paraId="6B81E93C"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Public Facility or Infrastructure Activities other than Low/Moderate Income Housing Benefit</w:t>
          </w:r>
        </w:p>
      </w:tc>
      <w:tc>
        <w:tcPr>
          <w:tcW w:w="788" w:type="dxa"/>
          <w:tcBorders>
            <w:top w:val="nil"/>
            <w:left w:val="nil"/>
            <w:bottom w:val="single" w:sz="8" w:space="0" w:color="auto"/>
            <w:right w:val="single" w:sz="8" w:space="0" w:color="auto"/>
          </w:tcBorders>
          <w:shd w:val="clear" w:color="auto" w:fill="auto"/>
          <w:vAlign w:val="center"/>
          <w:hideMark/>
        </w:tcPr>
        <w:p w14:paraId="71DD8207"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Persons Assisted</w:t>
          </w:r>
        </w:p>
      </w:tc>
      <w:tc>
        <w:tcPr>
          <w:tcW w:w="763" w:type="dxa"/>
          <w:tcBorders>
            <w:top w:val="nil"/>
            <w:left w:val="nil"/>
            <w:bottom w:val="single" w:sz="8" w:space="0" w:color="auto"/>
            <w:right w:val="single" w:sz="8" w:space="0" w:color="auto"/>
          </w:tcBorders>
          <w:shd w:val="clear" w:color="auto" w:fill="auto"/>
          <w:vAlign w:val="center"/>
          <w:hideMark/>
        </w:tcPr>
        <w:p w14:paraId="59D241A6"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1093</w:t>
          </w:r>
        </w:p>
      </w:tc>
      <w:tc>
        <w:tcPr>
          <w:tcW w:w="672" w:type="dxa"/>
          <w:tcBorders>
            <w:top w:val="nil"/>
            <w:left w:val="nil"/>
            <w:bottom w:val="single" w:sz="8" w:space="0" w:color="auto"/>
            <w:right w:val="single" w:sz="8" w:space="0" w:color="auto"/>
          </w:tcBorders>
          <w:shd w:val="clear" w:color="auto" w:fill="auto"/>
          <w:vAlign w:val="center"/>
          <w:hideMark/>
        </w:tcPr>
        <w:p w14:paraId="722D67ED"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2665</w:t>
          </w:r>
        </w:p>
      </w:tc>
      <w:tc>
        <w:tcPr>
          <w:tcW w:w="698" w:type="dxa"/>
          <w:tcBorders>
            <w:top w:val="nil"/>
            <w:left w:val="nil"/>
            <w:bottom w:val="single" w:sz="8" w:space="0" w:color="auto"/>
            <w:right w:val="single" w:sz="8" w:space="0" w:color="auto"/>
          </w:tcBorders>
          <w:shd w:val="clear" w:color="auto" w:fill="auto"/>
          <w:vAlign w:val="center"/>
          <w:hideMark/>
        </w:tcPr>
        <w:p w14:paraId="52F8DB25"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244%</w:t>
          </w:r>
        </w:p>
      </w:tc>
      <w:tc>
        <w:tcPr>
          <w:tcW w:w="672" w:type="dxa"/>
          <w:tcBorders>
            <w:top w:val="nil"/>
            <w:left w:val="nil"/>
            <w:bottom w:val="single" w:sz="8" w:space="0" w:color="auto"/>
            <w:right w:val="single" w:sz="8" w:space="0" w:color="auto"/>
          </w:tcBorders>
          <w:shd w:val="clear" w:color="auto" w:fill="auto"/>
          <w:vAlign w:val="center"/>
          <w:hideMark/>
        </w:tcPr>
        <w:p w14:paraId="2FFBF196"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72" w:type="dxa"/>
          <w:tcBorders>
            <w:top w:val="nil"/>
            <w:left w:val="nil"/>
            <w:bottom w:val="single" w:sz="8" w:space="0" w:color="auto"/>
            <w:right w:val="single" w:sz="8" w:space="0" w:color="auto"/>
          </w:tcBorders>
          <w:shd w:val="clear" w:color="auto" w:fill="auto"/>
          <w:vAlign w:val="center"/>
          <w:hideMark/>
        </w:tcPr>
        <w:p w14:paraId="6F6FC47B"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98" w:type="dxa"/>
          <w:tcBorders>
            <w:top w:val="nil"/>
            <w:left w:val="nil"/>
            <w:bottom w:val="single" w:sz="8" w:space="0" w:color="auto"/>
            <w:right w:val="single" w:sz="8" w:space="0" w:color="auto"/>
          </w:tcBorders>
          <w:shd w:val="clear" w:color="auto" w:fill="auto"/>
          <w:vAlign w:val="center"/>
          <w:hideMark/>
        </w:tcPr>
        <w:p w14:paraId="2DD19D58"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267%</w:t>
          </w:r>
        </w:p>
      </w:tc>
    </w:tr>
    <w:tr w:rsidR="005F3FCF" w:rsidRPr="0020194F" w14:paraId="2B0EE006" w14:textId="77777777" w:rsidTr="005F3FCF">
      <w:trPr>
        <w:trHeight w:val="294"/>
      </w:trPr>
      <w:tc>
        <w:tcPr>
          <w:tcW w:w="2298" w:type="dxa"/>
          <w:tcBorders>
            <w:top w:val="nil"/>
            <w:left w:val="single" w:sz="8" w:space="0" w:color="auto"/>
            <w:bottom w:val="single" w:sz="8" w:space="0" w:color="auto"/>
            <w:right w:val="single" w:sz="8" w:space="0" w:color="auto"/>
          </w:tcBorders>
          <w:shd w:val="clear" w:color="auto" w:fill="auto"/>
          <w:vAlign w:val="center"/>
          <w:hideMark/>
        </w:tcPr>
        <w:p w14:paraId="2AB44C11"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Improve the Quality of Public Facilities</w:t>
          </w:r>
        </w:p>
      </w:tc>
      <w:tc>
        <w:tcPr>
          <w:tcW w:w="662" w:type="dxa"/>
          <w:tcBorders>
            <w:top w:val="nil"/>
            <w:left w:val="nil"/>
            <w:bottom w:val="single" w:sz="8" w:space="0" w:color="auto"/>
            <w:right w:val="single" w:sz="8" w:space="0" w:color="auto"/>
          </w:tcBorders>
          <w:shd w:val="clear" w:color="auto" w:fill="auto"/>
          <w:vAlign w:val="center"/>
          <w:hideMark/>
        </w:tcPr>
        <w:p w14:paraId="61D6FCEB"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NHSN</w:t>
          </w:r>
        </w:p>
      </w:tc>
      <w:tc>
        <w:tcPr>
          <w:tcW w:w="622" w:type="dxa"/>
          <w:tcBorders>
            <w:top w:val="nil"/>
            <w:left w:val="nil"/>
            <w:bottom w:val="single" w:sz="8" w:space="0" w:color="auto"/>
            <w:right w:val="single" w:sz="8" w:space="0" w:color="auto"/>
          </w:tcBorders>
          <w:shd w:val="clear" w:color="auto" w:fill="auto"/>
          <w:vAlign w:val="center"/>
          <w:hideMark/>
        </w:tcPr>
        <w:p w14:paraId="0FB1ADEC"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CDBG</w:t>
          </w:r>
        </w:p>
      </w:tc>
      <w:tc>
        <w:tcPr>
          <w:tcW w:w="2117" w:type="dxa"/>
          <w:tcBorders>
            <w:top w:val="nil"/>
            <w:left w:val="nil"/>
            <w:bottom w:val="single" w:sz="8" w:space="0" w:color="auto"/>
            <w:right w:val="single" w:sz="8" w:space="0" w:color="auto"/>
          </w:tcBorders>
          <w:shd w:val="clear" w:color="auto" w:fill="auto"/>
          <w:vAlign w:val="center"/>
          <w:hideMark/>
        </w:tcPr>
        <w:p w14:paraId="2E69F573"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Public Facility or Infrastructure Activities for Low/Moderate Income Housing Benefit</w:t>
          </w:r>
        </w:p>
      </w:tc>
      <w:tc>
        <w:tcPr>
          <w:tcW w:w="788" w:type="dxa"/>
          <w:tcBorders>
            <w:top w:val="nil"/>
            <w:left w:val="nil"/>
            <w:bottom w:val="single" w:sz="8" w:space="0" w:color="auto"/>
            <w:right w:val="single" w:sz="8" w:space="0" w:color="auto"/>
          </w:tcBorders>
          <w:shd w:val="clear" w:color="auto" w:fill="auto"/>
          <w:vAlign w:val="center"/>
          <w:hideMark/>
        </w:tcPr>
        <w:p w14:paraId="31FA17E4"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Households Assisted</w:t>
          </w:r>
        </w:p>
      </w:tc>
      <w:tc>
        <w:tcPr>
          <w:tcW w:w="763" w:type="dxa"/>
          <w:tcBorders>
            <w:top w:val="nil"/>
            <w:left w:val="nil"/>
            <w:bottom w:val="single" w:sz="8" w:space="0" w:color="auto"/>
            <w:right w:val="single" w:sz="8" w:space="0" w:color="auto"/>
          </w:tcBorders>
          <w:shd w:val="clear" w:color="auto" w:fill="auto"/>
          <w:vAlign w:val="center"/>
          <w:hideMark/>
        </w:tcPr>
        <w:p w14:paraId="62735ADF"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0</w:t>
          </w:r>
        </w:p>
      </w:tc>
      <w:tc>
        <w:tcPr>
          <w:tcW w:w="672" w:type="dxa"/>
          <w:tcBorders>
            <w:top w:val="nil"/>
            <w:left w:val="nil"/>
            <w:bottom w:val="single" w:sz="8" w:space="0" w:color="auto"/>
            <w:right w:val="single" w:sz="8" w:space="0" w:color="auto"/>
          </w:tcBorders>
          <w:shd w:val="clear" w:color="auto" w:fill="auto"/>
          <w:vAlign w:val="center"/>
          <w:hideMark/>
        </w:tcPr>
        <w:p w14:paraId="7E71FD11"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98" w:type="dxa"/>
          <w:tcBorders>
            <w:top w:val="nil"/>
            <w:left w:val="nil"/>
            <w:bottom w:val="single" w:sz="8" w:space="0" w:color="auto"/>
            <w:right w:val="single" w:sz="8" w:space="0" w:color="auto"/>
          </w:tcBorders>
          <w:shd w:val="clear" w:color="auto" w:fill="auto"/>
          <w:vAlign w:val="center"/>
          <w:hideMark/>
        </w:tcPr>
        <w:p w14:paraId="76067021"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72" w:type="dxa"/>
          <w:tcBorders>
            <w:top w:val="nil"/>
            <w:left w:val="nil"/>
            <w:bottom w:val="single" w:sz="8" w:space="0" w:color="auto"/>
            <w:right w:val="single" w:sz="8" w:space="0" w:color="auto"/>
          </w:tcBorders>
          <w:shd w:val="clear" w:color="auto" w:fill="auto"/>
          <w:vAlign w:val="center"/>
          <w:hideMark/>
        </w:tcPr>
        <w:p w14:paraId="7008A509"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72" w:type="dxa"/>
          <w:tcBorders>
            <w:top w:val="nil"/>
            <w:left w:val="nil"/>
            <w:bottom w:val="single" w:sz="8" w:space="0" w:color="auto"/>
            <w:right w:val="single" w:sz="8" w:space="0" w:color="auto"/>
          </w:tcBorders>
          <w:shd w:val="clear" w:color="auto" w:fill="auto"/>
          <w:vAlign w:val="center"/>
          <w:hideMark/>
        </w:tcPr>
        <w:p w14:paraId="16B03EA3"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98" w:type="dxa"/>
          <w:tcBorders>
            <w:top w:val="nil"/>
            <w:left w:val="nil"/>
            <w:bottom w:val="single" w:sz="8" w:space="0" w:color="auto"/>
            <w:right w:val="single" w:sz="8" w:space="0" w:color="auto"/>
          </w:tcBorders>
          <w:shd w:val="clear" w:color="auto" w:fill="auto"/>
          <w:vAlign w:val="center"/>
          <w:hideMark/>
        </w:tcPr>
        <w:p w14:paraId="025FAA24"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r>
    <w:tr w:rsidR="005F3FCF" w:rsidRPr="0020194F" w14:paraId="19B7AC0D" w14:textId="77777777" w:rsidTr="005F3FCF">
      <w:trPr>
        <w:trHeight w:val="294"/>
      </w:trPr>
      <w:tc>
        <w:tcPr>
          <w:tcW w:w="2251" w:type="dxa"/>
          <w:tcBorders>
            <w:top w:val="nil"/>
            <w:left w:val="single" w:sz="8" w:space="0" w:color="auto"/>
            <w:bottom w:val="single" w:sz="8" w:space="0" w:color="auto"/>
            <w:right w:val="single" w:sz="8" w:space="0" w:color="auto"/>
          </w:tcBorders>
          <w:shd w:val="clear" w:color="auto" w:fill="auto"/>
          <w:vAlign w:val="center"/>
          <w:hideMark/>
        </w:tcPr>
        <w:p w14:paraId="74B521D1"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Improve the Quality of Public Facilities</w:t>
          </w:r>
        </w:p>
      </w:tc>
      <w:tc>
        <w:tcPr>
          <w:tcW w:w="662" w:type="dxa"/>
          <w:tcBorders>
            <w:top w:val="nil"/>
            <w:left w:val="nil"/>
            <w:bottom w:val="single" w:sz="8" w:space="0" w:color="auto"/>
            <w:right w:val="single" w:sz="8" w:space="0" w:color="auto"/>
          </w:tcBorders>
          <w:shd w:val="clear" w:color="auto" w:fill="auto"/>
          <w:vAlign w:val="center"/>
          <w:hideMark/>
        </w:tcPr>
        <w:p w14:paraId="63DF4563"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NHSN</w:t>
          </w:r>
        </w:p>
      </w:tc>
      <w:tc>
        <w:tcPr>
          <w:tcW w:w="621" w:type="dxa"/>
          <w:tcBorders>
            <w:top w:val="nil"/>
            <w:left w:val="nil"/>
            <w:bottom w:val="single" w:sz="8" w:space="0" w:color="auto"/>
            <w:right w:val="single" w:sz="8" w:space="0" w:color="auto"/>
          </w:tcBorders>
          <w:shd w:val="clear" w:color="auto" w:fill="auto"/>
          <w:vAlign w:val="center"/>
          <w:hideMark/>
        </w:tcPr>
        <w:p w14:paraId="0775C78D"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CDBG</w:t>
          </w:r>
        </w:p>
      </w:tc>
      <w:tc>
        <w:tcPr>
          <w:tcW w:w="2074" w:type="dxa"/>
          <w:tcBorders>
            <w:top w:val="nil"/>
            <w:left w:val="nil"/>
            <w:bottom w:val="single" w:sz="8" w:space="0" w:color="auto"/>
            <w:right w:val="single" w:sz="8" w:space="0" w:color="auto"/>
          </w:tcBorders>
          <w:shd w:val="clear" w:color="auto" w:fill="auto"/>
          <w:vAlign w:val="center"/>
          <w:hideMark/>
        </w:tcPr>
        <w:p w14:paraId="4C7524DE"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Homeless Person Overnight Shelter</w:t>
          </w:r>
        </w:p>
      </w:tc>
      <w:tc>
        <w:tcPr>
          <w:tcW w:w="788" w:type="dxa"/>
          <w:tcBorders>
            <w:top w:val="nil"/>
            <w:left w:val="nil"/>
            <w:bottom w:val="single" w:sz="8" w:space="0" w:color="auto"/>
            <w:right w:val="single" w:sz="8" w:space="0" w:color="auto"/>
          </w:tcBorders>
          <w:shd w:val="clear" w:color="auto" w:fill="auto"/>
          <w:vAlign w:val="center"/>
          <w:hideMark/>
        </w:tcPr>
        <w:p w14:paraId="45143EC7"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Persons Assisted</w:t>
          </w:r>
        </w:p>
      </w:tc>
      <w:tc>
        <w:tcPr>
          <w:tcW w:w="763" w:type="dxa"/>
          <w:tcBorders>
            <w:top w:val="nil"/>
            <w:left w:val="nil"/>
            <w:bottom w:val="single" w:sz="8" w:space="0" w:color="auto"/>
            <w:right w:val="single" w:sz="8" w:space="0" w:color="auto"/>
          </w:tcBorders>
          <w:shd w:val="clear" w:color="auto" w:fill="auto"/>
          <w:vAlign w:val="center"/>
          <w:hideMark/>
        </w:tcPr>
        <w:p w14:paraId="34B921E0"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0</w:t>
          </w:r>
        </w:p>
      </w:tc>
      <w:tc>
        <w:tcPr>
          <w:tcW w:w="763" w:type="dxa"/>
          <w:tcBorders>
            <w:top w:val="nil"/>
            <w:left w:val="nil"/>
            <w:bottom w:val="single" w:sz="8" w:space="0" w:color="auto"/>
            <w:right w:val="single" w:sz="8" w:space="0" w:color="auto"/>
          </w:tcBorders>
          <w:shd w:val="clear" w:color="auto" w:fill="auto"/>
          <w:vAlign w:val="center"/>
          <w:hideMark/>
        </w:tcPr>
        <w:p w14:paraId="3D555016"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98" w:type="dxa"/>
          <w:tcBorders>
            <w:top w:val="nil"/>
            <w:left w:val="nil"/>
            <w:bottom w:val="single" w:sz="8" w:space="0" w:color="auto"/>
            <w:right w:val="single" w:sz="8" w:space="0" w:color="auto"/>
          </w:tcBorders>
          <w:shd w:val="clear" w:color="auto" w:fill="auto"/>
          <w:vAlign w:val="center"/>
          <w:hideMark/>
        </w:tcPr>
        <w:p w14:paraId="0CEE414C"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72" w:type="dxa"/>
          <w:tcBorders>
            <w:top w:val="nil"/>
            <w:left w:val="nil"/>
            <w:bottom w:val="single" w:sz="8" w:space="0" w:color="auto"/>
            <w:right w:val="single" w:sz="8" w:space="0" w:color="auto"/>
          </w:tcBorders>
          <w:shd w:val="clear" w:color="auto" w:fill="auto"/>
          <w:vAlign w:val="center"/>
          <w:hideMark/>
        </w:tcPr>
        <w:p w14:paraId="2B4BCA44"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72" w:type="dxa"/>
          <w:tcBorders>
            <w:top w:val="nil"/>
            <w:left w:val="nil"/>
            <w:bottom w:val="single" w:sz="8" w:space="0" w:color="auto"/>
            <w:right w:val="single" w:sz="8" w:space="0" w:color="auto"/>
          </w:tcBorders>
          <w:shd w:val="clear" w:color="auto" w:fill="auto"/>
          <w:vAlign w:val="center"/>
          <w:hideMark/>
        </w:tcPr>
        <w:p w14:paraId="159B5B63"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98" w:type="dxa"/>
          <w:tcBorders>
            <w:top w:val="nil"/>
            <w:left w:val="nil"/>
            <w:bottom w:val="single" w:sz="8" w:space="0" w:color="auto"/>
            <w:right w:val="single" w:sz="8" w:space="0" w:color="auto"/>
          </w:tcBorders>
          <w:shd w:val="clear" w:color="auto" w:fill="auto"/>
          <w:vAlign w:val="center"/>
          <w:hideMark/>
        </w:tcPr>
        <w:p w14:paraId="040D9FCA"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r>
    <w:tr w:rsidR="005F3FCF" w:rsidRPr="0020194F" w14:paraId="1BF3E265" w14:textId="77777777" w:rsidTr="005F3FCF">
      <w:trPr>
        <w:trHeight w:val="294"/>
      </w:trPr>
      <w:tc>
        <w:tcPr>
          <w:tcW w:w="2251" w:type="dxa"/>
          <w:tcBorders>
            <w:top w:val="nil"/>
            <w:left w:val="single" w:sz="8" w:space="0" w:color="auto"/>
            <w:bottom w:val="single" w:sz="8" w:space="0" w:color="auto"/>
            <w:right w:val="single" w:sz="8" w:space="0" w:color="auto"/>
          </w:tcBorders>
          <w:shd w:val="clear" w:color="auto" w:fill="auto"/>
          <w:vAlign w:val="center"/>
          <w:hideMark/>
        </w:tcPr>
        <w:p w14:paraId="365033E2"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Improve the Quality of Public Facilities</w:t>
          </w:r>
        </w:p>
      </w:tc>
      <w:tc>
        <w:tcPr>
          <w:tcW w:w="662" w:type="dxa"/>
          <w:tcBorders>
            <w:top w:val="nil"/>
            <w:left w:val="nil"/>
            <w:bottom w:val="single" w:sz="8" w:space="0" w:color="auto"/>
            <w:right w:val="single" w:sz="8" w:space="0" w:color="auto"/>
          </w:tcBorders>
          <w:shd w:val="clear" w:color="auto" w:fill="auto"/>
          <w:vAlign w:val="center"/>
          <w:hideMark/>
        </w:tcPr>
        <w:p w14:paraId="3DE331AE"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NHSN</w:t>
          </w:r>
        </w:p>
      </w:tc>
      <w:tc>
        <w:tcPr>
          <w:tcW w:w="621" w:type="dxa"/>
          <w:tcBorders>
            <w:top w:val="nil"/>
            <w:left w:val="nil"/>
            <w:bottom w:val="single" w:sz="8" w:space="0" w:color="auto"/>
            <w:right w:val="single" w:sz="8" w:space="0" w:color="auto"/>
          </w:tcBorders>
          <w:shd w:val="clear" w:color="auto" w:fill="auto"/>
          <w:vAlign w:val="center"/>
          <w:hideMark/>
        </w:tcPr>
        <w:p w14:paraId="4FF5AC1D"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CDBG</w:t>
          </w:r>
        </w:p>
      </w:tc>
      <w:tc>
        <w:tcPr>
          <w:tcW w:w="2074" w:type="dxa"/>
          <w:tcBorders>
            <w:top w:val="nil"/>
            <w:left w:val="nil"/>
            <w:bottom w:val="single" w:sz="8" w:space="0" w:color="auto"/>
            <w:right w:val="single" w:sz="8" w:space="0" w:color="auto"/>
          </w:tcBorders>
          <w:shd w:val="clear" w:color="auto" w:fill="auto"/>
          <w:vAlign w:val="center"/>
          <w:hideMark/>
        </w:tcPr>
        <w:p w14:paraId="1ED8AE74"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Overnight/Emergency Shelter/Transitional Housing Beds added</w:t>
          </w:r>
        </w:p>
      </w:tc>
      <w:tc>
        <w:tcPr>
          <w:tcW w:w="788" w:type="dxa"/>
          <w:tcBorders>
            <w:top w:val="nil"/>
            <w:left w:val="nil"/>
            <w:bottom w:val="single" w:sz="8" w:space="0" w:color="auto"/>
            <w:right w:val="single" w:sz="8" w:space="0" w:color="auto"/>
          </w:tcBorders>
          <w:shd w:val="clear" w:color="auto" w:fill="auto"/>
          <w:vAlign w:val="center"/>
          <w:hideMark/>
        </w:tcPr>
        <w:p w14:paraId="79A94A6A"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Beds</w:t>
          </w:r>
        </w:p>
      </w:tc>
      <w:tc>
        <w:tcPr>
          <w:tcW w:w="763" w:type="dxa"/>
          <w:tcBorders>
            <w:top w:val="nil"/>
            <w:left w:val="nil"/>
            <w:bottom w:val="single" w:sz="8" w:space="0" w:color="auto"/>
            <w:right w:val="single" w:sz="8" w:space="0" w:color="auto"/>
          </w:tcBorders>
          <w:shd w:val="clear" w:color="auto" w:fill="auto"/>
          <w:vAlign w:val="center"/>
          <w:hideMark/>
        </w:tcPr>
        <w:p w14:paraId="6E98C023"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0</w:t>
          </w:r>
        </w:p>
      </w:tc>
      <w:tc>
        <w:tcPr>
          <w:tcW w:w="763" w:type="dxa"/>
          <w:tcBorders>
            <w:top w:val="nil"/>
            <w:left w:val="nil"/>
            <w:bottom w:val="single" w:sz="8" w:space="0" w:color="auto"/>
            <w:right w:val="single" w:sz="8" w:space="0" w:color="auto"/>
          </w:tcBorders>
          <w:shd w:val="clear" w:color="auto" w:fill="auto"/>
          <w:vAlign w:val="center"/>
          <w:hideMark/>
        </w:tcPr>
        <w:p w14:paraId="750FF3D3"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98" w:type="dxa"/>
          <w:tcBorders>
            <w:top w:val="nil"/>
            <w:left w:val="nil"/>
            <w:bottom w:val="single" w:sz="8" w:space="0" w:color="auto"/>
            <w:right w:val="single" w:sz="8" w:space="0" w:color="auto"/>
          </w:tcBorders>
          <w:shd w:val="clear" w:color="auto" w:fill="auto"/>
          <w:vAlign w:val="center"/>
          <w:hideMark/>
        </w:tcPr>
        <w:p w14:paraId="0009E243"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72" w:type="dxa"/>
          <w:tcBorders>
            <w:top w:val="nil"/>
            <w:left w:val="nil"/>
            <w:bottom w:val="single" w:sz="8" w:space="0" w:color="auto"/>
            <w:right w:val="single" w:sz="8" w:space="0" w:color="auto"/>
          </w:tcBorders>
          <w:shd w:val="clear" w:color="auto" w:fill="auto"/>
          <w:vAlign w:val="center"/>
          <w:hideMark/>
        </w:tcPr>
        <w:p w14:paraId="1639DA84"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72" w:type="dxa"/>
          <w:tcBorders>
            <w:top w:val="nil"/>
            <w:left w:val="nil"/>
            <w:bottom w:val="single" w:sz="8" w:space="0" w:color="auto"/>
            <w:right w:val="single" w:sz="8" w:space="0" w:color="auto"/>
          </w:tcBorders>
          <w:shd w:val="clear" w:color="auto" w:fill="auto"/>
          <w:vAlign w:val="center"/>
          <w:hideMark/>
        </w:tcPr>
        <w:p w14:paraId="4480B9F1"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98" w:type="dxa"/>
          <w:tcBorders>
            <w:top w:val="nil"/>
            <w:left w:val="nil"/>
            <w:bottom w:val="single" w:sz="8" w:space="0" w:color="auto"/>
            <w:right w:val="single" w:sz="8" w:space="0" w:color="auto"/>
          </w:tcBorders>
          <w:shd w:val="clear" w:color="auto" w:fill="auto"/>
          <w:vAlign w:val="center"/>
          <w:hideMark/>
        </w:tcPr>
        <w:p w14:paraId="196A3EB2"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r>
    <w:tr w:rsidR="005F3FCF" w:rsidRPr="0020194F" w14:paraId="0CF682BC" w14:textId="77777777" w:rsidTr="005F3FCF">
      <w:trPr>
        <w:trHeight w:val="294"/>
      </w:trPr>
      <w:tc>
        <w:tcPr>
          <w:tcW w:w="2251" w:type="dxa"/>
          <w:tcBorders>
            <w:top w:val="nil"/>
            <w:left w:val="single" w:sz="8" w:space="0" w:color="auto"/>
            <w:bottom w:val="single" w:sz="8" w:space="0" w:color="auto"/>
            <w:right w:val="single" w:sz="8" w:space="0" w:color="auto"/>
          </w:tcBorders>
          <w:shd w:val="clear" w:color="auto" w:fill="auto"/>
          <w:vAlign w:val="center"/>
          <w:hideMark/>
        </w:tcPr>
        <w:p w14:paraId="76410B37"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Provide Day-to-Day Services for the Homeless</w:t>
          </w:r>
        </w:p>
      </w:tc>
      <w:tc>
        <w:tcPr>
          <w:tcW w:w="662" w:type="dxa"/>
          <w:tcBorders>
            <w:top w:val="nil"/>
            <w:left w:val="nil"/>
            <w:bottom w:val="single" w:sz="8" w:space="0" w:color="auto"/>
            <w:right w:val="single" w:sz="8" w:space="0" w:color="auto"/>
          </w:tcBorders>
          <w:shd w:val="clear" w:color="auto" w:fill="auto"/>
          <w:vAlign w:val="center"/>
          <w:hideMark/>
        </w:tcPr>
        <w:p w14:paraId="3858249B"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 xml:space="preserve">H </w:t>
          </w:r>
        </w:p>
      </w:tc>
      <w:tc>
        <w:tcPr>
          <w:tcW w:w="621" w:type="dxa"/>
          <w:tcBorders>
            <w:top w:val="nil"/>
            <w:left w:val="nil"/>
            <w:bottom w:val="single" w:sz="8" w:space="0" w:color="auto"/>
            <w:right w:val="single" w:sz="8" w:space="0" w:color="auto"/>
          </w:tcBorders>
          <w:shd w:val="clear" w:color="auto" w:fill="auto"/>
          <w:vAlign w:val="center"/>
          <w:hideMark/>
        </w:tcPr>
        <w:p w14:paraId="2881303E"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CDBG</w:t>
          </w:r>
          <w:r w:rsidRPr="009605B2">
            <w:rPr>
              <w:rFonts w:ascii="Calibri" w:eastAsia="Times New Roman" w:hAnsi="Calibri"/>
              <w:color w:val="000000"/>
              <w:sz w:val="12"/>
              <w:szCs w:val="12"/>
            </w:rPr>
            <w:br/>
            <w:t>ESG</w:t>
          </w:r>
        </w:p>
      </w:tc>
      <w:tc>
        <w:tcPr>
          <w:tcW w:w="2074" w:type="dxa"/>
          <w:tcBorders>
            <w:top w:val="nil"/>
            <w:left w:val="nil"/>
            <w:bottom w:val="single" w:sz="8" w:space="0" w:color="auto"/>
            <w:right w:val="single" w:sz="8" w:space="0" w:color="auto"/>
          </w:tcBorders>
          <w:shd w:val="clear" w:color="auto" w:fill="auto"/>
          <w:vAlign w:val="center"/>
          <w:hideMark/>
        </w:tcPr>
        <w:p w14:paraId="7F247D81"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Public service activities other than Low/Moderate Income Housing Benefit</w:t>
          </w:r>
        </w:p>
      </w:tc>
      <w:tc>
        <w:tcPr>
          <w:tcW w:w="788" w:type="dxa"/>
          <w:tcBorders>
            <w:top w:val="nil"/>
            <w:left w:val="nil"/>
            <w:bottom w:val="single" w:sz="8" w:space="0" w:color="auto"/>
            <w:right w:val="single" w:sz="8" w:space="0" w:color="auto"/>
          </w:tcBorders>
          <w:shd w:val="clear" w:color="auto" w:fill="auto"/>
          <w:vAlign w:val="center"/>
          <w:hideMark/>
        </w:tcPr>
        <w:p w14:paraId="35EFCCE7"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Persons Assisted</w:t>
          </w:r>
        </w:p>
      </w:tc>
      <w:tc>
        <w:tcPr>
          <w:tcW w:w="763" w:type="dxa"/>
          <w:tcBorders>
            <w:top w:val="nil"/>
            <w:left w:val="nil"/>
            <w:bottom w:val="single" w:sz="8" w:space="0" w:color="auto"/>
            <w:right w:val="single" w:sz="8" w:space="0" w:color="auto"/>
          </w:tcBorders>
          <w:shd w:val="clear" w:color="auto" w:fill="auto"/>
          <w:vAlign w:val="center"/>
          <w:hideMark/>
        </w:tcPr>
        <w:p w14:paraId="4B948A51"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15000</w:t>
          </w:r>
        </w:p>
      </w:tc>
      <w:tc>
        <w:tcPr>
          <w:tcW w:w="763" w:type="dxa"/>
          <w:tcBorders>
            <w:top w:val="nil"/>
            <w:left w:val="nil"/>
            <w:bottom w:val="single" w:sz="8" w:space="0" w:color="auto"/>
            <w:right w:val="single" w:sz="8" w:space="0" w:color="auto"/>
          </w:tcBorders>
          <w:shd w:val="clear" w:color="auto" w:fill="auto"/>
          <w:vAlign w:val="center"/>
          <w:hideMark/>
        </w:tcPr>
        <w:p w14:paraId="1C8B1B72"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6595</w:t>
          </w:r>
        </w:p>
      </w:tc>
      <w:tc>
        <w:tcPr>
          <w:tcW w:w="698" w:type="dxa"/>
          <w:tcBorders>
            <w:top w:val="nil"/>
            <w:left w:val="nil"/>
            <w:bottom w:val="single" w:sz="8" w:space="0" w:color="auto"/>
            <w:right w:val="single" w:sz="8" w:space="0" w:color="auto"/>
          </w:tcBorders>
          <w:shd w:val="clear" w:color="auto" w:fill="auto"/>
          <w:vAlign w:val="center"/>
          <w:hideMark/>
        </w:tcPr>
        <w:p w14:paraId="1FA8ABF9"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44%</w:t>
          </w:r>
        </w:p>
      </w:tc>
      <w:tc>
        <w:tcPr>
          <w:tcW w:w="672" w:type="dxa"/>
          <w:tcBorders>
            <w:top w:val="nil"/>
            <w:left w:val="nil"/>
            <w:bottom w:val="single" w:sz="8" w:space="0" w:color="auto"/>
            <w:right w:val="single" w:sz="8" w:space="0" w:color="auto"/>
          </w:tcBorders>
          <w:shd w:val="clear" w:color="auto" w:fill="auto"/>
          <w:vAlign w:val="center"/>
          <w:hideMark/>
        </w:tcPr>
        <w:p w14:paraId="24DA34D8"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3000</w:t>
          </w:r>
        </w:p>
      </w:tc>
      <w:tc>
        <w:tcPr>
          <w:tcW w:w="672" w:type="dxa"/>
          <w:tcBorders>
            <w:top w:val="nil"/>
            <w:left w:val="nil"/>
            <w:bottom w:val="single" w:sz="8" w:space="0" w:color="auto"/>
            <w:right w:val="single" w:sz="8" w:space="0" w:color="auto"/>
          </w:tcBorders>
          <w:shd w:val="clear" w:color="auto" w:fill="auto"/>
          <w:vAlign w:val="center"/>
          <w:hideMark/>
        </w:tcPr>
        <w:p w14:paraId="6229FD96"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1278</w:t>
          </w:r>
        </w:p>
      </w:tc>
      <w:tc>
        <w:tcPr>
          <w:tcW w:w="698" w:type="dxa"/>
          <w:tcBorders>
            <w:top w:val="nil"/>
            <w:left w:val="nil"/>
            <w:bottom w:val="single" w:sz="8" w:space="0" w:color="auto"/>
            <w:right w:val="single" w:sz="8" w:space="0" w:color="auto"/>
          </w:tcBorders>
          <w:shd w:val="clear" w:color="auto" w:fill="auto"/>
          <w:vAlign w:val="center"/>
          <w:hideMark/>
        </w:tcPr>
        <w:p w14:paraId="7FF24964"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43%</w:t>
          </w:r>
        </w:p>
      </w:tc>
    </w:tr>
    <w:tr w:rsidR="005F3FCF" w:rsidRPr="0020194F" w14:paraId="46BD5179" w14:textId="77777777" w:rsidTr="005F3FCF">
      <w:trPr>
        <w:trHeight w:val="294"/>
      </w:trPr>
      <w:tc>
        <w:tcPr>
          <w:tcW w:w="2251" w:type="dxa"/>
          <w:tcBorders>
            <w:top w:val="nil"/>
            <w:left w:val="single" w:sz="8" w:space="0" w:color="auto"/>
            <w:bottom w:val="single" w:sz="8" w:space="0" w:color="auto"/>
            <w:right w:val="single" w:sz="8" w:space="0" w:color="auto"/>
          </w:tcBorders>
          <w:shd w:val="clear" w:color="auto" w:fill="auto"/>
          <w:vAlign w:val="center"/>
          <w:hideMark/>
        </w:tcPr>
        <w:p w14:paraId="68020E15"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Provide Day-to-Day Services for the Homeless</w:t>
          </w:r>
        </w:p>
      </w:tc>
      <w:tc>
        <w:tcPr>
          <w:tcW w:w="662" w:type="dxa"/>
          <w:tcBorders>
            <w:top w:val="nil"/>
            <w:left w:val="nil"/>
            <w:bottom w:val="single" w:sz="8" w:space="0" w:color="auto"/>
            <w:right w:val="single" w:sz="8" w:space="0" w:color="auto"/>
          </w:tcBorders>
          <w:shd w:val="clear" w:color="auto" w:fill="auto"/>
          <w:vAlign w:val="center"/>
          <w:hideMark/>
        </w:tcPr>
        <w:p w14:paraId="31E326C7"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 xml:space="preserve">H </w:t>
          </w:r>
        </w:p>
      </w:tc>
      <w:tc>
        <w:tcPr>
          <w:tcW w:w="621" w:type="dxa"/>
          <w:tcBorders>
            <w:top w:val="nil"/>
            <w:left w:val="nil"/>
            <w:bottom w:val="single" w:sz="8" w:space="0" w:color="auto"/>
            <w:right w:val="single" w:sz="8" w:space="0" w:color="auto"/>
          </w:tcBorders>
          <w:shd w:val="clear" w:color="auto" w:fill="auto"/>
          <w:vAlign w:val="center"/>
          <w:hideMark/>
        </w:tcPr>
        <w:p w14:paraId="72537063"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CDBG</w:t>
          </w:r>
          <w:r w:rsidRPr="009605B2">
            <w:rPr>
              <w:rFonts w:ascii="Calibri" w:eastAsia="Times New Roman" w:hAnsi="Calibri"/>
              <w:color w:val="000000"/>
              <w:sz w:val="12"/>
              <w:szCs w:val="12"/>
            </w:rPr>
            <w:br/>
            <w:t>ESG</w:t>
          </w:r>
        </w:p>
      </w:tc>
      <w:tc>
        <w:tcPr>
          <w:tcW w:w="2074" w:type="dxa"/>
          <w:tcBorders>
            <w:top w:val="nil"/>
            <w:left w:val="nil"/>
            <w:bottom w:val="single" w:sz="8" w:space="0" w:color="auto"/>
            <w:right w:val="single" w:sz="8" w:space="0" w:color="auto"/>
          </w:tcBorders>
          <w:shd w:val="clear" w:color="auto" w:fill="auto"/>
          <w:vAlign w:val="center"/>
          <w:hideMark/>
        </w:tcPr>
        <w:p w14:paraId="060B8CD7"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Homeless Person Overnight Shelter</w:t>
          </w:r>
        </w:p>
      </w:tc>
      <w:tc>
        <w:tcPr>
          <w:tcW w:w="788" w:type="dxa"/>
          <w:tcBorders>
            <w:top w:val="nil"/>
            <w:left w:val="nil"/>
            <w:bottom w:val="single" w:sz="8" w:space="0" w:color="auto"/>
            <w:right w:val="single" w:sz="8" w:space="0" w:color="auto"/>
          </w:tcBorders>
          <w:shd w:val="clear" w:color="auto" w:fill="auto"/>
          <w:vAlign w:val="center"/>
          <w:hideMark/>
        </w:tcPr>
        <w:p w14:paraId="0426C5C9"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Persons Assisted</w:t>
          </w:r>
        </w:p>
      </w:tc>
      <w:tc>
        <w:tcPr>
          <w:tcW w:w="763" w:type="dxa"/>
          <w:tcBorders>
            <w:top w:val="nil"/>
            <w:left w:val="nil"/>
            <w:bottom w:val="single" w:sz="8" w:space="0" w:color="auto"/>
            <w:right w:val="single" w:sz="8" w:space="0" w:color="auto"/>
          </w:tcBorders>
          <w:shd w:val="clear" w:color="auto" w:fill="auto"/>
          <w:vAlign w:val="center"/>
          <w:hideMark/>
        </w:tcPr>
        <w:p w14:paraId="5E7E73E7"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0</w:t>
          </w:r>
        </w:p>
      </w:tc>
      <w:tc>
        <w:tcPr>
          <w:tcW w:w="763" w:type="dxa"/>
          <w:tcBorders>
            <w:top w:val="nil"/>
            <w:left w:val="nil"/>
            <w:bottom w:val="single" w:sz="8" w:space="0" w:color="auto"/>
            <w:right w:val="single" w:sz="8" w:space="0" w:color="auto"/>
          </w:tcBorders>
          <w:shd w:val="clear" w:color="auto" w:fill="auto"/>
          <w:vAlign w:val="center"/>
          <w:hideMark/>
        </w:tcPr>
        <w:p w14:paraId="3431547D"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98" w:type="dxa"/>
          <w:tcBorders>
            <w:top w:val="nil"/>
            <w:left w:val="nil"/>
            <w:bottom w:val="single" w:sz="8" w:space="0" w:color="auto"/>
            <w:right w:val="single" w:sz="8" w:space="0" w:color="auto"/>
          </w:tcBorders>
          <w:shd w:val="clear" w:color="auto" w:fill="auto"/>
          <w:vAlign w:val="center"/>
          <w:hideMark/>
        </w:tcPr>
        <w:p w14:paraId="638304A4"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72" w:type="dxa"/>
          <w:tcBorders>
            <w:top w:val="nil"/>
            <w:left w:val="nil"/>
            <w:bottom w:val="single" w:sz="8" w:space="0" w:color="auto"/>
            <w:right w:val="single" w:sz="8" w:space="0" w:color="auto"/>
          </w:tcBorders>
          <w:shd w:val="clear" w:color="auto" w:fill="auto"/>
          <w:vAlign w:val="center"/>
          <w:hideMark/>
        </w:tcPr>
        <w:p w14:paraId="3456017D"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0</w:t>
          </w:r>
        </w:p>
      </w:tc>
      <w:tc>
        <w:tcPr>
          <w:tcW w:w="672" w:type="dxa"/>
          <w:tcBorders>
            <w:top w:val="nil"/>
            <w:left w:val="nil"/>
            <w:bottom w:val="single" w:sz="8" w:space="0" w:color="auto"/>
            <w:right w:val="single" w:sz="8" w:space="0" w:color="auto"/>
          </w:tcBorders>
          <w:shd w:val="clear" w:color="auto" w:fill="auto"/>
          <w:vAlign w:val="center"/>
          <w:hideMark/>
        </w:tcPr>
        <w:p w14:paraId="6283E031"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98" w:type="dxa"/>
          <w:tcBorders>
            <w:top w:val="nil"/>
            <w:left w:val="nil"/>
            <w:bottom w:val="single" w:sz="8" w:space="0" w:color="auto"/>
            <w:right w:val="single" w:sz="8" w:space="0" w:color="auto"/>
          </w:tcBorders>
          <w:shd w:val="clear" w:color="auto" w:fill="auto"/>
          <w:vAlign w:val="center"/>
          <w:hideMark/>
        </w:tcPr>
        <w:p w14:paraId="783C9216"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r>
    <w:tr w:rsidR="005F3FCF" w:rsidRPr="0020194F" w14:paraId="3FFC04D4" w14:textId="77777777" w:rsidTr="005F3FCF">
      <w:trPr>
        <w:trHeight w:val="294"/>
      </w:trPr>
      <w:tc>
        <w:tcPr>
          <w:tcW w:w="2251" w:type="dxa"/>
          <w:tcBorders>
            <w:top w:val="nil"/>
            <w:left w:val="single" w:sz="8" w:space="0" w:color="auto"/>
            <w:bottom w:val="single" w:sz="8" w:space="0" w:color="auto"/>
            <w:right w:val="single" w:sz="8" w:space="0" w:color="auto"/>
          </w:tcBorders>
          <w:shd w:val="clear" w:color="auto" w:fill="auto"/>
          <w:vAlign w:val="center"/>
          <w:hideMark/>
        </w:tcPr>
        <w:p w14:paraId="67EB75FB"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Provide Day-to-Day Services for the Homeless</w:t>
          </w:r>
        </w:p>
      </w:tc>
      <w:tc>
        <w:tcPr>
          <w:tcW w:w="662" w:type="dxa"/>
          <w:tcBorders>
            <w:top w:val="nil"/>
            <w:left w:val="nil"/>
            <w:bottom w:val="single" w:sz="8" w:space="0" w:color="auto"/>
            <w:right w:val="single" w:sz="8" w:space="0" w:color="auto"/>
          </w:tcBorders>
          <w:shd w:val="clear" w:color="auto" w:fill="auto"/>
          <w:vAlign w:val="center"/>
          <w:hideMark/>
        </w:tcPr>
        <w:p w14:paraId="4F1A1505"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 xml:space="preserve">H </w:t>
          </w:r>
        </w:p>
      </w:tc>
      <w:tc>
        <w:tcPr>
          <w:tcW w:w="621" w:type="dxa"/>
          <w:tcBorders>
            <w:top w:val="nil"/>
            <w:left w:val="nil"/>
            <w:bottom w:val="single" w:sz="8" w:space="0" w:color="auto"/>
            <w:right w:val="single" w:sz="8" w:space="0" w:color="auto"/>
          </w:tcBorders>
          <w:shd w:val="clear" w:color="auto" w:fill="auto"/>
          <w:vAlign w:val="center"/>
          <w:hideMark/>
        </w:tcPr>
        <w:p w14:paraId="36A53DCE"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CDBG</w:t>
          </w:r>
          <w:r w:rsidRPr="009605B2">
            <w:rPr>
              <w:rFonts w:ascii="Calibri" w:eastAsia="Times New Roman" w:hAnsi="Calibri"/>
              <w:color w:val="000000"/>
              <w:sz w:val="12"/>
              <w:szCs w:val="12"/>
            </w:rPr>
            <w:br/>
            <w:t>ESG</w:t>
          </w:r>
        </w:p>
      </w:tc>
      <w:tc>
        <w:tcPr>
          <w:tcW w:w="2074" w:type="dxa"/>
          <w:tcBorders>
            <w:top w:val="nil"/>
            <w:left w:val="nil"/>
            <w:bottom w:val="single" w:sz="8" w:space="0" w:color="auto"/>
            <w:right w:val="single" w:sz="8" w:space="0" w:color="auto"/>
          </w:tcBorders>
          <w:shd w:val="clear" w:color="auto" w:fill="auto"/>
          <w:vAlign w:val="center"/>
          <w:hideMark/>
        </w:tcPr>
        <w:p w14:paraId="7C40CB45"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Overnight/Emergency Shelter/Transitional Housing Beds added</w:t>
          </w:r>
        </w:p>
      </w:tc>
      <w:tc>
        <w:tcPr>
          <w:tcW w:w="788" w:type="dxa"/>
          <w:tcBorders>
            <w:top w:val="nil"/>
            <w:left w:val="nil"/>
            <w:bottom w:val="single" w:sz="8" w:space="0" w:color="auto"/>
            <w:right w:val="single" w:sz="8" w:space="0" w:color="auto"/>
          </w:tcBorders>
          <w:shd w:val="clear" w:color="auto" w:fill="auto"/>
          <w:vAlign w:val="center"/>
          <w:hideMark/>
        </w:tcPr>
        <w:p w14:paraId="5CC30230"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Beds</w:t>
          </w:r>
        </w:p>
      </w:tc>
      <w:tc>
        <w:tcPr>
          <w:tcW w:w="763" w:type="dxa"/>
          <w:tcBorders>
            <w:top w:val="nil"/>
            <w:left w:val="nil"/>
            <w:bottom w:val="single" w:sz="8" w:space="0" w:color="auto"/>
            <w:right w:val="single" w:sz="8" w:space="0" w:color="auto"/>
          </w:tcBorders>
          <w:shd w:val="clear" w:color="auto" w:fill="auto"/>
          <w:vAlign w:val="center"/>
          <w:hideMark/>
        </w:tcPr>
        <w:p w14:paraId="4037C979"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0</w:t>
          </w:r>
        </w:p>
      </w:tc>
      <w:tc>
        <w:tcPr>
          <w:tcW w:w="763" w:type="dxa"/>
          <w:tcBorders>
            <w:top w:val="nil"/>
            <w:left w:val="nil"/>
            <w:bottom w:val="single" w:sz="8" w:space="0" w:color="auto"/>
            <w:right w:val="single" w:sz="8" w:space="0" w:color="auto"/>
          </w:tcBorders>
          <w:shd w:val="clear" w:color="auto" w:fill="auto"/>
          <w:vAlign w:val="center"/>
          <w:hideMark/>
        </w:tcPr>
        <w:p w14:paraId="3738FF39"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98" w:type="dxa"/>
          <w:tcBorders>
            <w:top w:val="nil"/>
            <w:left w:val="nil"/>
            <w:bottom w:val="single" w:sz="8" w:space="0" w:color="auto"/>
            <w:right w:val="single" w:sz="8" w:space="0" w:color="auto"/>
          </w:tcBorders>
          <w:shd w:val="clear" w:color="auto" w:fill="auto"/>
          <w:vAlign w:val="center"/>
          <w:hideMark/>
        </w:tcPr>
        <w:p w14:paraId="20A40680"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72" w:type="dxa"/>
          <w:tcBorders>
            <w:top w:val="nil"/>
            <w:left w:val="nil"/>
            <w:bottom w:val="single" w:sz="8" w:space="0" w:color="auto"/>
            <w:right w:val="single" w:sz="8" w:space="0" w:color="auto"/>
          </w:tcBorders>
          <w:shd w:val="clear" w:color="auto" w:fill="auto"/>
          <w:vAlign w:val="center"/>
          <w:hideMark/>
        </w:tcPr>
        <w:p w14:paraId="4F9A1957"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0</w:t>
          </w:r>
        </w:p>
      </w:tc>
      <w:tc>
        <w:tcPr>
          <w:tcW w:w="672" w:type="dxa"/>
          <w:tcBorders>
            <w:top w:val="nil"/>
            <w:left w:val="nil"/>
            <w:bottom w:val="single" w:sz="8" w:space="0" w:color="auto"/>
            <w:right w:val="single" w:sz="8" w:space="0" w:color="auto"/>
          </w:tcBorders>
          <w:shd w:val="clear" w:color="auto" w:fill="auto"/>
          <w:vAlign w:val="center"/>
          <w:hideMark/>
        </w:tcPr>
        <w:p w14:paraId="65CB0B53"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98" w:type="dxa"/>
          <w:tcBorders>
            <w:top w:val="nil"/>
            <w:left w:val="nil"/>
            <w:bottom w:val="single" w:sz="8" w:space="0" w:color="auto"/>
            <w:right w:val="single" w:sz="8" w:space="0" w:color="auto"/>
          </w:tcBorders>
          <w:shd w:val="clear" w:color="auto" w:fill="auto"/>
          <w:vAlign w:val="center"/>
          <w:hideMark/>
        </w:tcPr>
        <w:p w14:paraId="397E5E7F"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r>
    <w:tr w:rsidR="005F3FCF" w:rsidRPr="0020194F" w14:paraId="4BF118B4" w14:textId="77777777" w:rsidTr="005F3FCF">
      <w:trPr>
        <w:trHeight w:val="288"/>
      </w:trPr>
      <w:tc>
        <w:tcPr>
          <w:tcW w:w="2251" w:type="dxa"/>
          <w:vMerge w:val="restart"/>
          <w:tcBorders>
            <w:top w:val="nil"/>
            <w:left w:val="single" w:sz="8" w:space="0" w:color="auto"/>
            <w:bottom w:val="single" w:sz="8" w:space="0" w:color="000000"/>
            <w:right w:val="single" w:sz="8" w:space="0" w:color="auto"/>
          </w:tcBorders>
          <w:shd w:val="clear" w:color="auto" w:fill="auto"/>
          <w:vAlign w:val="center"/>
          <w:hideMark/>
        </w:tcPr>
        <w:p w14:paraId="425218ED"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Provide Housing &amp; Services for Persons w/ HIV/AIDS</w:t>
          </w:r>
        </w:p>
      </w:tc>
      <w:tc>
        <w:tcPr>
          <w:tcW w:w="662" w:type="dxa"/>
          <w:tcBorders>
            <w:top w:val="nil"/>
            <w:left w:val="nil"/>
            <w:bottom w:val="nil"/>
            <w:right w:val="single" w:sz="8" w:space="0" w:color="auto"/>
          </w:tcBorders>
          <w:shd w:val="clear" w:color="auto" w:fill="auto"/>
          <w:vAlign w:val="center"/>
          <w:hideMark/>
        </w:tcPr>
        <w:p w14:paraId="629302C1"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AH</w:t>
          </w:r>
        </w:p>
      </w:tc>
      <w:tc>
        <w:tcPr>
          <w:tcW w:w="621" w:type="dxa"/>
          <w:vMerge w:val="restart"/>
          <w:tcBorders>
            <w:top w:val="nil"/>
            <w:left w:val="single" w:sz="8" w:space="0" w:color="auto"/>
            <w:bottom w:val="single" w:sz="8" w:space="0" w:color="000000"/>
            <w:right w:val="single" w:sz="8" w:space="0" w:color="auto"/>
          </w:tcBorders>
          <w:shd w:val="clear" w:color="auto" w:fill="auto"/>
          <w:vAlign w:val="center"/>
          <w:hideMark/>
        </w:tcPr>
        <w:p w14:paraId="3CDD8AF8"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 xml:space="preserve">HOPWA </w:t>
          </w:r>
        </w:p>
      </w:tc>
      <w:tc>
        <w:tcPr>
          <w:tcW w:w="2074" w:type="dxa"/>
          <w:vMerge w:val="restart"/>
          <w:tcBorders>
            <w:top w:val="nil"/>
            <w:left w:val="single" w:sz="8" w:space="0" w:color="auto"/>
            <w:bottom w:val="single" w:sz="8" w:space="0" w:color="000000"/>
            <w:right w:val="single" w:sz="8" w:space="0" w:color="auto"/>
          </w:tcBorders>
          <w:shd w:val="clear" w:color="auto" w:fill="auto"/>
          <w:vAlign w:val="center"/>
          <w:hideMark/>
        </w:tcPr>
        <w:p w14:paraId="1A29124E"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Public service activities other than Low/Moderate Income Housing Benefit</w:t>
          </w:r>
        </w:p>
      </w:tc>
      <w:tc>
        <w:tcPr>
          <w:tcW w:w="788" w:type="dxa"/>
          <w:vMerge w:val="restart"/>
          <w:tcBorders>
            <w:top w:val="nil"/>
            <w:left w:val="single" w:sz="8" w:space="0" w:color="auto"/>
            <w:bottom w:val="single" w:sz="8" w:space="0" w:color="000000"/>
            <w:right w:val="single" w:sz="8" w:space="0" w:color="auto"/>
          </w:tcBorders>
          <w:shd w:val="clear" w:color="auto" w:fill="auto"/>
          <w:vAlign w:val="center"/>
          <w:hideMark/>
        </w:tcPr>
        <w:p w14:paraId="34AFF561"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Persons Assisted</w:t>
          </w:r>
        </w:p>
      </w:tc>
      <w:tc>
        <w:tcPr>
          <w:tcW w:w="763" w:type="dxa"/>
          <w:vMerge w:val="restart"/>
          <w:tcBorders>
            <w:top w:val="nil"/>
            <w:left w:val="single" w:sz="8" w:space="0" w:color="auto"/>
            <w:bottom w:val="single" w:sz="8" w:space="0" w:color="000000"/>
            <w:right w:val="single" w:sz="8" w:space="0" w:color="auto"/>
          </w:tcBorders>
          <w:shd w:val="clear" w:color="auto" w:fill="auto"/>
          <w:vAlign w:val="center"/>
          <w:hideMark/>
        </w:tcPr>
        <w:p w14:paraId="5D65692C"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375</w:t>
          </w:r>
        </w:p>
      </w:tc>
      <w:tc>
        <w:tcPr>
          <w:tcW w:w="763" w:type="dxa"/>
          <w:vMerge w:val="restart"/>
          <w:tcBorders>
            <w:top w:val="nil"/>
            <w:left w:val="single" w:sz="8" w:space="0" w:color="auto"/>
            <w:bottom w:val="single" w:sz="8" w:space="0" w:color="000000"/>
            <w:right w:val="single" w:sz="8" w:space="0" w:color="auto"/>
          </w:tcBorders>
          <w:shd w:val="clear" w:color="auto" w:fill="auto"/>
          <w:vAlign w:val="center"/>
          <w:hideMark/>
        </w:tcPr>
        <w:p w14:paraId="16809C25"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110</w:t>
          </w:r>
        </w:p>
      </w:tc>
      <w:tc>
        <w:tcPr>
          <w:tcW w:w="698" w:type="dxa"/>
          <w:vMerge w:val="restart"/>
          <w:tcBorders>
            <w:top w:val="nil"/>
            <w:left w:val="single" w:sz="8" w:space="0" w:color="auto"/>
            <w:bottom w:val="single" w:sz="8" w:space="0" w:color="000000"/>
            <w:right w:val="single" w:sz="8" w:space="0" w:color="auto"/>
          </w:tcBorders>
          <w:shd w:val="clear" w:color="auto" w:fill="auto"/>
          <w:vAlign w:val="center"/>
          <w:hideMark/>
        </w:tcPr>
        <w:p w14:paraId="5EF30524"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29%</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hideMark/>
        </w:tcPr>
        <w:p w14:paraId="2C191DC8"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75</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hideMark/>
        </w:tcPr>
        <w:p w14:paraId="5A98441E"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47</w:t>
          </w:r>
        </w:p>
      </w:tc>
      <w:tc>
        <w:tcPr>
          <w:tcW w:w="698" w:type="dxa"/>
          <w:vMerge w:val="restart"/>
          <w:tcBorders>
            <w:top w:val="nil"/>
            <w:left w:val="single" w:sz="8" w:space="0" w:color="auto"/>
            <w:bottom w:val="single" w:sz="8" w:space="0" w:color="000000"/>
            <w:right w:val="single" w:sz="8" w:space="0" w:color="auto"/>
          </w:tcBorders>
          <w:shd w:val="clear" w:color="auto" w:fill="auto"/>
          <w:vAlign w:val="center"/>
          <w:hideMark/>
        </w:tcPr>
        <w:p w14:paraId="1E7A1129"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63%</w:t>
          </w:r>
        </w:p>
      </w:tc>
    </w:tr>
    <w:tr w:rsidR="005F3FCF" w:rsidRPr="0020194F" w14:paraId="46E7ABEE" w14:textId="77777777" w:rsidTr="005F3FCF">
      <w:trPr>
        <w:trHeight w:val="288"/>
      </w:trPr>
      <w:tc>
        <w:tcPr>
          <w:tcW w:w="2251" w:type="dxa"/>
          <w:vMerge/>
          <w:tcBorders>
            <w:top w:val="nil"/>
            <w:left w:val="single" w:sz="8" w:space="0" w:color="auto"/>
            <w:bottom w:val="single" w:sz="8" w:space="0" w:color="000000"/>
            <w:right w:val="single" w:sz="8" w:space="0" w:color="auto"/>
          </w:tcBorders>
          <w:vAlign w:val="center"/>
          <w:hideMark/>
        </w:tcPr>
        <w:p w14:paraId="7B4D7DD0" w14:textId="77777777" w:rsidR="005F3FCF" w:rsidRPr="009605B2" w:rsidRDefault="005F3FCF" w:rsidP="00816745">
          <w:pPr>
            <w:rPr>
              <w:rFonts w:ascii="Calibri" w:eastAsia="Times New Roman" w:hAnsi="Calibri"/>
              <w:color w:val="000000"/>
              <w:sz w:val="12"/>
              <w:szCs w:val="12"/>
            </w:rPr>
          </w:pPr>
        </w:p>
      </w:tc>
      <w:tc>
        <w:tcPr>
          <w:tcW w:w="662" w:type="dxa"/>
          <w:tcBorders>
            <w:top w:val="nil"/>
            <w:left w:val="nil"/>
            <w:bottom w:val="nil"/>
            <w:right w:val="single" w:sz="8" w:space="0" w:color="auto"/>
          </w:tcBorders>
          <w:shd w:val="clear" w:color="auto" w:fill="auto"/>
          <w:vAlign w:val="center"/>
          <w:hideMark/>
        </w:tcPr>
        <w:p w14:paraId="66E09F41"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H</w:t>
          </w:r>
        </w:p>
      </w:tc>
      <w:tc>
        <w:tcPr>
          <w:tcW w:w="621" w:type="dxa"/>
          <w:vMerge/>
          <w:tcBorders>
            <w:top w:val="nil"/>
            <w:left w:val="single" w:sz="8" w:space="0" w:color="auto"/>
            <w:bottom w:val="single" w:sz="8" w:space="0" w:color="000000"/>
            <w:right w:val="single" w:sz="8" w:space="0" w:color="auto"/>
          </w:tcBorders>
          <w:vAlign w:val="center"/>
          <w:hideMark/>
        </w:tcPr>
        <w:p w14:paraId="524A62D8" w14:textId="77777777" w:rsidR="005F3FCF" w:rsidRPr="009605B2" w:rsidRDefault="005F3FCF" w:rsidP="00816745">
          <w:pPr>
            <w:rPr>
              <w:rFonts w:ascii="Calibri" w:eastAsia="Times New Roman" w:hAnsi="Calibri"/>
              <w:color w:val="000000"/>
              <w:sz w:val="12"/>
              <w:szCs w:val="12"/>
            </w:rPr>
          </w:pPr>
        </w:p>
      </w:tc>
      <w:tc>
        <w:tcPr>
          <w:tcW w:w="2074" w:type="dxa"/>
          <w:vMerge/>
          <w:tcBorders>
            <w:top w:val="nil"/>
            <w:left w:val="single" w:sz="8" w:space="0" w:color="auto"/>
            <w:bottom w:val="single" w:sz="8" w:space="0" w:color="000000"/>
            <w:right w:val="single" w:sz="8" w:space="0" w:color="auto"/>
          </w:tcBorders>
          <w:vAlign w:val="center"/>
          <w:hideMark/>
        </w:tcPr>
        <w:p w14:paraId="0ABED755" w14:textId="77777777" w:rsidR="005F3FCF" w:rsidRPr="009605B2" w:rsidRDefault="005F3FCF" w:rsidP="00816745">
          <w:pPr>
            <w:rPr>
              <w:rFonts w:ascii="Calibri" w:eastAsia="Times New Roman" w:hAnsi="Calibri"/>
              <w:color w:val="000000"/>
              <w:sz w:val="12"/>
              <w:szCs w:val="12"/>
            </w:rPr>
          </w:pPr>
        </w:p>
      </w:tc>
      <w:tc>
        <w:tcPr>
          <w:tcW w:w="788" w:type="dxa"/>
          <w:vMerge/>
          <w:tcBorders>
            <w:top w:val="nil"/>
            <w:left w:val="single" w:sz="8" w:space="0" w:color="auto"/>
            <w:bottom w:val="single" w:sz="8" w:space="0" w:color="000000"/>
            <w:right w:val="single" w:sz="8" w:space="0" w:color="auto"/>
          </w:tcBorders>
          <w:vAlign w:val="center"/>
          <w:hideMark/>
        </w:tcPr>
        <w:p w14:paraId="565789B5" w14:textId="77777777" w:rsidR="005F3FCF" w:rsidRPr="0020194F" w:rsidRDefault="005F3FCF" w:rsidP="00816745">
          <w:pPr>
            <w:rPr>
              <w:rFonts w:ascii="Calibri" w:eastAsia="Times New Roman" w:hAnsi="Calibri"/>
              <w:color w:val="000000"/>
              <w:sz w:val="12"/>
              <w:szCs w:val="12"/>
            </w:rPr>
          </w:pPr>
        </w:p>
      </w:tc>
      <w:tc>
        <w:tcPr>
          <w:tcW w:w="763" w:type="dxa"/>
          <w:vMerge/>
          <w:tcBorders>
            <w:top w:val="nil"/>
            <w:left w:val="single" w:sz="8" w:space="0" w:color="auto"/>
            <w:bottom w:val="single" w:sz="8" w:space="0" w:color="000000"/>
            <w:right w:val="single" w:sz="8" w:space="0" w:color="auto"/>
          </w:tcBorders>
          <w:vAlign w:val="center"/>
          <w:hideMark/>
        </w:tcPr>
        <w:p w14:paraId="774AB693" w14:textId="77777777" w:rsidR="005F3FCF" w:rsidRPr="0020194F" w:rsidRDefault="005F3FCF" w:rsidP="00816745">
          <w:pPr>
            <w:rPr>
              <w:rFonts w:ascii="Calibri" w:eastAsia="Times New Roman" w:hAnsi="Calibri"/>
              <w:color w:val="000000"/>
              <w:sz w:val="12"/>
              <w:szCs w:val="12"/>
            </w:rPr>
          </w:pPr>
        </w:p>
      </w:tc>
      <w:tc>
        <w:tcPr>
          <w:tcW w:w="763" w:type="dxa"/>
          <w:vMerge/>
          <w:tcBorders>
            <w:top w:val="nil"/>
            <w:left w:val="single" w:sz="8" w:space="0" w:color="auto"/>
            <w:bottom w:val="single" w:sz="8" w:space="0" w:color="000000"/>
            <w:right w:val="single" w:sz="8" w:space="0" w:color="auto"/>
          </w:tcBorders>
          <w:vAlign w:val="center"/>
          <w:hideMark/>
        </w:tcPr>
        <w:p w14:paraId="084B0CBB" w14:textId="77777777" w:rsidR="005F3FCF" w:rsidRPr="0020194F" w:rsidRDefault="005F3FCF" w:rsidP="00816745">
          <w:pPr>
            <w:rPr>
              <w:rFonts w:ascii="Calibri" w:eastAsia="Times New Roman" w:hAnsi="Calibri"/>
              <w:color w:val="000000"/>
              <w:sz w:val="12"/>
              <w:szCs w:val="12"/>
            </w:rPr>
          </w:pPr>
        </w:p>
      </w:tc>
      <w:tc>
        <w:tcPr>
          <w:tcW w:w="698" w:type="dxa"/>
          <w:vMerge/>
          <w:tcBorders>
            <w:top w:val="nil"/>
            <w:left w:val="single" w:sz="8" w:space="0" w:color="auto"/>
            <w:bottom w:val="single" w:sz="8" w:space="0" w:color="000000"/>
            <w:right w:val="single" w:sz="8" w:space="0" w:color="auto"/>
          </w:tcBorders>
          <w:vAlign w:val="center"/>
          <w:hideMark/>
        </w:tcPr>
        <w:p w14:paraId="423427FE" w14:textId="77777777" w:rsidR="005F3FCF" w:rsidRPr="0020194F" w:rsidRDefault="005F3FCF" w:rsidP="00816745">
          <w:pPr>
            <w:rPr>
              <w:rFonts w:ascii="Calibri" w:eastAsia="Times New Roman" w:hAnsi="Calibri"/>
              <w:color w:val="000000"/>
              <w:sz w:val="12"/>
              <w:szCs w:val="12"/>
            </w:rPr>
          </w:pPr>
        </w:p>
      </w:tc>
      <w:tc>
        <w:tcPr>
          <w:tcW w:w="672" w:type="dxa"/>
          <w:vMerge/>
          <w:tcBorders>
            <w:top w:val="nil"/>
            <w:left w:val="single" w:sz="8" w:space="0" w:color="auto"/>
            <w:bottom w:val="single" w:sz="8" w:space="0" w:color="000000"/>
            <w:right w:val="single" w:sz="8" w:space="0" w:color="auto"/>
          </w:tcBorders>
          <w:vAlign w:val="center"/>
          <w:hideMark/>
        </w:tcPr>
        <w:p w14:paraId="65EF0EBE" w14:textId="77777777" w:rsidR="005F3FCF" w:rsidRPr="0020194F" w:rsidRDefault="005F3FCF" w:rsidP="00816745">
          <w:pPr>
            <w:rPr>
              <w:rFonts w:ascii="Calibri" w:eastAsia="Times New Roman" w:hAnsi="Calibri"/>
              <w:color w:val="000000"/>
              <w:sz w:val="12"/>
              <w:szCs w:val="12"/>
            </w:rPr>
          </w:pPr>
        </w:p>
      </w:tc>
      <w:tc>
        <w:tcPr>
          <w:tcW w:w="672" w:type="dxa"/>
          <w:vMerge/>
          <w:tcBorders>
            <w:top w:val="nil"/>
            <w:left w:val="single" w:sz="8" w:space="0" w:color="auto"/>
            <w:bottom w:val="single" w:sz="8" w:space="0" w:color="000000"/>
            <w:right w:val="single" w:sz="8" w:space="0" w:color="auto"/>
          </w:tcBorders>
          <w:vAlign w:val="center"/>
          <w:hideMark/>
        </w:tcPr>
        <w:p w14:paraId="1F157634" w14:textId="77777777" w:rsidR="005F3FCF" w:rsidRPr="0020194F" w:rsidRDefault="005F3FCF" w:rsidP="00816745">
          <w:pPr>
            <w:rPr>
              <w:rFonts w:ascii="Calibri" w:eastAsia="Times New Roman" w:hAnsi="Calibri"/>
              <w:color w:val="000000"/>
              <w:sz w:val="12"/>
              <w:szCs w:val="12"/>
            </w:rPr>
          </w:pPr>
        </w:p>
      </w:tc>
      <w:tc>
        <w:tcPr>
          <w:tcW w:w="698" w:type="dxa"/>
          <w:vMerge/>
          <w:tcBorders>
            <w:top w:val="nil"/>
            <w:left w:val="single" w:sz="8" w:space="0" w:color="auto"/>
            <w:bottom w:val="single" w:sz="8" w:space="0" w:color="000000"/>
            <w:right w:val="single" w:sz="8" w:space="0" w:color="auto"/>
          </w:tcBorders>
          <w:vAlign w:val="center"/>
          <w:hideMark/>
        </w:tcPr>
        <w:p w14:paraId="156460F1" w14:textId="77777777" w:rsidR="005F3FCF" w:rsidRPr="0020194F" w:rsidRDefault="005F3FCF" w:rsidP="00816745">
          <w:pPr>
            <w:rPr>
              <w:rFonts w:ascii="Calibri" w:eastAsia="Times New Roman" w:hAnsi="Calibri"/>
              <w:color w:val="000000"/>
              <w:sz w:val="12"/>
              <w:szCs w:val="12"/>
            </w:rPr>
          </w:pPr>
        </w:p>
      </w:tc>
    </w:tr>
    <w:tr w:rsidR="005F3FCF" w:rsidRPr="009605B2" w14:paraId="089BBE04" w14:textId="77777777" w:rsidTr="005F3FCF">
      <w:trPr>
        <w:trHeight w:val="294"/>
      </w:trPr>
      <w:tc>
        <w:tcPr>
          <w:tcW w:w="2251" w:type="dxa"/>
          <w:vMerge/>
          <w:tcBorders>
            <w:top w:val="nil"/>
            <w:left w:val="single" w:sz="8" w:space="0" w:color="auto"/>
            <w:bottom w:val="single" w:sz="8" w:space="0" w:color="000000"/>
            <w:right w:val="single" w:sz="8" w:space="0" w:color="auto"/>
          </w:tcBorders>
          <w:vAlign w:val="center"/>
          <w:hideMark/>
        </w:tcPr>
        <w:p w14:paraId="40BBB402" w14:textId="77777777" w:rsidR="005F3FCF" w:rsidRPr="009605B2" w:rsidRDefault="005F3FCF" w:rsidP="00816745">
          <w:pPr>
            <w:rPr>
              <w:rFonts w:ascii="Calibri" w:eastAsia="Times New Roman" w:hAnsi="Calibri"/>
              <w:color w:val="000000"/>
              <w:sz w:val="12"/>
              <w:szCs w:val="12"/>
            </w:rPr>
          </w:pPr>
        </w:p>
      </w:tc>
      <w:tc>
        <w:tcPr>
          <w:tcW w:w="662" w:type="dxa"/>
          <w:tcBorders>
            <w:top w:val="nil"/>
            <w:left w:val="nil"/>
            <w:bottom w:val="single" w:sz="8" w:space="0" w:color="auto"/>
            <w:right w:val="single" w:sz="8" w:space="0" w:color="auto"/>
          </w:tcBorders>
          <w:shd w:val="clear" w:color="auto" w:fill="auto"/>
          <w:vAlign w:val="center"/>
          <w:hideMark/>
        </w:tcPr>
        <w:p w14:paraId="7BF595CD"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NHSN</w:t>
          </w:r>
        </w:p>
      </w:tc>
      <w:tc>
        <w:tcPr>
          <w:tcW w:w="621" w:type="dxa"/>
          <w:vMerge/>
          <w:tcBorders>
            <w:top w:val="nil"/>
            <w:left w:val="single" w:sz="8" w:space="0" w:color="auto"/>
            <w:bottom w:val="single" w:sz="8" w:space="0" w:color="000000"/>
            <w:right w:val="single" w:sz="8" w:space="0" w:color="auto"/>
          </w:tcBorders>
          <w:vAlign w:val="center"/>
          <w:hideMark/>
        </w:tcPr>
        <w:p w14:paraId="1780DAF4" w14:textId="77777777" w:rsidR="005F3FCF" w:rsidRPr="009605B2" w:rsidRDefault="005F3FCF" w:rsidP="00816745">
          <w:pPr>
            <w:rPr>
              <w:rFonts w:ascii="Calibri" w:eastAsia="Times New Roman" w:hAnsi="Calibri"/>
              <w:color w:val="000000"/>
              <w:sz w:val="12"/>
              <w:szCs w:val="12"/>
            </w:rPr>
          </w:pPr>
        </w:p>
      </w:tc>
      <w:tc>
        <w:tcPr>
          <w:tcW w:w="2074" w:type="dxa"/>
          <w:vMerge/>
          <w:tcBorders>
            <w:top w:val="nil"/>
            <w:left w:val="single" w:sz="8" w:space="0" w:color="auto"/>
            <w:bottom w:val="single" w:sz="8" w:space="0" w:color="000000"/>
            <w:right w:val="single" w:sz="8" w:space="0" w:color="auto"/>
          </w:tcBorders>
          <w:vAlign w:val="center"/>
          <w:hideMark/>
        </w:tcPr>
        <w:p w14:paraId="455C7152" w14:textId="77777777" w:rsidR="005F3FCF" w:rsidRPr="009605B2" w:rsidRDefault="005F3FCF" w:rsidP="00816745">
          <w:pPr>
            <w:rPr>
              <w:rFonts w:ascii="Calibri" w:eastAsia="Times New Roman" w:hAnsi="Calibri"/>
              <w:color w:val="000000"/>
              <w:sz w:val="12"/>
              <w:szCs w:val="12"/>
            </w:rPr>
          </w:pPr>
        </w:p>
      </w:tc>
      <w:tc>
        <w:tcPr>
          <w:tcW w:w="788" w:type="dxa"/>
          <w:vMerge/>
          <w:tcBorders>
            <w:top w:val="nil"/>
            <w:left w:val="single" w:sz="8" w:space="0" w:color="auto"/>
            <w:bottom w:val="single" w:sz="8" w:space="0" w:color="000000"/>
            <w:right w:val="single" w:sz="8" w:space="0" w:color="auto"/>
          </w:tcBorders>
          <w:vAlign w:val="center"/>
          <w:hideMark/>
        </w:tcPr>
        <w:p w14:paraId="067436DA" w14:textId="77777777" w:rsidR="005F3FCF" w:rsidRPr="009605B2" w:rsidRDefault="005F3FCF" w:rsidP="00816745">
          <w:pPr>
            <w:rPr>
              <w:rFonts w:ascii="Calibri" w:eastAsia="Times New Roman" w:hAnsi="Calibri"/>
              <w:color w:val="000000"/>
              <w:sz w:val="12"/>
              <w:szCs w:val="12"/>
            </w:rPr>
          </w:pPr>
        </w:p>
      </w:tc>
      <w:tc>
        <w:tcPr>
          <w:tcW w:w="763" w:type="dxa"/>
          <w:vMerge/>
          <w:tcBorders>
            <w:top w:val="nil"/>
            <w:left w:val="single" w:sz="8" w:space="0" w:color="auto"/>
            <w:bottom w:val="single" w:sz="8" w:space="0" w:color="000000"/>
            <w:right w:val="single" w:sz="8" w:space="0" w:color="auto"/>
          </w:tcBorders>
          <w:vAlign w:val="center"/>
          <w:hideMark/>
        </w:tcPr>
        <w:p w14:paraId="3368F76D" w14:textId="77777777" w:rsidR="005F3FCF" w:rsidRPr="00A60631" w:rsidRDefault="005F3FCF" w:rsidP="00816745">
          <w:pPr>
            <w:rPr>
              <w:rFonts w:ascii="Calibri" w:eastAsia="Times New Roman" w:hAnsi="Calibri"/>
              <w:color w:val="000000"/>
              <w:sz w:val="12"/>
              <w:szCs w:val="12"/>
              <w:highlight w:val="yellow"/>
            </w:rPr>
          </w:pPr>
        </w:p>
      </w:tc>
      <w:tc>
        <w:tcPr>
          <w:tcW w:w="763" w:type="dxa"/>
          <w:vMerge/>
          <w:tcBorders>
            <w:top w:val="nil"/>
            <w:left w:val="single" w:sz="8" w:space="0" w:color="auto"/>
            <w:bottom w:val="single" w:sz="8" w:space="0" w:color="000000"/>
            <w:right w:val="single" w:sz="8" w:space="0" w:color="auto"/>
          </w:tcBorders>
          <w:vAlign w:val="center"/>
          <w:hideMark/>
        </w:tcPr>
        <w:p w14:paraId="5CE8ED35" w14:textId="77777777" w:rsidR="005F3FCF" w:rsidRPr="00A60631" w:rsidRDefault="005F3FCF" w:rsidP="00816745">
          <w:pPr>
            <w:rPr>
              <w:rFonts w:ascii="Calibri" w:eastAsia="Times New Roman" w:hAnsi="Calibri"/>
              <w:color w:val="000000"/>
              <w:sz w:val="12"/>
              <w:szCs w:val="12"/>
              <w:highlight w:val="yellow"/>
            </w:rPr>
          </w:pPr>
        </w:p>
      </w:tc>
      <w:tc>
        <w:tcPr>
          <w:tcW w:w="698" w:type="dxa"/>
          <w:vMerge/>
          <w:tcBorders>
            <w:top w:val="nil"/>
            <w:left w:val="single" w:sz="8" w:space="0" w:color="auto"/>
            <w:bottom w:val="single" w:sz="8" w:space="0" w:color="000000"/>
            <w:right w:val="single" w:sz="8" w:space="0" w:color="auto"/>
          </w:tcBorders>
          <w:vAlign w:val="center"/>
          <w:hideMark/>
        </w:tcPr>
        <w:p w14:paraId="6EE0F792" w14:textId="77777777" w:rsidR="005F3FCF" w:rsidRPr="00A60631" w:rsidRDefault="005F3FCF" w:rsidP="00816745">
          <w:pPr>
            <w:rPr>
              <w:rFonts w:ascii="Calibri" w:eastAsia="Times New Roman" w:hAnsi="Calibri"/>
              <w:color w:val="000000"/>
              <w:sz w:val="12"/>
              <w:szCs w:val="12"/>
              <w:highlight w:val="yellow"/>
            </w:rPr>
          </w:pPr>
        </w:p>
      </w:tc>
      <w:tc>
        <w:tcPr>
          <w:tcW w:w="672" w:type="dxa"/>
          <w:vMerge/>
          <w:tcBorders>
            <w:top w:val="nil"/>
            <w:left w:val="single" w:sz="8" w:space="0" w:color="auto"/>
            <w:bottom w:val="single" w:sz="8" w:space="0" w:color="000000"/>
            <w:right w:val="single" w:sz="8" w:space="0" w:color="auto"/>
          </w:tcBorders>
          <w:vAlign w:val="center"/>
          <w:hideMark/>
        </w:tcPr>
        <w:p w14:paraId="47869CC4" w14:textId="77777777" w:rsidR="005F3FCF" w:rsidRPr="009605B2" w:rsidRDefault="005F3FCF" w:rsidP="00816745">
          <w:pPr>
            <w:rPr>
              <w:rFonts w:ascii="Calibri" w:eastAsia="Times New Roman" w:hAnsi="Calibri"/>
              <w:color w:val="000000"/>
              <w:sz w:val="12"/>
              <w:szCs w:val="12"/>
            </w:rPr>
          </w:pPr>
        </w:p>
      </w:tc>
      <w:tc>
        <w:tcPr>
          <w:tcW w:w="672" w:type="dxa"/>
          <w:vMerge/>
          <w:tcBorders>
            <w:top w:val="nil"/>
            <w:left w:val="single" w:sz="8" w:space="0" w:color="auto"/>
            <w:bottom w:val="single" w:sz="8" w:space="0" w:color="000000"/>
            <w:right w:val="single" w:sz="8" w:space="0" w:color="auto"/>
          </w:tcBorders>
          <w:vAlign w:val="center"/>
          <w:hideMark/>
        </w:tcPr>
        <w:p w14:paraId="1238E771" w14:textId="77777777" w:rsidR="005F3FCF" w:rsidRPr="009605B2" w:rsidRDefault="005F3FCF" w:rsidP="00816745">
          <w:pPr>
            <w:rPr>
              <w:rFonts w:ascii="Calibri" w:eastAsia="Times New Roman" w:hAnsi="Calibri"/>
              <w:color w:val="000000"/>
              <w:sz w:val="12"/>
              <w:szCs w:val="12"/>
            </w:rPr>
          </w:pPr>
        </w:p>
      </w:tc>
      <w:tc>
        <w:tcPr>
          <w:tcW w:w="698" w:type="dxa"/>
          <w:vMerge/>
          <w:tcBorders>
            <w:top w:val="nil"/>
            <w:left w:val="single" w:sz="8" w:space="0" w:color="auto"/>
            <w:bottom w:val="single" w:sz="8" w:space="0" w:color="000000"/>
            <w:right w:val="single" w:sz="8" w:space="0" w:color="auto"/>
          </w:tcBorders>
          <w:vAlign w:val="center"/>
          <w:hideMark/>
        </w:tcPr>
        <w:p w14:paraId="2C13A488" w14:textId="77777777" w:rsidR="005F3FCF" w:rsidRPr="009605B2" w:rsidRDefault="005F3FCF" w:rsidP="00816745">
          <w:pPr>
            <w:rPr>
              <w:rFonts w:ascii="Calibri" w:eastAsia="Times New Roman" w:hAnsi="Calibri"/>
              <w:color w:val="000000"/>
              <w:sz w:val="12"/>
              <w:szCs w:val="12"/>
            </w:rPr>
          </w:pPr>
        </w:p>
      </w:tc>
    </w:tr>
    <w:tr w:rsidR="005F3FCF" w:rsidRPr="009605B2" w14:paraId="49187056" w14:textId="77777777" w:rsidTr="005F3FCF">
      <w:trPr>
        <w:trHeight w:val="288"/>
      </w:trPr>
      <w:tc>
        <w:tcPr>
          <w:tcW w:w="2251" w:type="dxa"/>
          <w:vMerge w:val="restart"/>
          <w:tcBorders>
            <w:top w:val="nil"/>
            <w:left w:val="single" w:sz="8" w:space="0" w:color="auto"/>
            <w:bottom w:val="single" w:sz="8" w:space="0" w:color="000000"/>
            <w:right w:val="single" w:sz="8" w:space="0" w:color="auto"/>
          </w:tcBorders>
          <w:shd w:val="clear" w:color="auto" w:fill="auto"/>
          <w:vAlign w:val="center"/>
          <w:hideMark/>
        </w:tcPr>
        <w:p w14:paraId="59D5534D"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Provide Housing &amp; Services for Persons w/ HIV/AIDS</w:t>
          </w:r>
        </w:p>
      </w:tc>
      <w:tc>
        <w:tcPr>
          <w:tcW w:w="662" w:type="dxa"/>
          <w:tcBorders>
            <w:top w:val="nil"/>
            <w:left w:val="nil"/>
            <w:bottom w:val="nil"/>
            <w:right w:val="single" w:sz="8" w:space="0" w:color="auto"/>
          </w:tcBorders>
          <w:shd w:val="clear" w:color="auto" w:fill="auto"/>
          <w:vAlign w:val="center"/>
          <w:hideMark/>
        </w:tcPr>
        <w:p w14:paraId="67E9A57C"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AH</w:t>
          </w:r>
        </w:p>
      </w:tc>
      <w:tc>
        <w:tcPr>
          <w:tcW w:w="621" w:type="dxa"/>
          <w:vMerge w:val="restart"/>
          <w:tcBorders>
            <w:top w:val="nil"/>
            <w:left w:val="single" w:sz="8" w:space="0" w:color="auto"/>
            <w:bottom w:val="single" w:sz="8" w:space="0" w:color="000000"/>
            <w:right w:val="single" w:sz="8" w:space="0" w:color="auto"/>
          </w:tcBorders>
          <w:shd w:val="clear" w:color="auto" w:fill="auto"/>
          <w:vAlign w:val="center"/>
          <w:hideMark/>
        </w:tcPr>
        <w:p w14:paraId="097E7133"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 xml:space="preserve">HOPWA </w:t>
          </w:r>
        </w:p>
      </w:tc>
      <w:tc>
        <w:tcPr>
          <w:tcW w:w="2074" w:type="dxa"/>
          <w:vMerge w:val="restart"/>
          <w:tcBorders>
            <w:top w:val="nil"/>
            <w:left w:val="single" w:sz="8" w:space="0" w:color="auto"/>
            <w:bottom w:val="single" w:sz="8" w:space="0" w:color="000000"/>
            <w:right w:val="single" w:sz="8" w:space="0" w:color="auto"/>
          </w:tcBorders>
          <w:shd w:val="clear" w:color="auto" w:fill="auto"/>
          <w:vAlign w:val="center"/>
          <w:hideMark/>
        </w:tcPr>
        <w:p w14:paraId="52C95B43"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Tenant-based rental assistance / Rapid Rehousing</w:t>
          </w:r>
        </w:p>
      </w:tc>
      <w:tc>
        <w:tcPr>
          <w:tcW w:w="788" w:type="dxa"/>
          <w:vMerge w:val="restart"/>
          <w:tcBorders>
            <w:top w:val="nil"/>
            <w:left w:val="single" w:sz="8" w:space="0" w:color="auto"/>
            <w:bottom w:val="single" w:sz="8" w:space="0" w:color="000000"/>
            <w:right w:val="single" w:sz="8" w:space="0" w:color="auto"/>
          </w:tcBorders>
          <w:shd w:val="clear" w:color="auto" w:fill="auto"/>
          <w:vAlign w:val="center"/>
          <w:hideMark/>
        </w:tcPr>
        <w:p w14:paraId="11BEF9DA" w14:textId="77777777" w:rsidR="005F3FCF" w:rsidRPr="009605B2" w:rsidRDefault="005F3FCF" w:rsidP="00816745">
          <w:pPr>
            <w:jc w:val="center"/>
            <w:rPr>
              <w:rFonts w:ascii="Calibri" w:eastAsia="Times New Roman" w:hAnsi="Calibri"/>
              <w:color w:val="000000"/>
              <w:sz w:val="12"/>
              <w:szCs w:val="12"/>
            </w:rPr>
          </w:pPr>
          <w:r w:rsidRPr="009605B2">
            <w:rPr>
              <w:rFonts w:ascii="Calibri" w:eastAsia="Times New Roman" w:hAnsi="Calibri"/>
              <w:color w:val="000000"/>
              <w:sz w:val="12"/>
              <w:szCs w:val="12"/>
            </w:rPr>
            <w:t>Households Assisted</w:t>
          </w:r>
        </w:p>
      </w:tc>
      <w:tc>
        <w:tcPr>
          <w:tcW w:w="763" w:type="dxa"/>
          <w:vMerge w:val="restart"/>
          <w:tcBorders>
            <w:top w:val="nil"/>
            <w:left w:val="single" w:sz="8" w:space="0" w:color="auto"/>
            <w:bottom w:val="single" w:sz="8" w:space="0" w:color="000000"/>
            <w:right w:val="single" w:sz="8" w:space="0" w:color="auto"/>
          </w:tcBorders>
          <w:shd w:val="clear" w:color="auto" w:fill="auto"/>
          <w:vAlign w:val="center"/>
          <w:hideMark/>
        </w:tcPr>
        <w:p w14:paraId="6683D1DF" w14:textId="77777777" w:rsidR="005F3FCF" w:rsidRPr="00A60631" w:rsidRDefault="005F3FCF" w:rsidP="00816745">
          <w:pPr>
            <w:jc w:val="center"/>
            <w:rPr>
              <w:rFonts w:ascii="Calibri" w:eastAsia="Times New Roman" w:hAnsi="Calibri"/>
              <w:color w:val="000000"/>
              <w:sz w:val="12"/>
              <w:szCs w:val="12"/>
            </w:rPr>
          </w:pPr>
          <w:r w:rsidRPr="00A60631">
            <w:rPr>
              <w:rFonts w:ascii="Calibri" w:eastAsia="Times New Roman" w:hAnsi="Calibri"/>
              <w:color w:val="000000"/>
              <w:sz w:val="12"/>
              <w:szCs w:val="12"/>
            </w:rPr>
            <w:t>150</w:t>
          </w:r>
        </w:p>
      </w:tc>
      <w:tc>
        <w:tcPr>
          <w:tcW w:w="763" w:type="dxa"/>
          <w:vMerge w:val="restart"/>
          <w:tcBorders>
            <w:top w:val="nil"/>
            <w:left w:val="single" w:sz="8" w:space="0" w:color="auto"/>
            <w:bottom w:val="single" w:sz="8" w:space="0" w:color="000000"/>
            <w:right w:val="single" w:sz="8" w:space="0" w:color="auto"/>
          </w:tcBorders>
          <w:shd w:val="clear" w:color="auto" w:fill="auto"/>
          <w:vAlign w:val="center"/>
          <w:hideMark/>
        </w:tcPr>
        <w:p w14:paraId="6A174242" w14:textId="77777777" w:rsidR="005F3FCF" w:rsidRPr="00A60631" w:rsidRDefault="005F3FCF" w:rsidP="00816745">
          <w:pPr>
            <w:jc w:val="center"/>
            <w:rPr>
              <w:rFonts w:ascii="Calibri" w:eastAsia="Times New Roman" w:hAnsi="Calibri"/>
              <w:color w:val="000000"/>
              <w:sz w:val="12"/>
              <w:szCs w:val="12"/>
            </w:rPr>
          </w:pPr>
          <w:r>
            <w:rPr>
              <w:rFonts w:ascii="Calibri" w:eastAsia="Times New Roman" w:hAnsi="Calibri"/>
              <w:color w:val="000000"/>
              <w:sz w:val="12"/>
              <w:szCs w:val="12"/>
            </w:rPr>
            <w:t>115</w:t>
          </w:r>
        </w:p>
      </w:tc>
      <w:tc>
        <w:tcPr>
          <w:tcW w:w="698" w:type="dxa"/>
          <w:vMerge w:val="restart"/>
          <w:tcBorders>
            <w:top w:val="nil"/>
            <w:left w:val="single" w:sz="8" w:space="0" w:color="auto"/>
            <w:bottom w:val="single" w:sz="8" w:space="0" w:color="000000"/>
            <w:right w:val="single" w:sz="8" w:space="0" w:color="auto"/>
          </w:tcBorders>
          <w:shd w:val="clear" w:color="auto" w:fill="auto"/>
          <w:vAlign w:val="center"/>
          <w:hideMark/>
        </w:tcPr>
        <w:p w14:paraId="1955CD8C" w14:textId="77777777" w:rsidR="005F3FCF" w:rsidRPr="00A60631" w:rsidRDefault="005F3FCF" w:rsidP="00816745">
          <w:pPr>
            <w:jc w:val="center"/>
            <w:rPr>
              <w:rFonts w:ascii="Calibri" w:eastAsia="Times New Roman" w:hAnsi="Calibri"/>
              <w:color w:val="000000"/>
              <w:sz w:val="12"/>
              <w:szCs w:val="12"/>
            </w:rPr>
          </w:pPr>
          <w:r>
            <w:rPr>
              <w:rFonts w:ascii="Calibri" w:eastAsia="Times New Roman" w:hAnsi="Calibri"/>
              <w:color w:val="000000"/>
              <w:sz w:val="12"/>
              <w:szCs w:val="12"/>
            </w:rPr>
            <w:t>77</w:t>
          </w:r>
          <w:r w:rsidRPr="00A60631">
            <w:rPr>
              <w:rFonts w:ascii="Calibri" w:eastAsia="Times New Roman" w:hAnsi="Calibri"/>
              <w:color w:val="000000"/>
              <w:sz w:val="12"/>
              <w:szCs w:val="12"/>
            </w:rPr>
            <w:t>%</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hideMark/>
        </w:tcPr>
        <w:p w14:paraId="0BBB3919" w14:textId="77777777" w:rsidR="005F3FCF" w:rsidRPr="009605B2" w:rsidRDefault="005F3FCF" w:rsidP="00816745">
          <w:pPr>
            <w:jc w:val="center"/>
            <w:rPr>
              <w:rFonts w:ascii="Calibri" w:eastAsia="Times New Roman" w:hAnsi="Calibri"/>
              <w:color w:val="000000"/>
              <w:sz w:val="12"/>
              <w:szCs w:val="12"/>
            </w:rPr>
          </w:pPr>
          <w:r>
            <w:rPr>
              <w:rFonts w:ascii="Calibri" w:eastAsia="Times New Roman" w:hAnsi="Calibri"/>
              <w:color w:val="000000"/>
              <w:sz w:val="12"/>
              <w:szCs w:val="12"/>
            </w:rPr>
            <w:t>30</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hideMark/>
        </w:tcPr>
        <w:p w14:paraId="288A2144" w14:textId="77777777" w:rsidR="005F3FCF" w:rsidRPr="009605B2" w:rsidRDefault="005F3FCF" w:rsidP="00816745">
          <w:pPr>
            <w:jc w:val="center"/>
            <w:rPr>
              <w:rFonts w:ascii="Calibri" w:eastAsia="Times New Roman" w:hAnsi="Calibri"/>
              <w:color w:val="000000"/>
              <w:sz w:val="12"/>
              <w:szCs w:val="12"/>
            </w:rPr>
          </w:pPr>
          <w:r>
            <w:rPr>
              <w:rFonts w:ascii="Calibri" w:eastAsia="Times New Roman" w:hAnsi="Calibri"/>
              <w:color w:val="000000"/>
              <w:sz w:val="12"/>
              <w:szCs w:val="12"/>
            </w:rPr>
            <w:t>41</w:t>
          </w:r>
        </w:p>
      </w:tc>
      <w:tc>
        <w:tcPr>
          <w:tcW w:w="698" w:type="dxa"/>
          <w:vMerge w:val="restart"/>
          <w:tcBorders>
            <w:top w:val="nil"/>
            <w:left w:val="single" w:sz="8" w:space="0" w:color="auto"/>
            <w:bottom w:val="single" w:sz="8" w:space="0" w:color="000000"/>
            <w:right w:val="single" w:sz="8" w:space="0" w:color="auto"/>
          </w:tcBorders>
          <w:shd w:val="clear" w:color="auto" w:fill="auto"/>
          <w:vAlign w:val="center"/>
          <w:hideMark/>
        </w:tcPr>
        <w:p w14:paraId="562AF57C" w14:textId="77777777" w:rsidR="005F3FCF" w:rsidRPr="009605B2" w:rsidRDefault="005F3FCF" w:rsidP="00816745">
          <w:pPr>
            <w:jc w:val="center"/>
            <w:rPr>
              <w:rFonts w:ascii="Calibri" w:eastAsia="Times New Roman" w:hAnsi="Calibri"/>
              <w:color w:val="000000"/>
              <w:sz w:val="12"/>
              <w:szCs w:val="12"/>
            </w:rPr>
          </w:pPr>
          <w:r>
            <w:rPr>
              <w:rFonts w:ascii="Calibri" w:eastAsia="Times New Roman" w:hAnsi="Calibri"/>
              <w:color w:val="000000"/>
              <w:sz w:val="12"/>
              <w:szCs w:val="12"/>
            </w:rPr>
            <w:t>137</w:t>
          </w:r>
          <w:r w:rsidRPr="009605B2">
            <w:rPr>
              <w:rFonts w:ascii="Calibri" w:eastAsia="Times New Roman" w:hAnsi="Calibri"/>
              <w:color w:val="000000"/>
              <w:sz w:val="12"/>
              <w:szCs w:val="12"/>
            </w:rPr>
            <w:t>%</w:t>
          </w:r>
        </w:p>
      </w:tc>
    </w:tr>
    <w:tr w:rsidR="005F3FCF" w:rsidRPr="009605B2" w14:paraId="3FBCAD5D" w14:textId="77777777" w:rsidTr="005F3FCF">
      <w:trPr>
        <w:trHeight w:val="288"/>
      </w:trPr>
      <w:tc>
        <w:tcPr>
          <w:tcW w:w="2251" w:type="dxa"/>
          <w:vMerge/>
          <w:tcBorders>
            <w:top w:val="nil"/>
            <w:left w:val="single" w:sz="8" w:space="0" w:color="auto"/>
            <w:bottom w:val="single" w:sz="8" w:space="0" w:color="000000"/>
            <w:right w:val="single" w:sz="8" w:space="0" w:color="auto"/>
          </w:tcBorders>
          <w:vAlign w:val="center"/>
          <w:hideMark/>
        </w:tcPr>
        <w:p w14:paraId="499A685C" w14:textId="77777777" w:rsidR="005F3FCF" w:rsidRPr="009605B2" w:rsidRDefault="005F3FCF" w:rsidP="00816745">
          <w:pPr>
            <w:rPr>
              <w:rFonts w:ascii="Calibri" w:eastAsia="Times New Roman" w:hAnsi="Calibri"/>
              <w:color w:val="000000"/>
              <w:sz w:val="12"/>
              <w:szCs w:val="12"/>
            </w:rPr>
          </w:pPr>
        </w:p>
      </w:tc>
      <w:tc>
        <w:tcPr>
          <w:tcW w:w="662" w:type="dxa"/>
          <w:tcBorders>
            <w:top w:val="nil"/>
            <w:left w:val="nil"/>
            <w:bottom w:val="nil"/>
            <w:right w:val="single" w:sz="8" w:space="0" w:color="auto"/>
          </w:tcBorders>
          <w:shd w:val="clear" w:color="auto" w:fill="auto"/>
          <w:vAlign w:val="center"/>
          <w:hideMark/>
        </w:tcPr>
        <w:p w14:paraId="43A27873"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H</w:t>
          </w:r>
        </w:p>
      </w:tc>
      <w:tc>
        <w:tcPr>
          <w:tcW w:w="621" w:type="dxa"/>
          <w:vMerge/>
          <w:tcBorders>
            <w:top w:val="nil"/>
            <w:left w:val="single" w:sz="8" w:space="0" w:color="auto"/>
            <w:bottom w:val="single" w:sz="8" w:space="0" w:color="000000"/>
            <w:right w:val="single" w:sz="8" w:space="0" w:color="auto"/>
          </w:tcBorders>
          <w:vAlign w:val="center"/>
          <w:hideMark/>
        </w:tcPr>
        <w:p w14:paraId="4AF3A440" w14:textId="77777777" w:rsidR="005F3FCF" w:rsidRPr="009605B2" w:rsidRDefault="005F3FCF" w:rsidP="00816745">
          <w:pPr>
            <w:rPr>
              <w:rFonts w:ascii="Calibri" w:eastAsia="Times New Roman" w:hAnsi="Calibri"/>
              <w:color w:val="000000"/>
              <w:sz w:val="12"/>
              <w:szCs w:val="12"/>
            </w:rPr>
          </w:pPr>
        </w:p>
      </w:tc>
      <w:tc>
        <w:tcPr>
          <w:tcW w:w="2074" w:type="dxa"/>
          <w:vMerge/>
          <w:tcBorders>
            <w:top w:val="nil"/>
            <w:left w:val="single" w:sz="8" w:space="0" w:color="auto"/>
            <w:bottom w:val="single" w:sz="8" w:space="0" w:color="000000"/>
            <w:right w:val="single" w:sz="8" w:space="0" w:color="auto"/>
          </w:tcBorders>
          <w:vAlign w:val="center"/>
          <w:hideMark/>
        </w:tcPr>
        <w:p w14:paraId="7FF1083C" w14:textId="77777777" w:rsidR="005F3FCF" w:rsidRPr="009605B2" w:rsidRDefault="005F3FCF" w:rsidP="00816745">
          <w:pPr>
            <w:rPr>
              <w:rFonts w:ascii="Calibri" w:eastAsia="Times New Roman" w:hAnsi="Calibri"/>
              <w:color w:val="000000"/>
              <w:sz w:val="12"/>
              <w:szCs w:val="12"/>
            </w:rPr>
          </w:pPr>
        </w:p>
      </w:tc>
      <w:tc>
        <w:tcPr>
          <w:tcW w:w="788" w:type="dxa"/>
          <w:vMerge/>
          <w:tcBorders>
            <w:top w:val="nil"/>
            <w:left w:val="single" w:sz="8" w:space="0" w:color="auto"/>
            <w:bottom w:val="single" w:sz="8" w:space="0" w:color="000000"/>
            <w:right w:val="single" w:sz="8" w:space="0" w:color="auto"/>
          </w:tcBorders>
          <w:vAlign w:val="center"/>
          <w:hideMark/>
        </w:tcPr>
        <w:p w14:paraId="5CD5CF98" w14:textId="77777777" w:rsidR="005F3FCF" w:rsidRPr="009605B2" w:rsidRDefault="005F3FCF" w:rsidP="00816745">
          <w:pPr>
            <w:rPr>
              <w:rFonts w:ascii="Calibri" w:eastAsia="Times New Roman" w:hAnsi="Calibri"/>
              <w:color w:val="000000"/>
              <w:sz w:val="12"/>
              <w:szCs w:val="12"/>
            </w:rPr>
          </w:pPr>
        </w:p>
      </w:tc>
      <w:tc>
        <w:tcPr>
          <w:tcW w:w="763" w:type="dxa"/>
          <w:vMerge/>
          <w:tcBorders>
            <w:top w:val="nil"/>
            <w:left w:val="single" w:sz="8" w:space="0" w:color="auto"/>
            <w:bottom w:val="single" w:sz="8" w:space="0" w:color="000000"/>
            <w:right w:val="single" w:sz="8" w:space="0" w:color="auto"/>
          </w:tcBorders>
          <w:vAlign w:val="center"/>
          <w:hideMark/>
        </w:tcPr>
        <w:p w14:paraId="1189E658" w14:textId="77777777" w:rsidR="005F3FCF" w:rsidRPr="00A60631" w:rsidRDefault="005F3FCF" w:rsidP="00816745">
          <w:pPr>
            <w:rPr>
              <w:rFonts w:ascii="Calibri" w:eastAsia="Times New Roman" w:hAnsi="Calibri"/>
              <w:color w:val="000000"/>
              <w:sz w:val="12"/>
              <w:szCs w:val="12"/>
              <w:highlight w:val="yellow"/>
            </w:rPr>
          </w:pPr>
        </w:p>
      </w:tc>
      <w:tc>
        <w:tcPr>
          <w:tcW w:w="763" w:type="dxa"/>
          <w:vMerge/>
          <w:tcBorders>
            <w:top w:val="nil"/>
            <w:left w:val="single" w:sz="8" w:space="0" w:color="auto"/>
            <w:bottom w:val="single" w:sz="8" w:space="0" w:color="000000"/>
            <w:right w:val="single" w:sz="8" w:space="0" w:color="auto"/>
          </w:tcBorders>
          <w:vAlign w:val="center"/>
          <w:hideMark/>
        </w:tcPr>
        <w:p w14:paraId="72567590" w14:textId="77777777" w:rsidR="005F3FCF" w:rsidRPr="00A60631" w:rsidRDefault="005F3FCF" w:rsidP="00816745">
          <w:pPr>
            <w:rPr>
              <w:rFonts w:ascii="Calibri" w:eastAsia="Times New Roman" w:hAnsi="Calibri"/>
              <w:color w:val="000000"/>
              <w:sz w:val="12"/>
              <w:szCs w:val="12"/>
              <w:highlight w:val="yellow"/>
            </w:rPr>
          </w:pPr>
        </w:p>
      </w:tc>
      <w:tc>
        <w:tcPr>
          <w:tcW w:w="698" w:type="dxa"/>
          <w:vMerge/>
          <w:tcBorders>
            <w:top w:val="nil"/>
            <w:left w:val="single" w:sz="8" w:space="0" w:color="auto"/>
            <w:bottom w:val="single" w:sz="8" w:space="0" w:color="000000"/>
            <w:right w:val="single" w:sz="8" w:space="0" w:color="auto"/>
          </w:tcBorders>
          <w:vAlign w:val="center"/>
          <w:hideMark/>
        </w:tcPr>
        <w:p w14:paraId="79E90CF8" w14:textId="77777777" w:rsidR="005F3FCF" w:rsidRPr="00A60631" w:rsidRDefault="005F3FCF" w:rsidP="00816745">
          <w:pPr>
            <w:rPr>
              <w:rFonts w:ascii="Calibri" w:eastAsia="Times New Roman" w:hAnsi="Calibri"/>
              <w:color w:val="000000"/>
              <w:sz w:val="12"/>
              <w:szCs w:val="12"/>
              <w:highlight w:val="yellow"/>
            </w:rPr>
          </w:pPr>
        </w:p>
      </w:tc>
      <w:tc>
        <w:tcPr>
          <w:tcW w:w="672" w:type="dxa"/>
          <w:vMerge/>
          <w:tcBorders>
            <w:top w:val="nil"/>
            <w:left w:val="single" w:sz="8" w:space="0" w:color="auto"/>
            <w:bottom w:val="single" w:sz="8" w:space="0" w:color="000000"/>
            <w:right w:val="single" w:sz="8" w:space="0" w:color="auto"/>
          </w:tcBorders>
          <w:vAlign w:val="center"/>
          <w:hideMark/>
        </w:tcPr>
        <w:p w14:paraId="7CA38971" w14:textId="77777777" w:rsidR="005F3FCF" w:rsidRPr="009605B2" w:rsidRDefault="005F3FCF" w:rsidP="00816745">
          <w:pPr>
            <w:rPr>
              <w:rFonts w:ascii="Calibri" w:eastAsia="Times New Roman" w:hAnsi="Calibri"/>
              <w:color w:val="000000"/>
              <w:sz w:val="12"/>
              <w:szCs w:val="12"/>
            </w:rPr>
          </w:pPr>
        </w:p>
      </w:tc>
      <w:tc>
        <w:tcPr>
          <w:tcW w:w="672" w:type="dxa"/>
          <w:vMerge/>
          <w:tcBorders>
            <w:top w:val="nil"/>
            <w:left w:val="single" w:sz="8" w:space="0" w:color="auto"/>
            <w:bottom w:val="single" w:sz="8" w:space="0" w:color="000000"/>
            <w:right w:val="single" w:sz="8" w:space="0" w:color="auto"/>
          </w:tcBorders>
          <w:vAlign w:val="center"/>
          <w:hideMark/>
        </w:tcPr>
        <w:p w14:paraId="28DC9DED" w14:textId="77777777" w:rsidR="005F3FCF" w:rsidRPr="009605B2" w:rsidRDefault="005F3FCF" w:rsidP="00816745">
          <w:pPr>
            <w:rPr>
              <w:rFonts w:ascii="Calibri" w:eastAsia="Times New Roman" w:hAnsi="Calibri"/>
              <w:color w:val="000000"/>
              <w:sz w:val="12"/>
              <w:szCs w:val="12"/>
            </w:rPr>
          </w:pPr>
        </w:p>
      </w:tc>
      <w:tc>
        <w:tcPr>
          <w:tcW w:w="698" w:type="dxa"/>
          <w:vMerge/>
          <w:tcBorders>
            <w:top w:val="nil"/>
            <w:left w:val="single" w:sz="8" w:space="0" w:color="auto"/>
            <w:bottom w:val="single" w:sz="8" w:space="0" w:color="000000"/>
            <w:right w:val="single" w:sz="8" w:space="0" w:color="auto"/>
          </w:tcBorders>
          <w:vAlign w:val="center"/>
          <w:hideMark/>
        </w:tcPr>
        <w:p w14:paraId="32A359E6" w14:textId="77777777" w:rsidR="005F3FCF" w:rsidRPr="009605B2" w:rsidRDefault="005F3FCF" w:rsidP="00816745">
          <w:pPr>
            <w:rPr>
              <w:rFonts w:ascii="Calibri" w:eastAsia="Times New Roman" w:hAnsi="Calibri"/>
              <w:color w:val="000000"/>
              <w:sz w:val="12"/>
              <w:szCs w:val="12"/>
            </w:rPr>
          </w:pPr>
        </w:p>
      </w:tc>
    </w:tr>
    <w:tr w:rsidR="005F3FCF" w:rsidRPr="009605B2" w14:paraId="79DBBFE8" w14:textId="77777777" w:rsidTr="005F3FCF">
      <w:trPr>
        <w:trHeight w:val="294"/>
      </w:trPr>
      <w:tc>
        <w:tcPr>
          <w:tcW w:w="2251" w:type="dxa"/>
          <w:vMerge/>
          <w:tcBorders>
            <w:top w:val="nil"/>
            <w:left w:val="single" w:sz="8" w:space="0" w:color="auto"/>
            <w:bottom w:val="single" w:sz="8" w:space="0" w:color="000000"/>
            <w:right w:val="single" w:sz="8" w:space="0" w:color="auto"/>
          </w:tcBorders>
          <w:vAlign w:val="center"/>
          <w:hideMark/>
        </w:tcPr>
        <w:p w14:paraId="44539656" w14:textId="77777777" w:rsidR="005F3FCF" w:rsidRPr="009605B2" w:rsidRDefault="005F3FCF" w:rsidP="00816745">
          <w:pPr>
            <w:rPr>
              <w:rFonts w:ascii="Calibri" w:eastAsia="Times New Roman" w:hAnsi="Calibri"/>
              <w:color w:val="000000"/>
              <w:sz w:val="12"/>
              <w:szCs w:val="12"/>
            </w:rPr>
          </w:pPr>
        </w:p>
      </w:tc>
      <w:tc>
        <w:tcPr>
          <w:tcW w:w="662" w:type="dxa"/>
          <w:tcBorders>
            <w:top w:val="nil"/>
            <w:left w:val="nil"/>
            <w:bottom w:val="single" w:sz="8" w:space="0" w:color="auto"/>
            <w:right w:val="single" w:sz="8" w:space="0" w:color="auto"/>
          </w:tcBorders>
          <w:shd w:val="clear" w:color="auto" w:fill="auto"/>
          <w:vAlign w:val="center"/>
          <w:hideMark/>
        </w:tcPr>
        <w:p w14:paraId="55BB3B01"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NHSN</w:t>
          </w:r>
        </w:p>
      </w:tc>
      <w:tc>
        <w:tcPr>
          <w:tcW w:w="621" w:type="dxa"/>
          <w:vMerge/>
          <w:tcBorders>
            <w:top w:val="nil"/>
            <w:left w:val="single" w:sz="8" w:space="0" w:color="auto"/>
            <w:bottom w:val="single" w:sz="8" w:space="0" w:color="000000"/>
            <w:right w:val="single" w:sz="8" w:space="0" w:color="auto"/>
          </w:tcBorders>
          <w:vAlign w:val="center"/>
          <w:hideMark/>
        </w:tcPr>
        <w:p w14:paraId="0AD3866F" w14:textId="77777777" w:rsidR="005F3FCF" w:rsidRPr="009605B2" w:rsidRDefault="005F3FCF" w:rsidP="00816745">
          <w:pPr>
            <w:rPr>
              <w:rFonts w:ascii="Calibri" w:eastAsia="Times New Roman" w:hAnsi="Calibri"/>
              <w:color w:val="000000"/>
              <w:sz w:val="12"/>
              <w:szCs w:val="12"/>
            </w:rPr>
          </w:pPr>
        </w:p>
      </w:tc>
      <w:tc>
        <w:tcPr>
          <w:tcW w:w="2074" w:type="dxa"/>
          <w:vMerge/>
          <w:tcBorders>
            <w:top w:val="nil"/>
            <w:left w:val="single" w:sz="8" w:space="0" w:color="auto"/>
            <w:bottom w:val="single" w:sz="8" w:space="0" w:color="000000"/>
            <w:right w:val="single" w:sz="8" w:space="0" w:color="auto"/>
          </w:tcBorders>
          <w:vAlign w:val="center"/>
          <w:hideMark/>
        </w:tcPr>
        <w:p w14:paraId="6FD90778" w14:textId="77777777" w:rsidR="005F3FCF" w:rsidRPr="009605B2" w:rsidRDefault="005F3FCF" w:rsidP="00816745">
          <w:pPr>
            <w:rPr>
              <w:rFonts w:ascii="Calibri" w:eastAsia="Times New Roman" w:hAnsi="Calibri"/>
              <w:color w:val="000000"/>
              <w:sz w:val="12"/>
              <w:szCs w:val="12"/>
            </w:rPr>
          </w:pPr>
        </w:p>
      </w:tc>
      <w:tc>
        <w:tcPr>
          <w:tcW w:w="788" w:type="dxa"/>
          <w:vMerge/>
          <w:tcBorders>
            <w:top w:val="nil"/>
            <w:left w:val="single" w:sz="8" w:space="0" w:color="auto"/>
            <w:bottom w:val="single" w:sz="8" w:space="0" w:color="000000"/>
            <w:right w:val="single" w:sz="8" w:space="0" w:color="auto"/>
          </w:tcBorders>
          <w:vAlign w:val="center"/>
          <w:hideMark/>
        </w:tcPr>
        <w:p w14:paraId="74007ACE" w14:textId="77777777" w:rsidR="005F3FCF" w:rsidRPr="009605B2" w:rsidRDefault="005F3FCF" w:rsidP="00816745">
          <w:pPr>
            <w:rPr>
              <w:rFonts w:ascii="Calibri" w:eastAsia="Times New Roman" w:hAnsi="Calibri"/>
              <w:color w:val="000000"/>
              <w:sz w:val="12"/>
              <w:szCs w:val="12"/>
            </w:rPr>
          </w:pPr>
        </w:p>
      </w:tc>
      <w:tc>
        <w:tcPr>
          <w:tcW w:w="763" w:type="dxa"/>
          <w:vMerge/>
          <w:tcBorders>
            <w:top w:val="nil"/>
            <w:left w:val="single" w:sz="8" w:space="0" w:color="auto"/>
            <w:bottom w:val="single" w:sz="8" w:space="0" w:color="000000"/>
            <w:right w:val="single" w:sz="8" w:space="0" w:color="auto"/>
          </w:tcBorders>
          <w:vAlign w:val="center"/>
          <w:hideMark/>
        </w:tcPr>
        <w:p w14:paraId="5174268C" w14:textId="77777777" w:rsidR="005F3FCF" w:rsidRPr="00A60631" w:rsidRDefault="005F3FCF" w:rsidP="00816745">
          <w:pPr>
            <w:rPr>
              <w:rFonts w:ascii="Calibri" w:eastAsia="Times New Roman" w:hAnsi="Calibri"/>
              <w:color w:val="000000"/>
              <w:sz w:val="12"/>
              <w:szCs w:val="12"/>
              <w:highlight w:val="yellow"/>
            </w:rPr>
          </w:pPr>
        </w:p>
      </w:tc>
      <w:tc>
        <w:tcPr>
          <w:tcW w:w="763" w:type="dxa"/>
          <w:vMerge/>
          <w:tcBorders>
            <w:top w:val="nil"/>
            <w:left w:val="single" w:sz="8" w:space="0" w:color="auto"/>
            <w:bottom w:val="single" w:sz="8" w:space="0" w:color="000000"/>
            <w:right w:val="single" w:sz="8" w:space="0" w:color="auto"/>
          </w:tcBorders>
          <w:vAlign w:val="center"/>
          <w:hideMark/>
        </w:tcPr>
        <w:p w14:paraId="6FF7B07C" w14:textId="77777777" w:rsidR="005F3FCF" w:rsidRPr="00A60631" w:rsidRDefault="005F3FCF" w:rsidP="00816745">
          <w:pPr>
            <w:rPr>
              <w:rFonts w:ascii="Calibri" w:eastAsia="Times New Roman" w:hAnsi="Calibri"/>
              <w:color w:val="000000"/>
              <w:sz w:val="12"/>
              <w:szCs w:val="12"/>
              <w:highlight w:val="yellow"/>
            </w:rPr>
          </w:pPr>
        </w:p>
      </w:tc>
      <w:tc>
        <w:tcPr>
          <w:tcW w:w="698" w:type="dxa"/>
          <w:vMerge/>
          <w:tcBorders>
            <w:top w:val="nil"/>
            <w:left w:val="single" w:sz="8" w:space="0" w:color="auto"/>
            <w:bottom w:val="single" w:sz="8" w:space="0" w:color="000000"/>
            <w:right w:val="single" w:sz="8" w:space="0" w:color="auto"/>
          </w:tcBorders>
          <w:vAlign w:val="center"/>
          <w:hideMark/>
        </w:tcPr>
        <w:p w14:paraId="0C3A66E8" w14:textId="77777777" w:rsidR="005F3FCF" w:rsidRPr="00A60631" w:rsidRDefault="005F3FCF" w:rsidP="00816745">
          <w:pPr>
            <w:rPr>
              <w:rFonts w:ascii="Calibri" w:eastAsia="Times New Roman" w:hAnsi="Calibri"/>
              <w:color w:val="000000"/>
              <w:sz w:val="12"/>
              <w:szCs w:val="12"/>
              <w:highlight w:val="yellow"/>
            </w:rPr>
          </w:pPr>
        </w:p>
      </w:tc>
      <w:tc>
        <w:tcPr>
          <w:tcW w:w="672" w:type="dxa"/>
          <w:vMerge/>
          <w:tcBorders>
            <w:top w:val="nil"/>
            <w:left w:val="single" w:sz="8" w:space="0" w:color="auto"/>
            <w:bottom w:val="single" w:sz="8" w:space="0" w:color="000000"/>
            <w:right w:val="single" w:sz="8" w:space="0" w:color="auto"/>
          </w:tcBorders>
          <w:vAlign w:val="center"/>
          <w:hideMark/>
        </w:tcPr>
        <w:p w14:paraId="378A8E73" w14:textId="77777777" w:rsidR="005F3FCF" w:rsidRPr="009605B2" w:rsidRDefault="005F3FCF" w:rsidP="00816745">
          <w:pPr>
            <w:rPr>
              <w:rFonts w:ascii="Calibri" w:eastAsia="Times New Roman" w:hAnsi="Calibri"/>
              <w:color w:val="000000"/>
              <w:sz w:val="12"/>
              <w:szCs w:val="12"/>
            </w:rPr>
          </w:pPr>
        </w:p>
      </w:tc>
      <w:tc>
        <w:tcPr>
          <w:tcW w:w="672" w:type="dxa"/>
          <w:vMerge/>
          <w:tcBorders>
            <w:top w:val="nil"/>
            <w:left w:val="single" w:sz="8" w:space="0" w:color="auto"/>
            <w:bottom w:val="single" w:sz="8" w:space="0" w:color="000000"/>
            <w:right w:val="single" w:sz="8" w:space="0" w:color="auto"/>
          </w:tcBorders>
          <w:vAlign w:val="center"/>
          <w:hideMark/>
        </w:tcPr>
        <w:p w14:paraId="5987A625" w14:textId="77777777" w:rsidR="005F3FCF" w:rsidRPr="009605B2" w:rsidRDefault="005F3FCF" w:rsidP="00816745">
          <w:pPr>
            <w:rPr>
              <w:rFonts w:ascii="Calibri" w:eastAsia="Times New Roman" w:hAnsi="Calibri"/>
              <w:color w:val="000000"/>
              <w:sz w:val="12"/>
              <w:szCs w:val="12"/>
            </w:rPr>
          </w:pPr>
        </w:p>
      </w:tc>
      <w:tc>
        <w:tcPr>
          <w:tcW w:w="698" w:type="dxa"/>
          <w:vMerge/>
          <w:tcBorders>
            <w:top w:val="nil"/>
            <w:left w:val="single" w:sz="8" w:space="0" w:color="auto"/>
            <w:bottom w:val="single" w:sz="8" w:space="0" w:color="000000"/>
            <w:right w:val="single" w:sz="8" w:space="0" w:color="auto"/>
          </w:tcBorders>
          <w:vAlign w:val="center"/>
          <w:hideMark/>
        </w:tcPr>
        <w:p w14:paraId="43FDC783" w14:textId="77777777" w:rsidR="005F3FCF" w:rsidRPr="009605B2" w:rsidRDefault="005F3FCF" w:rsidP="00816745">
          <w:pPr>
            <w:rPr>
              <w:rFonts w:ascii="Calibri" w:eastAsia="Times New Roman" w:hAnsi="Calibri"/>
              <w:color w:val="000000"/>
              <w:sz w:val="12"/>
              <w:szCs w:val="12"/>
            </w:rPr>
          </w:pPr>
        </w:p>
      </w:tc>
    </w:tr>
    <w:tr w:rsidR="005F3FCF" w:rsidRPr="0020194F" w14:paraId="17D87D58" w14:textId="77777777" w:rsidTr="005F3FCF">
      <w:trPr>
        <w:trHeight w:val="288"/>
      </w:trPr>
      <w:tc>
        <w:tcPr>
          <w:tcW w:w="2251" w:type="dxa"/>
          <w:vMerge w:val="restart"/>
          <w:tcBorders>
            <w:top w:val="nil"/>
            <w:left w:val="single" w:sz="8" w:space="0" w:color="auto"/>
            <w:bottom w:val="single" w:sz="8" w:space="0" w:color="000000"/>
            <w:right w:val="single" w:sz="8" w:space="0" w:color="auto"/>
          </w:tcBorders>
          <w:shd w:val="clear" w:color="auto" w:fill="auto"/>
          <w:vAlign w:val="center"/>
          <w:hideMark/>
        </w:tcPr>
        <w:p w14:paraId="7E5E26E1" w14:textId="77777777" w:rsidR="005F3FCF" w:rsidRPr="0020194F" w:rsidRDefault="005F3FCF" w:rsidP="00816745">
          <w:pPr>
            <w:rPr>
              <w:rFonts w:ascii="Calibri" w:eastAsia="Times New Roman" w:hAnsi="Calibri"/>
              <w:color w:val="000000"/>
              <w:sz w:val="12"/>
              <w:szCs w:val="12"/>
            </w:rPr>
          </w:pPr>
          <w:r w:rsidRPr="0020194F">
            <w:rPr>
              <w:rFonts w:ascii="Calibri" w:eastAsia="Times New Roman" w:hAnsi="Calibri"/>
              <w:color w:val="000000"/>
              <w:sz w:val="12"/>
              <w:szCs w:val="12"/>
            </w:rPr>
            <w:t>Provide Housing &amp; Services for Persons w/ HIV/AIDS</w:t>
          </w:r>
        </w:p>
      </w:tc>
      <w:tc>
        <w:tcPr>
          <w:tcW w:w="662" w:type="dxa"/>
          <w:tcBorders>
            <w:top w:val="nil"/>
            <w:left w:val="nil"/>
            <w:bottom w:val="nil"/>
            <w:right w:val="single" w:sz="8" w:space="0" w:color="auto"/>
          </w:tcBorders>
          <w:shd w:val="clear" w:color="auto" w:fill="auto"/>
          <w:vAlign w:val="center"/>
          <w:hideMark/>
        </w:tcPr>
        <w:p w14:paraId="7D0692D3" w14:textId="77777777" w:rsidR="005F3FCF" w:rsidRPr="0020194F" w:rsidRDefault="005F3FCF" w:rsidP="00816745">
          <w:pPr>
            <w:rPr>
              <w:rFonts w:ascii="Calibri" w:eastAsia="Times New Roman" w:hAnsi="Calibri"/>
              <w:color w:val="000000"/>
              <w:sz w:val="12"/>
              <w:szCs w:val="12"/>
            </w:rPr>
          </w:pPr>
          <w:r w:rsidRPr="0020194F">
            <w:rPr>
              <w:rFonts w:ascii="Calibri" w:eastAsia="Times New Roman" w:hAnsi="Calibri"/>
              <w:color w:val="000000"/>
              <w:sz w:val="12"/>
              <w:szCs w:val="12"/>
            </w:rPr>
            <w:t>AH</w:t>
          </w:r>
        </w:p>
      </w:tc>
      <w:tc>
        <w:tcPr>
          <w:tcW w:w="621" w:type="dxa"/>
          <w:vMerge w:val="restart"/>
          <w:tcBorders>
            <w:top w:val="nil"/>
            <w:left w:val="single" w:sz="8" w:space="0" w:color="auto"/>
            <w:bottom w:val="single" w:sz="8" w:space="0" w:color="000000"/>
            <w:right w:val="single" w:sz="8" w:space="0" w:color="auto"/>
          </w:tcBorders>
          <w:shd w:val="clear" w:color="auto" w:fill="auto"/>
          <w:vAlign w:val="center"/>
          <w:hideMark/>
        </w:tcPr>
        <w:p w14:paraId="003BAA0F" w14:textId="77777777" w:rsidR="005F3FCF" w:rsidRPr="0020194F" w:rsidRDefault="005F3FCF" w:rsidP="00816745">
          <w:pPr>
            <w:rPr>
              <w:rFonts w:ascii="Calibri" w:eastAsia="Times New Roman" w:hAnsi="Calibri"/>
              <w:color w:val="000000"/>
              <w:sz w:val="12"/>
              <w:szCs w:val="12"/>
            </w:rPr>
          </w:pPr>
          <w:r w:rsidRPr="0020194F">
            <w:rPr>
              <w:rFonts w:ascii="Calibri" w:eastAsia="Times New Roman" w:hAnsi="Calibri"/>
              <w:color w:val="000000"/>
              <w:sz w:val="12"/>
              <w:szCs w:val="12"/>
            </w:rPr>
            <w:t xml:space="preserve">HOPWA </w:t>
          </w:r>
        </w:p>
      </w:tc>
      <w:tc>
        <w:tcPr>
          <w:tcW w:w="2074" w:type="dxa"/>
          <w:vMerge w:val="restart"/>
          <w:tcBorders>
            <w:top w:val="nil"/>
            <w:left w:val="single" w:sz="8" w:space="0" w:color="auto"/>
            <w:bottom w:val="single" w:sz="8" w:space="0" w:color="000000"/>
            <w:right w:val="single" w:sz="8" w:space="0" w:color="auto"/>
          </w:tcBorders>
          <w:shd w:val="clear" w:color="auto" w:fill="auto"/>
          <w:vAlign w:val="center"/>
          <w:hideMark/>
        </w:tcPr>
        <w:p w14:paraId="0BF7A93D" w14:textId="77777777" w:rsidR="005F3FCF" w:rsidRPr="0020194F" w:rsidRDefault="005F3FCF" w:rsidP="00816745">
          <w:pPr>
            <w:rPr>
              <w:rFonts w:ascii="Calibri" w:eastAsia="Times New Roman" w:hAnsi="Calibri"/>
              <w:color w:val="000000"/>
              <w:sz w:val="12"/>
              <w:szCs w:val="12"/>
            </w:rPr>
          </w:pPr>
          <w:r w:rsidRPr="0020194F">
            <w:rPr>
              <w:rFonts w:ascii="Calibri" w:eastAsia="Times New Roman" w:hAnsi="Calibri"/>
              <w:color w:val="000000"/>
              <w:sz w:val="12"/>
              <w:szCs w:val="12"/>
            </w:rPr>
            <w:t>Homelessness Prevention</w:t>
          </w:r>
        </w:p>
      </w:tc>
      <w:tc>
        <w:tcPr>
          <w:tcW w:w="788" w:type="dxa"/>
          <w:vMerge w:val="restart"/>
          <w:tcBorders>
            <w:top w:val="nil"/>
            <w:left w:val="single" w:sz="8" w:space="0" w:color="auto"/>
            <w:bottom w:val="single" w:sz="8" w:space="0" w:color="000000"/>
            <w:right w:val="single" w:sz="8" w:space="0" w:color="auto"/>
          </w:tcBorders>
          <w:shd w:val="clear" w:color="auto" w:fill="auto"/>
          <w:vAlign w:val="center"/>
          <w:hideMark/>
        </w:tcPr>
        <w:p w14:paraId="37244DF2"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Persons Assisted</w:t>
          </w:r>
        </w:p>
      </w:tc>
      <w:tc>
        <w:tcPr>
          <w:tcW w:w="763" w:type="dxa"/>
          <w:vMerge w:val="restart"/>
          <w:tcBorders>
            <w:top w:val="nil"/>
            <w:left w:val="single" w:sz="8" w:space="0" w:color="auto"/>
            <w:bottom w:val="single" w:sz="8" w:space="0" w:color="000000"/>
            <w:right w:val="single" w:sz="8" w:space="0" w:color="auto"/>
          </w:tcBorders>
          <w:shd w:val="clear" w:color="auto" w:fill="auto"/>
          <w:vAlign w:val="center"/>
          <w:hideMark/>
        </w:tcPr>
        <w:p w14:paraId="06CF1B65"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200</w:t>
          </w:r>
        </w:p>
      </w:tc>
      <w:tc>
        <w:tcPr>
          <w:tcW w:w="763" w:type="dxa"/>
          <w:vMerge w:val="restart"/>
          <w:tcBorders>
            <w:top w:val="nil"/>
            <w:left w:val="single" w:sz="8" w:space="0" w:color="auto"/>
            <w:bottom w:val="single" w:sz="8" w:space="0" w:color="000000"/>
            <w:right w:val="single" w:sz="8" w:space="0" w:color="auto"/>
          </w:tcBorders>
          <w:shd w:val="clear" w:color="auto" w:fill="auto"/>
          <w:vAlign w:val="center"/>
          <w:hideMark/>
        </w:tcPr>
        <w:p w14:paraId="525A97C1"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230</w:t>
          </w:r>
        </w:p>
      </w:tc>
      <w:tc>
        <w:tcPr>
          <w:tcW w:w="698" w:type="dxa"/>
          <w:vMerge w:val="restart"/>
          <w:tcBorders>
            <w:top w:val="nil"/>
            <w:left w:val="single" w:sz="8" w:space="0" w:color="auto"/>
            <w:bottom w:val="single" w:sz="8" w:space="0" w:color="000000"/>
            <w:right w:val="single" w:sz="8" w:space="0" w:color="auto"/>
          </w:tcBorders>
          <w:shd w:val="clear" w:color="auto" w:fill="auto"/>
          <w:vAlign w:val="center"/>
          <w:hideMark/>
        </w:tcPr>
        <w:p w14:paraId="787CAB70"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115%</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hideMark/>
        </w:tcPr>
        <w:p w14:paraId="61C9F035"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25</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hideMark/>
        </w:tcPr>
        <w:p w14:paraId="1B10F94C"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38</w:t>
          </w:r>
        </w:p>
      </w:tc>
      <w:tc>
        <w:tcPr>
          <w:tcW w:w="698" w:type="dxa"/>
          <w:vMerge w:val="restart"/>
          <w:tcBorders>
            <w:top w:val="nil"/>
            <w:left w:val="single" w:sz="8" w:space="0" w:color="auto"/>
            <w:bottom w:val="single" w:sz="8" w:space="0" w:color="000000"/>
            <w:right w:val="single" w:sz="8" w:space="0" w:color="auto"/>
          </w:tcBorders>
          <w:shd w:val="clear" w:color="auto" w:fill="auto"/>
          <w:vAlign w:val="center"/>
          <w:hideMark/>
        </w:tcPr>
        <w:p w14:paraId="75389C7E"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152%</w:t>
          </w:r>
        </w:p>
      </w:tc>
    </w:tr>
    <w:tr w:rsidR="005F3FCF" w:rsidRPr="0020194F" w14:paraId="21FAFA7D" w14:textId="77777777" w:rsidTr="005F3FCF">
      <w:trPr>
        <w:trHeight w:val="288"/>
      </w:trPr>
      <w:tc>
        <w:tcPr>
          <w:tcW w:w="2251" w:type="dxa"/>
          <w:vMerge/>
          <w:tcBorders>
            <w:top w:val="nil"/>
            <w:left w:val="single" w:sz="8" w:space="0" w:color="auto"/>
            <w:bottom w:val="single" w:sz="8" w:space="0" w:color="000000"/>
            <w:right w:val="single" w:sz="8" w:space="0" w:color="auto"/>
          </w:tcBorders>
          <w:vAlign w:val="center"/>
          <w:hideMark/>
        </w:tcPr>
        <w:p w14:paraId="674D5E46" w14:textId="77777777" w:rsidR="005F3FCF" w:rsidRPr="0020194F" w:rsidRDefault="005F3FCF" w:rsidP="00816745">
          <w:pPr>
            <w:rPr>
              <w:rFonts w:ascii="Calibri" w:eastAsia="Times New Roman" w:hAnsi="Calibri"/>
              <w:color w:val="000000"/>
              <w:sz w:val="12"/>
              <w:szCs w:val="12"/>
            </w:rPr>
          </w:pPr>
        </w:p>
      </w:tc>
      <w:tc>
        <w:tcPr>
          <w:tcW w:w="662" w:type="dxa"/>
          <w:tcBorders>
            <w:top w:val="nil"/>
            <w:left w:val="nil"/>
            <w:bottom w:val="nil"/>
            <w:right w:val="single" w:sz="8" w:space="0" w:color="auto"/>
          </w:tcBorders>
          <w:shd w:val="clear" w:color="auto" w:fill="auto"/>
          <w:vAlign w:val="center"/>
          <w:hideMark/>
        </w:tcPr>
        <w:p w14:paraId="1E26A44F" w14:textId="77777777" w:rsidR="005F3FCF" w:rsidRPr="0020194F" w:rsidRDefault="005F3FCF" w:rsidP="00816745">
          <w:pPr>
            <w:rPr>
              <w:rFonts w:ascii="Calibri" w:eastAsia="Times New Roman" w:hAnsi="Calibri"/>
              <w:color w:val="000000"/>
              <w:sz w:val="12"/>
              <w:szCs w:val="12"/>
            </w:rPr>
          </w:pPr>
          <w:r w:rsidRPr="0020194F">
            <w:rPr>
              <w:rFonts w:ascii="Calibri" w:eastAsia="Times New Roman" w:hAnsi="Calibri"/>
              <w:color w:val="000000"/>
              <w:sz w:val="12"/>
              <w:szCs w:val="12"/>
            </w:rPr>
            <w:t>H</w:t>
          </w:r>
        </w:p>
      </w:tc>
      <w:tc>
        <w:tcPr>
          <w:tcW w:w="621" w:type="dxa"/>
          <w:vMerge/>
          <w:tcBorders>
            <w:top w:val="nil"/>
            <w:left w:val="single" w:sz="8" w:space="0" w:color="auto"/>
            <w:bottom w:val="single" w:sz="8" w:space="0" w:color="000000"/>
            <w:right w:val="single" w:sz="8" w:space="0" w:color="auto"/>
          </w:tcBorders>
          <w:vAlign w:val="center"/>
          <w:hideMark/>
        </w:tcPr>
        <w:p w14:paraId="4B7A2E5C" w14:textId="77777777" w:rsidR="005F3FCF" w:rsidRPr="0020194F" w:rsidRDefault="005F3FCF" w:rsidP="00816745">
          <w:pPr>
            <w:rPr>
              <w:rFonts w:ascii="Calibri" w:eastAsia="Times New Roman" w:hAnsi="Calibri"/>
              <w:color w:val="000000"/>
              <w:sz w:val="12"/>
              <w:szCs w:val="12"/>
            </w:rPr>
          </w:pPr>
        </w:p>
      </w:tc>
      <w:tc>
        <w:tcPr>
          <w:tcW w:w="2074" w:type="dxa"/>
          <w:vMerge/>
          <w:tcBorders>
            <w:top w:val="nil"/>
            <w:left w:val="single" w:sz="8" w:space="0" w:color="auto"/>
            <w:bottom w:val="single" w:sz="8" w:space="0" w:color="000000"/>
            <w:right w:val="single" w:sz="8" w:space="0" w:color="auto"/>
          </w:tcBorders>
          <w:vAlign w:val="center"/>
          <w:hideMark/>
        </w:tcPr>
        <w:p w14:paraId="29515A16" w14:textId="77777777" w:rsidR="005F3FCF" w:rsidRPr="0020194F" w:rsidRDefault="005F3FCF" w:rsidP="00816745">
          <w:pPr>
            <w:rPr>
              <w:rFonts w:ascii="Calibri" w:eastAsia="Times New Roman" w:hAnsi="Calibri"/>
              <w:color w:val="000000"/>
              <w:sz w:val="12"/>
              <w:szCs w:val="12"/>
            </w:rPr>
          </w:pPr>
        </w:p>
      </w:tc>
      <w:tc>
        <w:tcPr>
          <w:tcW w:w="788" w:type="dxa"/>
          <w:vMerge/>
          <w:tcBorders>
            <w:top w:val="nil"/>
            <w:left w:val="single" w:sz="8" w:space="0" w:color="auto"/>
            <w:bottom w:val="single" w:sz="8" w:space="0" w:color="000000"/>
            <w:right w:val="single" w:sz="8" w:space="0" w:color="auto"/>
          </w:tcBorders>
          <w:vAlign w:val="center"/>
          <w:hideMark/>
        </w:tcPr>
        <w:p w14:paraId="30F9CF97" w14:textId="77777777" w:rsidR="005F3FCF" w:rsidRPr="0020194F" w:rsidRDefault="005F3FCF" w:rsidP="00816745">
          <w:pPr>
            <w:rPr>
              <w:rFonts w:ascii="Calibri" w:eastAsia="Times New Roman" w:hAnsi="Calibri"/>
              <w:color w:val="000000"/>
              <w:sz w:val="12"/>
              <w:szCs w:val="12"/>
            </w:rPr>
          </w:pPr>
        </w:p>
      </w:tc>
      <w:tc>
        <w:tcPr>
          <w:tcW w:w="763" w:type="dxa"/>
          <w:vMerge/>
          <w:tcBorders>
            <w:top w:val="nil"/>
            <w:left w:val="single" w:sz="8" w:space="0" w:color="auto"/>
            <w:bottom w:val="single" w:sz="8" w:space="0" w:color="000000"/>
            <w:right w:val="single" w:sz="8" w:space="0" w:color="auto"/>
          </w:tcBorders>
          <w:vAlign w:val="center"/>
          <w:hideMark/>
        </w:tcPr>
        <w:p w14:paraId="7A9DA646" w14:textId="77777777" w:rsidR="005F3FCF" w:rsidRPr="0020194F" w:rsidRDefault="005F3FCF" w:rsidP="00816745">
          <w:pPr>
            <w:rPr>
              <w:rFonts w:ascii="Calibri" w:eastAsia="Times New Roman" w:hAnsi="Calibri"/>
              <w:color w:val="000000"/>
              <w:sz w:val="12"/>
              <w:szCs w:val="12"/>
            </w:rPr>
          </w:pPr>
        </w:p>
      </w:tc>
      <w:tc>
        <w:tcPr>
          <w:tcW w:w="763" w:type="dxa"/>
          <w:vMerge/>
          <w:tcBorders>
            <w:top w:val="nil"/>
            <w:left w:val="single" w:sz="8" w:space="0" w:color="auto"/>
            <w:bottom w:val="single" w:sz="8" w:space="0" w:color="000000"/>
            <w:right w:val="single" w:sz="8" w:space="0" w:color="auto"/>
          </w:tcBorders>
          <w:vAlign w:val="center"/>
          <w:hideMark/>
        </w:tcPr>
        <w:p w14:paraId="0D00C425" w14:textId="77777777" w:rsidR="005F3FCF" w:rsidRPr="0020194F" w:rsidRDefault="005F3FCF" w:rsidP="00816745">
          <w:pPr>
            <w:rPr>
              <w:rFonts w:ascii="Calibri" w:eastAsia="Times New Roman" w:hAnsi="Calibri"/>
              <w:color w:val="000000"/>
              <w:sz w:val="12"/>
              <w:szCs w:val="12"/>
            </w:rPr>
          </w:pPr>
        </w:p>
      </w:tc>
      <w:tc>
        <w:tcPr>
          <w:tcW w:w="698" w:type="dxa"/>
          <w:vMerge/>
          <w:tcBorders>
            <w:top w:val="nil"/>
            <w:left w:val="single" w:sz="8" w:space="0" w:color="auto"/>
            <w:bottom w:val="single" w:sz="8" w:space="0" w:color="000000"/>
            <w:right w:val="single" w:sz="8" w:space="0" w:color="auto"/>
          </w:tcBorders>
          <w:vAlign w:val="center"/>
          <w:hideMark/>
        </w:tcPr>
        <w:p w14:paraId="71716487" w14:textId="77777777" w:rsidR="005F3FCF" w:rsidRPr="0020194F" w:rsidRDefault="005F3FCF" w:rsidP="00816745">
          <w:pPr>
            <w:rPr>
              <w:rFonts w:ascii="Calibri" w:eastAsia="Times New Roman" w:hAnsi="Calibri"/>
              <w:color w:val="000000"/>
              <w:sz w:val="12"/>
              <w:szCs w:val="12"/>
            </w:rPr>
          </w:pPr>
        </w:p>
      </w:tc>
      <w:tc>
        <w:tcPr>
          <w:tcW w:w="672" w:type="dxa"/>
          <w:vMerge/>
          <w:tcBorders>
            <w:top w:val="nil"/>
            <w:left w:val="single" w:sz="8" w:space="0" w:color="auto"/>
            <w:bottom w:val="single" w:sz="8" w:space="0" w:color="000000"/>
            <w:right w:val="single" w:sz="8" w:space="0" w:color="auto"/>
          </w:tcBorders>
          <w:vAlign w:val="center"/>
          <w:hideMark/>
        </w:tcPr>
        <w:p w14:paraId="262A8BE0" w14:textId="77777777" w:rsidR="005F3FCF" w:rsidRPr="0020194F" w:rsidRDefault="005F3FCF" w:rsidP="00816745">
          <w:pPr>
            <w:rPr>
              <w:rFonts w:ascii="Calibri" w:eastAsia="Times New Roman" w:hAnsi="Calibri"/>
              <w:color w:val="000000"/>
              <w:sz w:val="12"/>
              <w:szCs w:val="12"/>
            </w:rPr>
          </w:pPr>
        </w:p>
      </w:tc>
      <w:tc>
        <w:tcPr>
          <w:tcW w:w="672" w:type="dxa"/>
          <w:vMerge/>
          <w:tcBorders>
            <w:top w:val="nil"/>
            <w:left w:val="single" w:sz="8" w:space="0" w:color="auto"/>
            <w:bottom w:val="single" w:sz="8" w:space="0" w:color="000000"/>
            <w:right w:val="single" w:sz="8" w:space="0" w:color="auto"/>
          </w:tcBorders>
          <w:vAlign w:val="center"/>
          <w:hideMark/>
        </w:tcPr>
        <w:p w14:paraId="4944DB87" w14:textId="77777777" w:rsidR="005F3FCF" w:rsidRPr="0020194F" w:rsidRDefault="005F3FCF" w:rsidP="00816745">
          <w:pPr>
            <w:rPr>
              <w:rFonts w:ascii="Calibri" w:eastAsia="Times New Roman" w:hAnsi="Calibri"/>
              <w:color w:val="000000"/>
              <w:sz w:val="12"/>
              <w:szCs w:val="12"/>
            </w:rPr>
          </w:pPr>
        </w:p>
      </w:tc>
      <w:tc>
        <w:tcPr>
          <w:tcW w:w="698" w:type="dxa"/>
          <w:vMerge/>
          <w:tcBorders>
            <w:top w:val="nil"/>
            <w:left w:val="single" w:sz="8" w:space="0" w:color="auto"/>
            <w:bottom w:val="single" w:sz="8" w:space="0" w:color="000000"/>
            <w:right w:val="single" w:sz="8" w:space="0" w:color="auto"/>
          </w:tcBorders>
          <w:vAlign w:val="center"/>
          <w:hideMark/>
        </w:tcPr>
        <w:p w14:paraId="71A6AAFF" w14:textId="77777777" w:rsidR="005F3FCF" w:rsidRPr="0020194F" w:rsidRDefault="005F3FCF" w:rsidP="00816745">
          <w:pPr>
            <w:rPr>
              <w:rFonts w:ascii="Calibri" w:eastAsia="Times New Roman" w:hAnsi="Calibri"/>
              <w:color w:val="000000"/>
              <w:sz w:val="12"/>
              <w:szCs w:val="12"/>
            </w:rPr>
          </w:pPr>
        </w:p>
      </w:tc>
    </w:tr>
    <w:tr w:rsidR="005F3FCF" w:rsidRPr="0020194F" w14:paraId="4532688C" w14:textId="77777777" w:rsidTr="005F3FCF">
      <w:trPr>
        <w:trHeight w:val="294"/>
      </w:trPr>
      <w:tc>
        <w:tcPr>
          <w:tcW w:w="2251" w:type="dxa"/>
          <w:vMerge/>
          <w:tcBorders>
            <w:top w:val="nil"/>
            <w:left w:val="single" w:sz="8" w:space="0" w:color="auto"/>
            <w:bottom w:val="single" w:sz="8" w:space="0" w:color="000000"/>
            <w:right w:val="single" w:sz="8" w:space="0" w:color="auto"/>
          </w:tcBorders>
          <w:vAlign w:val="center"/>
          <w:hideMark/>
        </w:tcPr>
        <w:p w14:paraId="34685F02" w14:textId="77777777" w:rsidR="005F3FCF" w:rsidRPr="0020194F" w:rsidRDefault="005F3FCF" w:rsidP="00816745">
          <w:pPr>
            <w:rPr>
              <w:rFonts w:ascii="Calibri" w:eastAsia="Times New Roman" w:hAnsi="Calibri"/>
              <w:color w:val="000000"/>
              <w:sz w:val="12"/>
              <w:szCs w:val="12"/>
            </w:rPr>
          </w:pPr>
        </w:p>
      </w:tc>
      <w:tc>
        <w:tcPr>
          <w:tcW w:w="662" w:type="dxa"/>
          <w:tcBorders>
            <w:top w:val="nil"/>
            <w:left w:val="nil"/>
            <w:bottom w:val="single" w:sz="8" w:space="0" w:color="auto"/>
            <w:right w:val="single" w:sz="8" w:space="0" w:color="auto"/>
          </w:tcBorders>
          <w:shd w:val="clear" w:color="auto" w:fill="auto"/>
          <w:vAlign w:val="center"/>
          <w:hideMark/>
        </w:tcPr>
        <w:p w14:paraId="2311A226" w14:textId="77777777" w:rsidR="005F3FCF" w:rsidRPr="0020194F" w:rsidRDefault="005F3FCF" w:rsidP="00816745">
          <w:pPr>
            <w:rPr>
              <w:rFonts w:ascii="Calibri" w:eastAsia="Times New Roman" w:hAnsi="Calibri"/>
              <w:color w:val="000000"/>
              <w:sz w:val="12"/>
              <w:szCs w:val="12"/>
            </w:rPr>
          </w:pPr>
          <w:r w:rsidRPr="0020194F">
            <w:rPr>
              <w:rFonts w:ascii="Calibri" w:eastAsia="Times New Roman" w:hAnsi="Calibri"/>
              <w:color w:val="000000"/>
              <w:sz w:val="12"/>
              <w:szCs w:val="12"/>
            </w:rPr>
            <w:t>NHSN</w:t>
          </w:r>
        </w:p>
      </w:tc>
      <w:tc>
        <w:tcPr>
          <w:tcW w:w="621" w:type="dxa"/>
          <w:vMerge/>
          <w:tcBorders>
            <w:top w:val="nil"/>
            <w:left w:val="single" w:sz="8" w:space="0" w:color="auto"/>
            <w:bottom w:val="single" w:sz="8" w:space="0" w:color="000000"/>
            <w:right w:val="single" w:sz="8" w:space="0" w:color="auto"/>
          </w:tcBorders>
          <w:vAlign w:val="center"/>
          <w:hideMark/>
        </w:tcPr>
        <w:p w14:paraId="76865E26" w14:textId="77777777" w:rsidR="005F3FCF" w:rsidRPr="0020194F" w:rsidRDefault="005F3FCF" w:rsidP="00816745">
          <w:pPr>
            <w:rPr>
              <w:rFonts w:ascii="Calibri" w:eastAsia="Times New Roman" w:hAnsi="Calibri"/>
              <w:color w:val="000000"/>
              <w:sz w:val="12"/>
              <w:szCs w:val="12"/>
            </w:rPr>
          </w:pPr>
        </w:p>
      </w:tc>
      <w:tc>
        <w:tcPr>
          <w:tcW w:w="2074" w:type="dxa"/>
          <w:vMerge/>
          <w:tcBorders>
            <w:top w:val="nil"/>
            <w:left w:val="single" w:sz="8" w:space="0" w:color="auto"/>
            <w:bottom w:val="single" w:sz="8" w:space="0" w:color="000000"/>
            <w:right w:val="single" w:sz="8" w:space="0" w:color="auto"/>
          </w:tcBorders>
          <w:vAlign w:val="center"/>
          <w:hideMark/>
        </w:tcPr>
        <w:p w14:paraId="1BD6C98C" w14:textId="77777777" w:rsidR="005F3FCF" w:rsidRPr="0020194F" w:rsidRDefault="005F3FCF" w:rsidP="00816745">
          <w:pPr>
            <w:rPr>
              <w:rFonts w:ascii="Calibri" w:eastAsia="Times New Roman" w:hAnsi="Calibri"/>
              <w:color w:val="000000"/>
              <w:sz w:val="12"/>
              <w:szCs w:val="12"/>
            </w:rPr>
          </w:pPr>
        </w:p>
      </w:tc>
      <w:tc>
        <w:tcPr>
          <w:tcW w:w="788" w:type="dxa"/>
          <w:vMerge/>
          <w:tcBorders>
            <w:top w:val="nil"/>
            <w:left w:val="single" w:sz="8" w:space="0" w:color="auto"/>
            <w:bottom w:val="single" w:sz="8" w:space="0" w:color="000000"/>
            <w:right w:val="single" w:sz="8" w:space="0" w:color="auto"/>
          </w:tcBorders>
          <w:vAlign w:val="center"/>
          <w:hideMark/>
        </w:tcPr>
        <w:p w14:paraId="19FECF83" w14:textId="77777777" w:rsidR="005F3FCF" w:rsidRPr="0020194F" w:rsidRDefault="005F3FCF" w:rsidP="00816745">
          <w:pPr>
            <w:rPr>
              <w:rFonts w:ascii="Calibri" w:eastAsia="Times New Roman" w:hAnsi="Calibri"/>
              <w:color w:val="000000"/>
              <w:sz w:val="12"/>
              <w:szCs w:val="12"/>
            </w:rPr>
          </w:pPr>
        </w:p>
      </w:tc>
      <w:tc>
        <w:tcPr>
          <w:tcW w:w="763" w:type="dxa"/>
          <w:vMerge/>
          <w:tcBorders>
            <w:top w:val="nil"/>
            <w:left w:val="single" w:sz="8" w:space="0" w:color="auto"/>
            <w:bottom w:val="single" w:sz="8" w:space="0" w:color="000000"/>
            <w:right w:val="single" w:sz="8" w:space="0" w:color="auto"/>
          </w:tcBorders>
          <w:vAlign w:val="center"/>
          <w:hideMark/>
        </w:tcPr>
        <w:p w14:paraId="5F6B8B49" w14:textId="77777777" w:rsidR="005F3FCF" w:rsidRPr="0020194F" w:rsidRDefault="005F3FCF" w:rsidP="00816745">
          <w:pPr>
            <w:rPr>
              <w:rFonts w:ascii="Calibri" w:eastAsia="Times New Roman" w:hAnsi="Calibri"/>
              <w:color w:val="000000"/>
              <w:sz w:val="12"/>
              <w:szCs w:val="12"/>
            </w:rPr>
          </w:pPr>
        </w:p>
      </w:tc>
      <w:tc>
        <w:tcPr>
          <w:tcW w:w="763" w:type="dxa"/>
          <w:vMerge/>
          <w:tcBorders>
            <w:top w:val="nil"/>
            <w:left w:val="single" w:sz="8" w:space="0" w:color="auto"/>
            <w:bottom w:val="single" w:sz="8" w:space="0" w:color="000000"/>
            <w:right w:val="single" w:sz="8" w:space="0" w:color="auto"/>
          </w:tcBorders>
          <w:vAlign w:val="center"/>
          <w:hideMark/>
        </w:tcPr>
        <w:p w14:paraId="3BCB604A" w14:textId="77777777" w:rsidR="005F3FCF" w:rsidRPr="0020194F" w:rsidRDefault="005F3FCF" w:rsidP="00816745">
          <w:pPr>
            <w:rPr>
              <w:rFonts w:ascii="Calibri" w:eastAsia="Times New Roman" w:hAnsi="Calibri"/>
              <w:color w:val="000000"/>
              <w:sz w:val="12"/>
              <w:szCs w:val="12"/>
            </w:rPr>
          </w:pPr>
        </w:p>
      </w:tc>
      <w:tc>
        <w:tcPr>
          <w:tcW w:w="698" w:type="dxa"/>
          <w:vMerge/>
          <w:tcBorders>
            <w:top w:val="nil"/>
            <w:left w:val="single" w:sz="8" w:space="0" w:color="auto"/>
            <w:bottom w:val="single" w:sz="8" w:space="0" w:color="000000"/>
            <w:right w:val="single" w:sz="8" w:space="0" w:color="auto"/>
          </w:tcBorders>
          <w:vAlign w:val="center"/>
          <w:hideMark/>
        </w:tcPr>
        <w:p w14:paraId="0439B886" w14:textId="77777777" w:rsidR="005F3FCF" w:rsidRPr="0020194F" w:rsidRDefault="005F3FCF" w:rsidP="00816745">
          <w:pPr>
            <w:rPr>
              <w:rFonts w:ascii="Calibri" w:eastAsia="Times New Roman" w:hAnsi="Calibri"/>
              <w:color w:val="000000"/>
              <w:sz w:val="12"/>
              <w:szCs w:val="12"/>
            </w:rPr>
          </w:pPr>
        </w:p>
      </w:tc>
      <w:tc>
        <w:tcPr>
          <w:tcW w:w="672" w:type="dxa"/>
          <w:vMerge/>
          <w:tcBorders>
            <w:top w:val="nil"/>
            <w:left w:val="single" w:sz="8" w:space="0" w:color="auto"/>
            <w:bottom w:val="single" w:sz="8" w:space="0" w:color="000000"/>
            <w:right w:val="single" w:sz="8" w:space="0" w:color="auto"/>
          </w:tcBorders>
          <w:vAlign w:val="center"/>
          <w:hideMark/>
        </w:tcPr>
        <w:p w14:paraId="3568A4A7" w14:textId="77777777" w:rsidR="005F3FCF" w:rsidRPr="0020194F" w:rsidRDefault="005F3FCF" w:rsidP="00816745">
          <w:pPr>
            <w:rPr>
              <w:rFonts w:ascii="Calibri" w:eastAsia="Times New Roman" w:hAnsi="Calibri"/>
              <w:color w:val="000000"/>
              <w:sz w:val="12"/>
              <w:szCs w:val="12"/>
            </w:rPr>
          </w:pPr>
        </w:p>
      </w:tc>
      <w:tc>
        <w:tcPr>
          <w:tcW w:w="672" w:type="dxa"/>
          <w:vMerge/>
          <w:tcBorders>
            <w:top w:val="nil"/>
            <w:left w:val="single" w:sz="8" w:space="0" w:color="auto"/>
            <w:bottom w:val="single" w:sz="8" w:space="0" w:color="000000"/>
            <w:right w:val="single" w:sz="8" w:space="0" w:color="auto"/>
          </w:tcBorders>
          <w:vAlign w:val="center"/>
          <w:hideMark/>
        </w:tcPr>
        <w:p w14:paraId="0A816872" w14:textId="77777777" w:rsidR="005F3FCF" w:rsidRPr="0020194F" w:rsidRDefault="005F3FCF" w:rsidP="00816745">
          <w:pPr>
            <w:rPr>
              <w:rFonts w:ascii="Calibri" w:eastAsia="Times New Roman" w:hAnsi="Calibri"/>
              <w:color w:val="000000"/>
              <w:sz w:val="12"/>
              <w:szCs w:val="12"/>
            </w:rPr>
          </w:pPr>
        </w:p>
      </w:tc>
      <w:tc>
        <w:tcPr>
          <w:tcW w:w="698" w:type="dxa"/>
          <w:vMerge/>
          <w:tcBorders>
            <w:top w:val="nil"/>
            <w:left w:val="single" w:sz="8" w:space="0" w:color="auto"/>
            <w:bottom w:val="single" w:sz="8" w:space="0" w:color="000000"/>
            <w:right w:val="single" w:sz="8" w:space="0" w:color="auto"/>
          </w:tcBorders>
          <w:vAlign w:val="center"/>
          <w:hideMark/>
        </w:tcPr>
        <w:p w14:paraId="2190A5B9" w14:textId="77777777" w:rsidR="005F3FCF" w:rsidRPr="0020194F" w:rsidRDefault="005F3FCF" w:rsidP="00816745">
          <w:pPr>
            <w:rPr>
              <w:rFonts w:ascii="Calibri" w:eastAsia="Times New Roman" w:hAnsi="Calibri"/>
              <w:color w:val="000000"/>
              <w:sz w:val="12"/>
              <w:szCs w:val="12"/>
            </w:rPr>
          </w:pPr>
        </w:p>
      </w:tc>
    </w:tr>
    <w:tr w:rsidR="005F3FCF" w:rsidRPr="0020194F" w14:paraId="018192B1" w14:textId="77777777" w:rsidTr="005F3FCF">
      <w:trPr>
        <w:trHeight w:val="294"/>
      </w:trPr>
      <w:tc>
        <w:tcPr>
          <w:tcW w:w="2251" w:type="dxa"/>
          <w:tcBorders>
            <w:top w:val="nil"/>
            <w:left w:val="single" w:sz="8" w:space="0" w:color="auto"/>
            <w:bottom w:val="single" w:sz="8" w:space="0" w:color="auto"/>
            <w:right w:val="single" w:sz="8" w:space="0" w:color="auto"/>
          </w:tcBorders>
          <w:shd w:val="clear" w:color="auto" w:fill="auto"/>
          <w:vAlign w:val="center"/>
          <w:hideMark/>
        </w:tcPr>
        <w:p w14:paraId="39E1A17F" w14:textId="77777777" w:rsidR="005F3FCF" w:rsidRPr="0020194F" w:rsidRDefault="005F3FCF" w:rsidP="00816745">
          <w:pPr>
            <w:rPr>
              <w:rFonts w:ascii="Calibri" w:eastAsia="Times New Roman" w:hAnsi="Calibri"/>
              <w:color w:val="000000"/>
              <w:sz w:val="12"/>
              <w:szCs w:val="12"/>
            </w:rPr>
          </w:pPr>
          <w:r w:rsidRPr="0020194F">
            <w:rPr>
              <w:rFonts w:ascii="Calibri" w:eastAsia="Times New Roman" w:hAnsi="Calibri"/>
              <w:color w:val="000000"/>
              <w:sz w:val="12"/>
              <w:szCs w:val="12"/>
            </w:rPr>
            <w:t>Provide Housing for Homeless/at Risk of Homeless</w:t>
          </w:r>
        </w:p>
      </w:tc>
      <w:tc>
        <w:tcPr>
          <w:tcW w:w="662" w:type="dxa"/>
          <w:tcBorders>
            <w:top w:val="nil"/>
            <w:left w:val="nil"/>
            <w:bottom w:val="single" w:sz="8" w:space="0" w:color="auto"/>
            <w:right w:val="single" w:sz="8" w:space="0" w:color="auto"/>
          </w:tcBorders>
          <w:shd w:val="clear" w:color="auto" w:fill="auto"/>
          <w:vAlign w:val="center"/>
          <w:hideMark/>
        </w:tcPr>
        <w:p w14:paraId="1FFD486D" w14:textId="77777777" w:rsidR="005F3FCF" w:rsidRPr="0020194F" w:rsidRDefault="005F3FCF" w:rsidP="00816745">
          <w:pPr>
            <w:rPr>
              <w:rFonts w:ascii="Calibri" w:eastAsia="Times New Roman" w:hAnsi="Calibri"/>
              <w:color w:val="000000"/>
              <w:sz w:val="12"/>
              <w:szCs w:val="12"/>
            </w:rPr>
          </w:pPr>
          <w:r w:rsidRPr="0020194F">
            <w:rPr>
              <w:rFonts w:ascii="Calibri" w:eastAsia="Times New Roman" w:hAnsi="Calibri"/>
              <w:color w:val="000000"/>
              <w:sz w:val="12"/>
              <w:szCs w:val="12"/>
            </w:rPr>
            <w:t>H</w:t>
          </w:r>
        </w:p>
      </w:tc>
      <w:tc>
        <w:tcPr>
          <w:tcW w:w="621" w:type="dxa"/>
          <w:tcBorders>
            <w:top w:val="nil"/>
            <w:left w:val="nil"/>
            <w:bottom w:val="single" w:sz="8" w:space="0" w:color="auto"/>
            <w:right w:val="single" w:sz="8" w:space="0" w:color="auto"/>
          </w:tcBorders>
          <w:shd w:val="clear" w:color="auto" w:fill="auto"/>
          <w:vAlign w:val="center"/>
          <w:hideMark/>
        </w:tcPr>
        <w:p w14:paraId="52D0356B" w14:textId="77777777" w:rsidR="005F3FCF" w:rsidRPr="0020194F" w:rsidRDefault="005F3FCF" w:rsidP="00816745">
          <w:pPr>
            <w:rPr>
              <w:rFonts w:ascii="Calibri" w:eastAsia="Times New Roman" w:hAnsi="Calibri"/>
              <w:color w:val="000000"/>
              <w:sz w:val="12"/>
              <w:szCs w:val="12"/>
            </w:rPr>
          </w:pPr>
          <w:r w:rsidRPr="0020194F">
            <w:rPr>
              <w:rFonts w:ascii="Calibri" w:eastAsia="Times New Roman" w:hAnsi="Calibri"/>
              <w:color w:val="000000"/>
              <w:sz w:val="12"/>
              <w:szCs w:val="12"/>
            </w:rPr>
            <w:t xml:space="preserve">HOME </w:t>
          </w:r>
          <w:r w:rsidRPr="0020194F">
            <w:rPr>
              <w:rFonts w:ascii="Calibri" w:eastAsia="Times New Roman" w:hAnsi="Calibri"/>
              <w:color w:val="000000"/>
              <w:sz w:val="12"/>
              <w:szCs w:val="12"/>
            </w:rPr>
            <w:br/>
            <w:t>ESG</w:t>
          </w:r>
        </w:p>
      </w:tc>
      <w:tc>
        <w:tcPr>
          <w:tcW w:w="2074" w:type="dxa"/>
          <w:tcBorders>
            <w:top w:val="nil"/>
            <w:left w:val="nil"/>
            <w:bottom w:val="single" w:sz="8" w:space="0" w:color="auto"/>
            <w:right w:val="single" w:sz="8" w:space="0" w:color="auto"/>
          </w:tcBorders>
          <w:shd w:val="clear" w:color="auto" w:fill="auto"/>
          <w:vAlign w:val="center"/>
          <w:hideMark/>
        </w:tcPr>
        <w:p w14:paraId="189E3013" w14:textId="77777777" w:rsidR="005F3FCF" w:rsidRPr="0020194F" w:rsidRDefault="005F3FCF" w:rsidP="00816745">
          <w:pPr>
            <w:rPr>
              <w:rFonts w:ascii="Calibri" w:eastAsia="Times New Roman" w:hAnsi="Calibri"/>
              <w:color w:val="000000"/>
              <w:sz w:val="12"/>
              <w:szCs w:val="12"/>
            </w:rPr>
          </w:pPr>
          <w:r w:rsidRPr="0020194F">
            <w:rPr>
              <w:rFonts w:ascii="Calibri" w:eastAsia="Times New Roman" w:hAnsi="Calibri"/>
              <w:color w:val="000000"/>
              <w:sz w:val="12"/>
              <w:szCs w:val="12"/>
            </w:rPr>
            <w:t>Tenant-based rental assistance / Rapid Rehousing</w:t>
          </w:r>
        </w:p>
      </w:tc>
      <w:tc>
        <w:tcPr>
          <w:tcW w:w="788" w:type="dxa"/>
          <w:tcBorders>
            <w:top w:val="nil"/>
            <w:left w:val="nil"/>
            <w:bottom w:val="single" w:sz="8" w:space="0" w:color="auto"/>
            <w:right w:val="single" w:sz="8" w:space="0" w:color="auto"/>
          </w:tcBorders>
          <w:shd w:val="clear" w:color="auto" w:fill="auto"/>
          <w:vAlign w:val="center"/>
          <w:hideMark/>
        </w:tcPr>
        <w:p w14:paraId="07A71974"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Households Assisted</w:t>
          </w:r>
        </w:p>
      </w:tc>
      <w:tc>
        <w:tcPr>
          <w:tcW w:w="763" w:type="dxa"/>
          <w:tcBorders>
            <w:top w:val="nil"/>
            <w:left w:val="nil"/>
            <w:bottom w:val="single" w:sz="8" w:space="0" w:color="auto"/>
            <w:right w:val="single" w:sz="8" w:space="0" w:color="auto"/>
          </w:tcBorders>
          <w:shd w:val="clear" w:color="auto" w:fill="auto"/>
          <w:vAlign w:val="center"/>
          <w:hideMark/>
        </w:tcPr>
        <w:p w14:paraId="308834BC"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665</w:t>
          </w:r>
        </w:p>
      </w:tc>
      <w:tc>
        <w:tcPr>
          <w:tcW w:w="763" w:type="dxa"/>
          <w:tcBorders>
            <w:top w:val="nil"/>
            <w:left w:val="nil"/>
            <w:bottom w:val="single" w:sz="8" w:space="0" w:color="auto"/>
            <w:right w:val="single" w:sz="8" w:space="0" w:color="auto"/>
          </w:tcBorders>
          <w:shd w:val="clear" w:color="auto" w:fill="auto"/>
          <w:vAlign w:val="center"/>
          <w:hideMark/>
        </w:tcPr>
        <w:p w14:paraId="745BCF9C"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662</w:t>
          </w:r>
        </w:p>
      </w:tc>
      <w:tc>
        <w:tcPr>
          <w:tcW w:w="698" w:type="dxa"/>
          <w:tcBorders>
            <w:top w:val="nil"/>
            <w:left w:val="nil"/>
            <w:bottom w:val="single" w:sz="8" w:space="0" w:color="auto"/>
            <w:right w:val="single" w:sz="8" w:space="0" w:color="auto"/>
          </w:tcBorders>
          <w:shd w:val="clear" w:color="auto" w:fill="auto"/>
          <w:vAlign w:val="center"/>
          <w:hideMark/>
        </w:tcPr>
        <w:p w14:paraId="0138802C"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99%</w:t>
          </w:r>
        </w:p>
      </w:tc>
      <w:tc>
        <w:tcPr>
          <w:tcW w:w="672" w:type="dxa"/>
          <w:tcBorders>
            <w:top w:val="nil"/>
            <w:left w:val="nil"/>
            <w:bottom w:val="single" w:sz="8" w:space="0" w:color="auto"/>
            <w:right w:val="single" w:sz="8" w:space="0" w:color="auto"/>
          </w:tcBorders>
          <w:shd w:val="clear" w:color="auto" w:fill="auto"/>
          <w:vAlign w:val="center"/>
          <w:hideMark/>
        </w:tcPr>
        <w:p w14:paraId="6F99CC0F"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133</w:t>
          </w:r>
        </w:p>
      </w:tc>
      <w:tc>
        <w:tcPr>
          <w:tcW w:w="672" w:type="dxa"/>
          <w:tcBorders>
            <w:top w:val="nil"/>
            <w:left w:val="nil"/>
            <w:bottom w:val="single" w:sz="8" w:space="0" w:color="auto"/>
            <w:right w:val="single" w:sz="8" w:space="0" w:color="auto"/>
          </w:tcBorders>
          <w:shd w:val="clear" w:color="auto" w:fill="auto"/>
          <w:vAlign w:val="center"/>
          <w:hideMark/>
        </w:tcPr>
        <w:p w14:paraId="7A363E81"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175</w:t>
          </w:r>
        </w:p>
      </w:tc>
      <w:tc>
        <w:tcPr>
          <w:tcW w:w="698" w:type="dxa"/>
          <w:tcBorders>
            <w:top w:val="nil"/>
            <w:left w:val="nil"/>
            <w:bottom w:val="single" w:sz="8" w:space="0" w:color="auto"/>
            <w:right w:val="single" w:sz="8" w:space="0" w:color="auto"/>
          </w:tcBorders>
          <w:shd w:val="clear" w:color="auto" w:fill="auto"/>
          <w:vAlign w:val="center"/>
          <w:hideMark/>
        </w:tcPr>
        <w:p w14:paraId="0E08C531"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132%</w:t>
          </w:r>
        </w:p>
      </w:tc>
    </w:tr>
    <w:tr w:rsidR="005F3FCF" w:rsidRPr="0020194F" w14:paraId="5A04A0A8" w14:textId="77777777" w:rsidTr="005F3FCF">
      <w:trPr>
        <w:trHeight w:val="294"/>
      </w:trPr>
      <w:tc>
        <w:tcPr>
          <w:tcW w:w="2251" w:type="dxa"/>
          <w:tcBorders>
            <w:top w:val="nil"/>
            <w:left w:val="single" w:sz="8" w:space="0" w:color="auto"/>
            <w:bottom w:val="single" w:sz="8" w:space="0" w:color="auto"/>
            <w:right w:val="single" w:sz="8" w:space="0" w:color="auto"/>
          </w:tcBorders>
          <w:shd w:val="clear" w:color="auto" w:fill="auto"/>
          <w:vAlign w:val="center"/>
          <w:hideMark/>
        </w:tcPr>
        <w:p w14:paraId="62E53204" w14:textId="77777777" w:rsidR="005F3FCF" w:rsidRPr="0020194F" w:rsidRDefault="005F3FCF" w:rsidP="00816745">
          <w:pPr>
            <w:rPr>
              <w:rFonts w:ascii="Calibri" w:eastAsia="Times New Roman" w:hAnsi="Calibri"/>
              <w:color w:val="000000"/>
              <w:sz w:val="12"/>
              <w:szCs w:val="12"/>
            </w:rPr>
          </w:pPr>
          <w:r w:rsidRPr="0020194F">
            <w:rPr>
              <w:rFonts w:ascii="Calibri" w:eastAsia="Times New Roman" w:hAnsi="Calibri"/>
              <w:color w:val="000000"/>
              <w:sz w:val="12"/>
              <w:szCs w:val="12"/>
            </w:rPr>
            <w:t>Provide Housing for Homeless/at Risk of Homeless</w:t>
          </w:r>
        </w:p>
      </w:tc>
      <w:tc>
        <w:tcPr>
          <w:tcW w:w="662" w:type="dxa"/>
          <w:tcBorders>
            <w:top w:val="nil"/>
            <w:left w:val="nil"/>
            <w:bottom w:val="single" w:sz="8" w:space="0" w:color="auto"/>
            <w:right w:val="single" w:sz="8" w:space="0" w:color="auto"/>
          </w:tcBorders>
          <w:shd w:val="clear" w:color="auto" w:fill="auto"/>
          <w:vAlign w:val="center"/>
          <w:hideMark/>
        </w:tcPr>
        <w:p w14:paraId="0DBCB99F" w14:textId="77777777" w:rsidR="005F3FCF" w:rsidRPr="0020194F" w:rsidRDefault="005F3FCF" w:rsidP="00816745">
          <w:pPr>
            <w:rPr>
              <w:rFonts w:ascii="Calibri" w:eastAsia="Times New Roman" w:hAnsi="Calibri"/>
              <w:color w:val="000000"/>
              <w:sz w:val="12"/>
              <w:szCs w:val="12"/>
            </w:rPr>
          </w:pPr>
          <w:r w:rsidRPr="0020194F">
            <w:rPr>
              <w:rFonts w:ascii="Calibri" w:eastAsia="Times New Roman" w:hAnsi="Calibri"/>
              <w:color w:val="000000"/>
              <w:sz w:val="12"/>
              <w:szCs w:val="12"/>
            </w:rPr>
            <w:t>H</w:t>
          </w:r>
        </w:p>
      </w:tc>
      <w:tc>
        <w:tcPr>
          <w:tcW w:w="621" w:type="dxa"/>
          <w:tcBorders>
            <w:top w:val="nil"/>
            <w:left w:val="nil"/>
            <w:bottom w:val="single" w:sz="8" w:space="0" w:color="auto"/>
            <w:right w:val="single" w:sz="8" w:space="0" w:color="auto"/>
          </w:tcBorders>
          <w:shd w:val="clear" w:color="auto" w:fill="auto"/>
          <w:vAlign w:val="center"/>
          <w:hideMark/>
        </w:tcPr>
        <w:p w14:paraId="1C29B280" w14:textId="77777777" w:rsidR="005F3FCF" w:rsidRPr="0020194F" w:rsidRDefault="005F3FCF" w:rsidP="00816745">
          <w:pPr>
            <w:rPr>
              <w:rFonts w:ascii="Calibri" w:eastAsia="Times New Roman" w:hAnsi="Calibri"/>
              <w:color w:val="000000"/>
              <w:sz w:val="12"/>
              <w:szCs w:val="12"/>
            </w:rPr>
          </w:pPr>
          <w:r w:rsidRPr="0020194F">
            <w:rPr>
              <w:rFonts w:ascii="Calibri" w:eastAsia="Times New Roman" w:hAnsi="Calibri"/>
              <w:color w:val="000000"/>
              <w:sz w:val="12"/>
              <w:szCs w:val="12"/>
            </w:rPr>
            <w:t xml:space="preserve">HOME </w:t>
          </w:r>
          <w:r w:rsidRPr="0020194F">
            <w:rPr>
              <w:rFonts w:ascii="Calibri" w:eastAsia="Times New Roman" w:hAnsi="Calibri"/>
              <w:color w:val="000000"/>
              <w:sz w:val="12"/>
              <w:szCs w:val="12"/>
            </w:rPr>
            <w:br/>
            <w:t>ESG</w:t>
          </w:r>
        </w:p>
      </w:tc>
      <w:tc>
        <w:tcPr>
          <w:tcW w:w="2074" w:type="dxa"/>
          <w:tcBorders>
            <w:top w:val="nil"/>
            <w:left w:val="nil"/>
            <w:bottom w:val="single" w:sz="8" w:space="0" w:color="auto"/>
            <w:right w:val="single" w:sz="8" w:space="0" w:color="auto"/>
          </w:tcBorders>
          <w:shd w:val="clear" w:color="auto" w:fill="auto"/>
          <w:vAlign w:val="center"/>
          <w:hideMark/>
        </w:tcPr>
        <w:p w14:paraId="06B192A6" w14:textId="77777777" w:rsidR="005F3FCF" w:rsidRPr="0020194F" w:rsidRDefault="005F3FCF" w:rsidP="00816745">
          <w:pPr>
            <w:rPr>
              <w:rFonts w:ascii="Calibri" w:eastAsia="Times New Roman" w:hAnsi="Calibri"/>
              <w:color w:val="000000"/>
              <w:sz w:val="12"/>
              <w:szCs w:val="12"/>
            </w:rPr>
          </w:pPr>
          <w:r w:rsidRPr="0020194F">
            <w:rPr>
              <w:rFonts w:ascii="Calibri" w:eastAsia="Times New Roman" w:hAnsi="Calibri"/>
              <w:color w:val="000000"/>
              <w:sz w:val="12"/>
              <w:szCs w:val="12"/>
            </w:rPr>
            <w:t>Homelessness Prevention</w:t>
          </w:r>
        </w:p>
      </w:tc>
      <w:tc>
        <w:tcPr>
          <w:tcW w:w="788" w:type="dxa"/>
          <w:tcBorders>
            <w:top w:val="nil"/>
            <w:left w:val="nil"/>
            <w:bottom w:val="single" w:sz="8" w:space="0" w:color="auto"/>
            <w:right w:val="single" w:sz="8" w:space="0" w:color="auto"/>
          </w:tcBorders>
          <w:shd w:val="clear" w:color="auto" w:fill="auto"/>
          <w:vAlign w:val="center"/>
          <w:hideMark/>
        </w:tcPr>
        <w:p w14:paraId="65539BFB"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Persons Assisted</w:t>
          </w:r>
        </w:p>
      </w:tc>
      <w:tc>
        <w:tcPr>
          <w:tcW w:w="763" w:type="dxa"/>
          <w:tcBorders>
            <w:top w:val="nil"/>
            <w:left w:val="nil"/>
            <w:bottom w:val="single" w:sz="8" w:space="0" w:color="auto"/>
            <w:right w:val="single" w:sz="8" w:space="0" w:color="auto"/>
          </w:tcBorders>
          <w:shd w:val="clear" w:color="auto" w:fill="auto"/>
          <w:vAlign w:val="center"/>
          <w:hideMark/>
        </w:tcPr>
        <w:p w14:paraId="5393D66E"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300</w:t>
          </w:r>
        </w:p>
      </w:tc>
      <w:tc>
        <w:tcPr>
          <w:tcW w:w="763" w:type="dxa"/>
          <w:tcBorders>
            <w:top w:val="nil"/>
            <w:left w:val="nil"/>
            <w:bottom w:val="single" w:sz="8" w:space="0" w:color="auto"/>
            <w:right w:val="single" w:sz="8" w:space="0" w:color="auto"/>
          </w:tcBorders>
          <w:shd w:val="clear" w:color="auto" w:fill="auto"/>
          <w:vAlign w:val="center"/>
          <w:hideMark/>
        </w:tcPr>
        <w:p w14:paraId="69962987"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113</w:t>
          </w:r>
        </w:p>
      </w:tc>
      <w:tc>
        <w:tcPr>
          <w:tcW w:w="698" w:type="dxa"/>
          <w:tcBorders>
            <w:top w:val="nil"/>
            <w:left w:val="nil"/>
            <w:bottom w:val="single" w:sz="8" w:space="0" w:color="auto"/>
            <w:right w:val="single" w:sz="8" w:space="0" w:color="auto"/>
          </w:tcBorders>
          <w:shd w:val="clear" w:color="auto" w:fill="auto"/>
          <w:vAlign w:val="center"/>
          <w:hideMark/>
        </w:tcPr>
        <w:p w14:paraId="40C40BA4"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38%</w:t>
          </w:r>
        </w:p>
      </w:tc>
      <w:tc>
        <w:tcPr>
          <w:tcW w:w="672" w:type="dxa"/>
          <w:tcBorders>
            <w:top w:val="nil"/>
            <w:left w:val="nil"/>
            <w:bottom w:val="single" w:sz="8" w:space="0" w:color="auto"/>
            <w:right w:val="single" w:sz="8" w:space="0" w:color="auto"/>
          </w:tcBorders>
          <w:shd w:val="clear" w:color="auto" w:fill="auto"/>
          <w:vAlign w:val="center"/>
          <w:hideMark/>
        </w:tcPr>
        <w:p w14:paraId="3BFF6620"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60</w:t>
          </w:r>
        </w:p>
      </w:tc>
      <w:tc>
        <w:tcPr>
          <w:tcW w:w="672" w:type="dxa"/>
          <w:tcBorders>
            <w:top w:val="nil"/>
            <w:left w:val="nil"/>
            <w:bottom w:val="single" w:sz="8" w:space="0" w:color="auto"/>
            <w:right w:val="single" w:sz="8" w:space="0" w:color="auto"/>
          </w:tcBorders>
          <w:shd w:val="clear" w:color="auto" w:fill="auto"/>
          <w:vAlign w:val="center"/>
          <w:hideMark/>
        </w:tcPr>
        <w:p w14:paraId="4FFDA168"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49</w:t>
          </w:r>
        </w:p>
      </w:tc>
      <w:tc>
        <w:tcPr>
          <w:tcW w:w="698" w:type="dxa"/>
          <w:tcBorders>
            <w:top w:val="nil"/>
            <w:left w:val="nil"/>
            <w:bottom w:val="single" w:sz="8" w:space="0" w:color="auto"/>
            <w:right w:val="single" w:sz="8" w:space="0" w:color="auto"/>
          </w:tcBorders>
          <w:shd w:val="clear" w:color="auto" w:fill="auto"/>
          <w:vAlign w:val="center"/>
          <w:hideMark/>
        </w:tcPr>
        <w:p w14:paraId="5025ED12"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82%</w:t>
          </w:r>
        </w:p>
      </w:tc>
    </w:tr>
    <w:tr w:rsidR="005F3FCF" w:rsidRPr="0020194F" w14:paraId="0F0B2FC8" w14:textId="77777777" w:rsidTr="005F3FCF">
      <w:trPr>
        <w:trHeight w:val="294"/>
      </w:trPr>
      <w:tc>
        <w:tcPr>
          <w:tcW w:w="2251" w:type="dxa"/>
          <w:tcBorders>
            <w:top w:val="nil"/>
            <w:left w:val="single" w:sz="8" w:space="0" w:color="auto"/>
            <w:bottom w:val="single" w:sz="8" w:space="0" w:color="auto"/>
            <w:right w:val="single" w:sz="8" w:space="0" w:color="auto"/>
          </w:tcBorders>
          <w:shd w:val="clear" w:color="auto" w:fill="auto"/>
          <w:vAlign w:val="center"/>
          <w:hideMark/>
        </w:tcPr>
        <w:p w14:paraId="7E94340E" w14:textId="77777777" w:rsidR="005F3FCF" w:rsidRPr="0020194F" w:rsidRDefault="005F3FCF" w:rsidP="00816745">
          <w:pPr>
            <w:rPr>
              <w:rFonts w:ascii="Calibri" w:eastAsia="Times New Roman" w:hAnsi="Calibri"/>
              <w:color w:val="000000"/>
              <w:sz w:val="12"/>
              <w:szCs w:val="12"/>
            </w:rPr>
          </w:pPr>
          <w:r w:rsidRPr="0020194F">
            <w:rPr>
              <w:rFonts w:ascii="Calibri" w:eastAsia="Times New Roman" w:hAnsi="Calibri"/>
              <w:color w:val="000000"/>
              <w:sz w:val="12"/>
              <w:szCs w:val="12"/>
            </w:rPr>
            <w:t>Provide Services to Expand Opportunity/Sufficiency</w:t>
          </w:r>
        </w:p>
      </w:tc>
      <w:tc>
        <w:tcPr>
          <w:tcW w:w="662" w:type="dxa"/>
          <w:tcBorders>
            <w:top w:val="nil"/>
            <w:left w:val="nil"/>
            <w:bottom w:val="single" w:sz="8" w:space="0" w:color="auto"/>
            <w:right w:val="single" w:sz="8" w:space="0" w:color="auto"/>
          </w:tcBorders>
          <w:shd w:val="clear" w:color="auto" w:fill="auto"/>
          <w:vAlign w:val="center"/>
          <w:hideMark/>
        </w:tcPr>
        <w:p w14:paraId="169DF3ED" w14:textId="77777777" w:rsidR="005F3FCF" w:rsidRPr="0020194F" w:rsidRDefault="005F3FCF" w:rsidP="00816745">
          <w:pPr>
            <w:rPr>
              <w:rFonts w:ascii="Calibri" w:eastAsia="Times New Roman" w:hAnsi="Calibri"/>
              <w:color w:val="000000"/>
              <w:sz w:val="12"/>
              <w:szCs w:val="12"/>
            </w:rPr>
          </w:pPr>
          <w:r w:rsidRPr="0020194F">
            <w:rPr>
              <w:rFonts w:ascii="Calibri" w:eastAsia="Times New Roman" w:hAnsi="Calibri"/>
              <w:color w:val="000000"/>
              <w:sz w:val="12"/>
              <w:szCs w:val="12"/>
            </w:rPr>
            <w:t>NHSN</w:t>
          </w:r>
        </w:p>
      </w:tc>
      <w:tc>
        <w:tcPr>
          <w:tcW w:w="621" w:type="dxa"/>
          <w:tcBorders>
            <w:top w:val="nil"/>
            <w:left w:val="nil"/>
            <w:bottom w:val="single" w:sz="8" w:space="0" w:color="auto"/>
            <w:right w:val="single" w:sz="8" w:space="0" w:color="auto"/>
          </w:tcBorders>
          <w:shd w:val="clear" w:color="auto" w:fill="auto"/>
          <w:vAlign w:val="center"/>
          <w:hideMark/>
        </w:tcPr>
        <w:p w14:paraId="44A381DF" w14:textId="77777777" w:rsidR="005F3FCF" w:rsidRPr="0020194F" w:rsidRDefault="005F3FCF" w:rsidP="00816745">
          <w:pPr>
            <w:rPr>
              <w:rFonts w:ascii="Calibri" w:eastAsia="Times New Roman" w:hAnsi="Calibri"/>
              <w:color w:val="000000"/>
              <w:sz w:val="12"/>
              <w:szCs w:val="12"/>
            </w:rPr>
          </w:pPr>
          <w:r w:rsidRPr="0020194F">
            <w:rPr>
              <w:rFonts w:ascii="Calibri" w:eastAsia="Times New Roman" w:hAnsi="Calibri"/>
              <w:color w:val="000000"/>
              <w:sz w:val="12"/>
              <w:szCs w:val="12"/>
            </w:rPr>
            <w:t>CDBG</w:t>
          </w:r>
        </w:p>
      </w:tc>
      <w:tc>
        <w:tcPr>
          <w:tcW w:w="2074" w:type="dxa"/>
          <w:tcBorders>
            <w:top w:val="nil"/>
            <w:left w:val="nil"/>
            <w:bottom w:val="single" w:sz="8" w:space="0" w:color="auto"/>
            <w:right w:val="single" w:sz="8" w:space="0" w:color="auto"/>
          </w:tcBorders>
          <w:shd w:val="clear" w:color="auto" w:fill="auto"/>
          <w:vAlign w:val="center"/>
          <w:hideMark/>
        </w:tcPr>
        <w:p w14:paraId="4FBA1962" w14:textId="77777777" w:rsidR="005F3FCF" w:rsidRPr="0020194F" w:rsidRDefault="005F3FCF" w:rsidP="00816745">
          <w:pPr>
            <w:rPr>
              <w:rFonts w:ascii="Calibri" w:eastAsia="Times New Roman" w:hAnsi="Calibri"/>
              <w:color w:val="000000"/>
              <w:sz w:val="12"/>
              <w:szCs w:val="12"/>
            </w:rPr>
          </w:pPr>
          <w:r w:rsidRPr="0020194F">
            <w:rPr>
              <w:rFonts w:ascii="Calibri" w:eastAsia="Times New Roman" w:hAnsi="Calibri"/>
              <w:color w:val="000000"/>
              <w:sz w:val="12"/>
              <w:szCs w:val="12"/>
            </w:rPr>
            <w:t>Public service activities other than Low/Moderate Income Housing Benefit</w:t>
          </w:r>
        </w:p>
      </w:tc>
      <w:tc>
        <w:tcPr>
          <w:tcW w:w="788" w:type="dxa"/>
          <w:tcBorders>
            <w:top w:val="nil"/>
            <w:left w:val="nil"/>
            <w:bottom w:val="single" w:sz="8" w:space="0" w:color="auto"/>
            <w:right w:val="single" w:sz="8" w:space="0" w:color="auto"/>
          </w:tcBorders>
          <w:shd w:val="clear" w:color="auto" w:fill="auto"/>
          <w:vAlign w:val="center"/>
          <w:hideMark/>
        </w:tcPr>
        <w:p w14:paraId="316CA87B"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Persons Assisted</w:t>
          </w:r>
        </w:p>
      </w:tc>
      <w:tc>
        <w:tcPr>
          <w:tcW w:w="763" w:type="dxa"/>
          <w:tcBorders>
            <w:top w:val="nil"/>
            <w:left w:val="nil"/>
            <w:bottom w:val="single" w:sz="8" w:space="0" w:color="auto"/>
            <w:right w:val="single" w:sz="8" w:space="0" w:color="auto"/>
          </w:tcBorders>
          <w:shd w:val="clear" w:color="auto" w:fill="auto"/>
          <w:vAlign w:val="center"/>
          <w:hideMark/>
        </w:tcPr>
        <w:p w14:paraId="30885565"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35000</w:t>
          </w:r>
        </w:p>
      </w:tc>
      <w:tc>
        <w:tcPr>
          <w:tcW w:w="763" w:type="dxa"/>
          <w:tcBorders>
            <w:top w:val="nil"/>
            <w:left w:val="nil"/>
            <w:bottom w:val="single" w:sz="8" w:space="0" w:color="auto"/>
            <w:right w:val="single" w:sz="8" w:space="0" w:color="auto"/>
          </w:tcBorders>
          <w:shd w:val="clear" w:color="auto" w:fill="auto"/>
          <w:vAlign w:val="center"/>
          <w:hideMark/>
        </w:tcPr>
        <w:p w14:paraId="7940CDF1"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19409</w:t>
          </w:r>
        </w:p>
      </w:tc>
      <w:tc>
        <w:tcPr>
          <w:tcW w:w="698" w:type="dxa"/>
          <w:tcBorders>
            <w:top w:val="nil"/>
            <w:left w:val="nil"/>
            <w:bottom w:val="single" w:sz="8" w:space="0" w:color="auto"/>
            <w:right w:val="single" w:sz="8" w:space="0" w:color="auto"/>
          </w:tcBorders>
          <w:shd w:val="clear" w:color="auto" w:fill="auto"/>
          <w:vAlign w:val="center"/>
          <w:hideMark/>
        </w:tcPr>
        <w:p w14:paraId="462996FA"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55%</w:t>
          </w:r>
        </w:p>
      </w:tc>
      <w:tc>
        <w:tcPr>
          <w:tcW w:w="672" w:type="dxa"/>
          <w:tcBorders>
            <w:top w:val="nil"/>
            <w:left w:val="nil"/>
            <w:bottom w:val="single" w:sz="8" w:space="0" w:color="auto"/>
            <w:right w:val="single" w:sz="8" w:space="0" w:color="auto"/>
          </w:tcBorders>
          <w:shd w:val="clear" w:color="auto" w:fill="auto"/>
          <w:vAlign w:val="center"/>
          <w:hideMark/>
        </w:tcPr>
        <w:p w14:paraId="4491DB8C"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7000</w:t>
          </w:r>
        </w:p>
      </w:tc>
      <w:tc>
        <w:tcPr>
          <w:tcW w:w="672" w:type="dxa"/>
          <w:tcBorders>
            <w:top w:val="nil"/>
            <w:left w:val="nil"/>
            <w:bottom w:val="single" w:sz="8" w:space="0" w:color="auto"/>
            <w:right w:val="single" w:sz="8" w:space="0" w:color="auto"/>
          </w:tcBorders>
          <w:shd w:val="clear" w:color="auto" w:fill="auto"/>
          <w:vAlign w:val="center"/>
          <w:hideMark/>
        </w:tcPr>
        <w:p w14:paraId="2AA064D3"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1907</w:t>
          </w:r>
        </w:p>
      </w:tc>
      <w:tc>
        <w:tcPr>
          <w:tcW w:w="698" w:type="dxa"/>
          <w:tcBorders>
            <w:top w:val="nil"/>
            <w:left w:val="nil"/>
            <w:bottom w:val="single" w:sz="8" w:space="0" w:color="auto"/>
            <w:right w:val="single" w:sz="8" w:space="0" w:color="auto"/>
          </w:tcBorders>
          <w:shd w:val="clear" w:color="auto" w:fill="auto"/>
          <w:vAlign w:val="center"/>
          <w:hideMark/>
        </w:tcPr>
        <w:p w14:paraId="6648B9C2"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27%</w:t>
          </w:r>
        </w:p>
      </w:tc>
    </w:tr>
    <w:tr w:rsidR="005F3FCF" w:rsidRPr="0020194F" w14:paraId="311B55AF" w14:textId="77777777" w:rsidTr="005F3FCF">
      <w:trPr>
        <w:trHeight w:val="294"/>
      </w:trPr>
      <w:tc>
        <w:tcPr>
          <w:tcW w:w="2251" w:type="dxa"/>
          <w:tcBorders>
            <w:top w:val="nil"/>
            <w:left w:val="single" w:sz="8" w:space="0" w:color="auto"/>
            <w:bottom w:val="single" w:sz="8" w:space="0" w:color="auto"/>
            <w:right w:val="single" w:sz="8" w:space="0" w:color="auto"/>
          </w:tcBorders>
          <w:shd w:val="clear" w:color="auto" w:fill="auto"/>
          <w:vAlign w:val="center"/>
          <w:hideMark/>
        </w:tcPr>
        <w:p w14:paraId="3B34B923" w14:textId="77777777" w:rsidR="005F3FCF" w:rsidRPr="0020194F" w:rsidRDefault="005F3FCF" w:rsidP="00816745">
          <w:pPr>
            <w:rPr>
              <w:rFonts w:ascii="Calibri" w:eastAsia="Times New Roman" w:hAnsi="Calibri"/>
              <w:color w:val="000000"/>
              <w:sz w:val="12"/>
              <w:szCs w:val="12"/>
            </w:rPr>
          </w:pPr>
          <w:r w:rsidRPr="0020194F">
            <w:rPr>
              <w:rFonts w:ascii="Calibri" w:eastAsia="Times New Roman" w:hAnsi="Calibri"/>
              <w:color w:val="000000"/>
              <w:sz w:val="12"/>
              <w:szCs w:val="12"/>
            </w:rPr>
            <w:t>Provide Services to Expand Opportunity/Sufficiency</w:t>
          </w:r>
        </w:p>
      </w:tc>
      <w:tc>
        <w:tcPr>
          <w:tcW w:w="662" w:type="dxa"/>
          <w:tcBorders>
            <w:top w:val="nil"/>
            <w:left w:val="nil"/>
            <w:bottom w:val="single" w:sz="8" w:space="0" w:color="auto"/>
            <w:right w:val="single" w:sz="8" w:space="0" w:color="auto"/>
          </w:tcBorders>
          <w:shd w:val="clear" w:color="auto" w:fill="auto"/>
          <w:vAlign w:val="center"/>
          <w:hideMark/>
        </w:tcPr>
        <w:p w14:paraId="70AF575E" w14:textId="77777777" w:rsidR="005F3FCF" w:rsidRPr="0020194F" w:rsidRDefault="005F3FCF" w:rsidP="00816745">
          <w:pPr>
            <w:rPr>
              <w:rFonts w:ascii="Calibri" w:eastAsia="Times New Roman" w:hAnsi="Calibri"/>
              <w:color w:val="000000"/>
              <w:sz w:val="12"/>
              <w:szCs w:val="12"/>
            </w:rPr>
          </w:pPr>
          <w:r w:rsidRPr="0020194F">
            <w:rPr>
              <w:rFonts w:ascii="Calibri" w:eastAsia="Times New Roman" w:hAnsi="Calibri"/>
              <w:color w:val="000000"/>
              <w:sz w:val="12"/>
              <w:szCs w:val="12"/>
            </w:rPr>
            <w:t>NHSN</w:t>
          </w:r>
        </w:p>
      </w:tc>
      <w:tc>
        <w:tcPr>
          <w:tcW w:w="621" w:type="dxa"/>
          <w:tcBorders>
            <w:top w:val="nil"/>
            <w:left w:val="nil"/>
            <w:bottom w:val="single" w:sz="8" w:space="0" w:color="auto"/>
            <w:right w:val="single" w:sz="8" w:space="0" w:color="auto"/>
          </w:tcBorders>
          <w:shd w:val="clear" w:color="auto" w:fill="auto"/>
          <w:vAlign w:val="center"/>
          <w:hideMark/>
        </w:tcPr>
        <w:p w14:paraId="11B7A152" w14:textId="77777777" w:rsidR="005F3FCF" w:rsidRPr="0020194F" w:rsidRDefault="005F3FCF" w:rsidP="00816745">
          <w:pPr>
            <w:rPr>
              <w:rFonts w:ascii="Calibri" w:eastAsia="Times New Roman" w:hAnsi="Calibri"/>
              <w:color w:val="000000"/>
              <w:sz w:val="12"/>
              <w:szCs w:val="12"/>
            </w:rPr>
          </w:pPr>
          <w:r w:rsidRPr="0020194F">
            <w:rPr>
              <w:rFonts w:ascii="Calibri" w:eastAsia="Times New Roman" w:hAnsi="Calibri"/>
              <w:color w:val="000000"/>
              <w:sz w:val="12"/>
              <w:szCs w:val="12"/>
            </w:rPr>
            <w:t>CDBG</w:t>
          </w:r>
        </w:p>
      </w:tc>
      <w:tc>
        <w:tcPr>
          <w:tcW w:w="2074" w:type="dxa"/>
          <w:tcBorders>
            <w:top w:val="nil"/>
            <w:left w:val="nil"/>
            <w:bottom w:val="single" w:sz="8" w:space="0" w:color="auto"/>
            <w:right w:val="single" w:sz="8" w:space="0" w:color="auto"/>
          </w:tcBorders>
          <w:shd w:val="clear" w:color="auto" w:fill="auto"/>
          <w:vAlign w:val="center"/>
          <w:hideMark/>
        </w:tcPr>
        <w:p w14:paraId="4CB4771E" w14:textId="77777777" w:rsidR="005F3FCF" w:rsidRPr="0020194F" w:rsidRDefault="005F3FCF" w:rsidP="00816745">
          <w:pPr>
            <w:rPr>
              <w:rFonts w:ascii="Calibri" w:eastAsia="Times New Roman" w:hAnsi="Calibri"/>
              <w:color w:val="000000"/>
              <w:sz w:val="12"/>
              <w:szCs w:val="12"/>
            </w:rPr>
          </w:pPr>
          <w:r w:rsidRPr="0020194F">
            <w:rPr>
              <w:rFonts w:ascii="Calibri" w:eastAsia="Times New Roman" w:hAnsi="Calibri"/>
              <w:color w:val="000000"/>
              <w:sz w:val="12"/>
              <w:szCs w:val="12"/>
            </w:rPr>
            <w:t>Homeless Person Overnight Shelter</w:t>
          </w:r>
        </w:p>
      </w:tc>
      <w:tc>
        <w:tcPr>
          <w:tcW w:w="788" w:type="dxa"/>
          <w:tcBorders>
            <w:top w:val="nil"/>
            <w:left w:val="nil"/>
            <w:bottom w:val="single" w:sz="8" w:space="0" w:color="auto"/>
            <w:right w:val="single" w:sz="8" w:space="0" w:color="auto"/>
          </w:tcBorders>
          <w:shd w:val="clear" w:color="auto" w:fill="auto"/>
          <w:vAlign w:val="center"/>
          <w:hideMark/>
        </w:tcPr>
        <w:p w14:paraId="424A99CF"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Persons Assisted</w:t>
          </w:r>
        </w:p>
      </w:tc>
      <w:tc>
        <w:tcPr>
          <w:tcW w:w="763" w:type="dxa"/>
          <w:tcBorders>
            <w:top w:val="nil"/>
            <w:left w:val="nil"/>
            <w:bottom w:val="single" w:sz="8" w:space="0" w:color="auto"/>
            <w:right w:val="single" w:sz="8" w:space="0" w:color="auto"/>
          </w:tcBorders>
          <w:shd w:val="clear" w:color="auto" w:fill="auto"/>
          <w:vAlign w:val="center"/>
          <w:hideMark/>
        </w:tcPr>
        <w:p w14:paraId="42FB60DB"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0</w:t>
          </w:r>
        </w:p>
      </w:tc>
      <w:tc>
        <w:tcPr>
          <w:tcW w:w="763" w:type="dxa"/>
          <w:tcBorders>
            <w:top w:val="nil"/>
            <w:left w:val="nil"/>
            <w:bottom w:val="single" w:sz="8" w:space="0" w:color="auto"/>
            <w:right w:val="single" w:sz="8" w:space="0" w:color="auto"/>
          </w:tcBorders>
          <w:shd w:val="clear" w:color="auto" w:fill="auto"/>
          <w:vAlign w:val="center"/>
          <w:hideMark/>
        </w:tcPr>
        <w:p w14:paraId="40BF966A"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98" w:type="dxa"/>
          <w:tcBorders>
            <w:top w:val="nil"/>
            <w:left w:val="nil"/>
            <w:bottom w:val="single" w:sz="8" w:space="0" w:color="auto"/>
            <w:right w:val="single" w:sz="8" w:space="0" w:color="auto"/>
          </w:tcBorders>
          <w:shd w:val="clear" w:color="auto" w:fill="auto"/>
          <w:vAlign w:val="center"/>
          <w:hideMark/>
        </w:tcPr>
        <w:p w14:paraId="10FA26B8"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72" w:type="dxa"/>
          <w:tcBorders>
            <w:top w:val="nil"/>
            <w:left w:val="nil"/>
            <w:bottom w:val="single" w:sz="8" w:space="0" w:color="auto"/>
            <w:right w:val="single" w:sz="8" w:space="0" w:color="auto"/>
          </w:tcBorders>
          <w:shd w:val="clear" w:color="auto" w:fill="auto"/>
          <w:vAlign w:val="center"/>
          <w:hideMark/>
        </w:tcPr>
        <w:p w14:paraId="67AC1BE3"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0</w:t>
          </w:r>
        </w:p>
      </w:tc>
      <w:tc>
        <w:tcPr>
          <w:tcW w:w="672" w:type="dxa"/>
          <w:tcBorders>
            <w:top w:val="nil"/>
            <w:left w:val="nil"/>
            <w:bottom w:val="single" w:sz="8" w:space="0" w:color="auto"/>
            <w:right w:val="single" w:sz="8" w:space="0" w:color="auto"/>
          </w:tcBorders>
          <w:shd w:val="clear" w:color="auto" w:fill="auto"/>
          <w:vAlign w:val="center"/>
          <w:hideMark/>
        </w:tcPr>
        <w:p w14:paraId="50B6B266"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98" w:type="dxa"/>
          <w:tcBorders>
            <w:top w:val="nil"/>
            <w:left w:val="nil"/>
            <w:bottom w:val="single" w:sz="8" w:space="0" w:color="auto"/>
            <w:right w:val="single" w:sz="8" w:space="0" w:color="auto"/>
          </w:tcBorders>
          <w:shd w:val="clear" w:color="auto" w:fill="auto"/>
          <w:vAlign w:val="center"/>
          <w:hideMark/>
        </w:tcPr>
        <w:p w14:paraId="0BE6D238"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r>
    <w:tr w:rsidR="005F3FCF" w:rsidRPr="009605B2" w14:paraId="506A1D11" w14:textId="77777777" w:rsidTr="005F3FCF">
      <w:trPr>
        <w:trHeight w:val="294"/>
      </w:trPr>
      <w:tc>
        <w:tcPr>
          <w:tcW w:w="2251" w:type="dxa"/>
          <w:tcBorders>
            <w:top w:val="nil"/>
            <w:left w:val="single" w:sz="8" w:space="0" w:color="auto"/>
            <w:bottom w:val="single" w:sz="8" w:space="0" w:color="auto"/>
            <w:right w:val="single" w:sz="8" w:space="0" w:color="auto"/>
          </w:tcBorders>
          <w:shd w:val="clear" w:color="auto" w:fill="auto"/>
          <w:vAlign w:val="center"/>
          <w:hideMark/>
        </w:tcPr>
        <w:p w14:paraId="00B2DBEA" w14:textId="77777777" w:rsidR="005F3FCF" w:rsidRPr="0020194F" w:rsidRDefault="005F3FCF" w:rsidP="00816745">
          <w:pPr>
            <w:rPr>
              <w:rFonts w:ascii="Calibri" w:eastAsia="Times New Roman" w:hAnsi="Calibri"/>
              <w:color w:val="000000"/>
              <w:sz w:val="12"/>
              <w:szCs w:val="12"/>
            </w:rPr>
          </w:pPr>
          <w:r w:rsidRPr="0020194F">
            <w:rPr>
              <w:rFonts w:ascii="Calibri" w:eastAsia="Times New Roman" w:hAnsi="Calibri"/>
              <w:color w:val="000000"/>
              <w:sz w:val="12"/>
              <w:szCs w:val="12"/>
            </w:rPr>
            <w:t>Revitalize Business Nodes in Target Areas</w:t>
          </w:r>
        </w:p>
      </w:tc>
      <w:tc>
        <w:tcPr>
          <w:tcW w:w="662" w:type="dxa"/>
          <w:tcBorders>
            <w:top w:val="nil"/>
            <w:left w:val="nil"/>
            <w:bottom w:val="single" w:sz="8" w:space="0" w:color="auto"/>
            <w:right w:val="single" w:sz="8" w:space="0" w:color="auto"/>
          </w:tcBorders>
          <w:shd w:val="clear" w:color="auto" w:fill="auto"/>
          <w:vAlign w:val="center"/>
          <w:hideMark/>
        </w:tcPr>
        <w:p w14:paraId="68AB6278" w14:textId="77777777" w:rsidR="005F3FCF" w:rsidRPr="0020194F" w:rsidRDefault="005F3FCF" w:rsidP="00816745">
          <w:pPr>
            <w:rPr>
              <w:rFonts w:ascii="Calibri" w:eastAsia="Times New Roman" w:hAnsi="Calibri"/>
              <w:color w:val="000000"/>
              <w:sz w:val="12"/>
              <w:szCs w:val="12"/>
            </w:rPr>
          </w:pPr>
          <w:r w:rsidRPr="0020194F">
            <w:rPr>
              <w:rFonts w:ascii="Calibri" w:eastAsia="Times New Roman" w:hAnsi="Calibri"/>
              <w:color w:val="000000"/>
              <w:sz w:val="12"/>
              <w:szCs w:val="12"/>
            </w:rPr>
            <w:t>NHCD</w:t>
          </w:r>
        </w:p>
      </w:tc>
      <w:tc>
        <w:tcPr>
          <w:tcW w:w="621" w:type="dxa"/>
          <w:tcBorders>
            <w:top w:val="nil"/>
            <w:left w:val="nil"/>
            <w:bottom w:val="single" w:sz="8" w:space="0" w:color="auto"/>
            <w:right w:val="single" w:sz="8" w:space="0" w:color="auto"/>
          </w:tcBorders>
          <w:shd w:val="clear" w:color="auto" w:fill="auto"/>
          <w:vAlign w:val="center"/>
          <w:hideMark/>
        </w:tcPr>
        <w:p w14:paraId="11ED73DC" w14:textId="77777777" w:rsidR="005F3FCF" w:rsidRPr="0020194F" w:rsidRDefault="005F3FCF" w:rsidP="00816745">
          <w:pPr>
            <w:rPr>
              <w:rFonts w:ascii="Calibri" w:eastAsia="Times New Roman" w:hAnsi="Calibri"/>
              <w:color w:val="000000"/>
              <w:sz w:val="12"/>
              <w:szCs w:val="12"/>
            </w:rPr>
          </w:pPr>
          <w:r w:rsidRPr="0020194F">
            <w:rPr>
              <w:rFonts w:ascii="Calibri" w:eastAsia="Times New Roman" w:hAnsi="Calibri"/>
              <w:color w:val="000000"/>
              <w:sz w:val="12"/>
              <w:szCs w:val="12"/>
            </w:rPr>
            <w:t>CDBG</w:t>
          </w:r>
        </w:p>
      </w:tc>
      <w:tc>
        <w:tcPr>
          <w:tcW w:w="2074" w:type="dxa"/>
          <w:tcBorders>
            <w:top w:val="nil"/>
            <w:left w:val="nil"/>
            <w:bottom w:val="single" w:sz="8" w:space="0" w:color="auto"/>
            <w:right w:val="single" w:sz="8" w:space="0" w:color="auto"/>
          </w:tcBorders>
          <w:shd w:val="clear" w:color="auto" w:fill="auto"/>
          <w:vAlign w:val="center"/>
          <w:hideMark/>
        </w:tcPr>
        <w:p w14:paraId="5D826AD4" w14:textId="77777777" w:rsidR="005F3FCF" w:rsidRPr="0020194F" w:rsidRDefault="005F3FCF" w:rsidP="00816745">
          <w:pPr>
            <w:rPr>
              <w:rFonts w:ascii="Calibri" w:eastAsia="Times New Roman" w:hAnsi="Calibri"/>
              <w:color w:val="000000"/>
              <w:sz w:val="12"/>
              <w:szCs w:val="12"/>
            </w:rPr>
          </w:pPr>
          <w:r w:rsidRPr="0020194F">
            <w:rPr>
              <w:rFonts w:ascii="Calibri" w:eastAsia="Times New Roman" w:hAnsi="Calibri"/>
              <w:color w:val="000000"/>
              <w:sz w:val="12"/>
              <w:szCs w:val="12"/>
            </w:rPr>
            <w:t>Facade treatment/business building rehabilitation</w:t>
          </w:r>
        </w:p>
      </w:tc>
      <w:tc>
        <w:tcPr>
          <w:tcW w:w="788" w:type="dxa"/>
          <w:tcBorders>
            <w:top w:val="nil"/>
            <w:left w:val="nil"/>
            <w:bottom w:val="single" w:sz="8" w:space="0" w:color="auto"/>
            <w:right w:val="single" w:sz="8" w:space="0" w:color="auto"/>
          </w:tcBorders>
          <w:shd w:val="clear" w:color="auto" w:fill="auto"/>
          <w:vAlign w:val="center"/>
          <w:hideMark/>
        </w:tcPr>
        <w:p w14:paraId="6F4931C9"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Business</w:t>
          </w:r>
        </w:p>
      </w:tc>
      <w:tc>
        <w:tcPr>
          <w:tcW w:w="763" w:type="dxa"/>
          <w:tcBorders>
            <w:top w:val="nil"/>
            <w:left w:val="nil"/>
            <w:bottom w:val="single" w:sz="8" w:space="0" w:color="auto"/>
            <w:right w:val="single" w:sz="8" w:space="0" w:color="auto"/>
          </w:tcBorders>
          <w:shd w:val="clear" w:color="auto" w:fill="auto"/>
          <w:vAlign w:val="center"/>
          <w:hideMark/>
        </w:tcPr>
        <w:p w14:paraId="6607E600"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75</w:t>
          </w:r>
        </w:p>
      </w:tc>
      <w:tc>
        <w:tcPr>
          <w:tcW w:w="763" w:type="dxa"/>
          <w:tcBorders>
            <w:top w:val="nil"/>
            <w:left w:val="nil"/>
            <w:bottom w:val="single" w:sz="8" w:space="0" w:color="auto"/>
            <w:right w:val="single" w:sz="8" w:space="0" w:color="auto"/>
          </w:tcBorders>
          <w:shd w:val="clear" w:color="auto" w:fill="auto"/>
          <w:vAlign w:val="center"/>
          <w:hideMark/>
        </w:tcPr>
        <w:p w14:paraId="580F831D"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28</w:t>
          </w:r>
        </w:p>
      </w:tc>
      <w:tc>
        <w:tcPr>
          <w:tcW w:w="698" w:type="dxa"/>
          <w:tcBorders>
            <w:top w:val="nil"/>
            <w:left w:val="nil"/>
            <w:bottom w:val="single" w:sz="8" w:space="0" w:color="auto"/>
            <w:right w:val="single" w:sz="8" w:space="0" w:color="auto"/>
          </w:tcBorders>
          <w:shd w:val="clear" w:color="auto" w:fill="auto"/>
          <w:vAlign w:val="center"/>
          <w:hideMark/>
        </w:tcPr>
        <w:p w14:paraId="6625C5B3"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37%</w:t>
          </w:r>
        </w:p>
      </w:tc>
      <w:tc>
        <w:tcPr>
          <w:tcW w:w="672" w:type="dxa"/>
          <w:tcBorders>
            <w:top w:val="nil"/>
            <w:left w:val="nil"/>
            <w:bottom w:val="single" w:sz="8" w:space="0" w:color="auto"/>
            <w:right w:val="single" w:sz="8" w:space="0" w:color="auto"/>
          </w:tcBorders>
          <w:shd w:val="clear" w:color="auto" w:fill="auto"/>
          <w:vAlign w:val="center"/>
          <w:hideMark/>
        </w:tcPr>
        <w:p w14:paraId="521E5FE2"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15</w:t>
          </w:r>
        </w:p>
      </w:tc>
      <w:tc>
        <w:tcPr>
          <w:tcW w:w="672" w:type="dxa"/>
          <w:tcBorders>
            <w:top w:val="nil"/>
            <w:left w:val="nil"/>
            <w:bottom w:val="single" w:sz="8" w:space="0" w:color="auto"/>
            <w:right w:val="single" w:sz="8" w:space="0" w:color="auto"/>
          </w:tcBorders>
          <w:shd w:val="clear" w:color="auto" w:fill="auto"/>
          <w:vAlign w:val="center"/>
          <w:hideMark/>
        </w:tcPr>
        <w:p w14:paraId="7251449B"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8</w:t>
          </w:r>
        </w:p>
      </w:tc>
      <w:tc>
        <w:tcPr>
          <w:tcW w:w="698" w:type="dxa"/>
          <w:tcBorders>
            <w:top w:val="nil"/>
            <w:left w:val="nil"/>
            <w:bottom w:val="single" w:sz="8" w:space="0" w:color="auto"/>
            <w:right w:val="single" w:sz="8" w:space="0" w:color="auto"/>
          </w:tcBorders>
          <w:shd w:val="clear" w:color="auto" w:fill="auto"/>
          <w:vAlign w:val="center"/>
          <w:hideMark/>
        </w:tcPr>
        <w:p w14:paraId="32C1D08A" w14:textId="77777777" w:rsidR="005F3FCF" w:rsidRPr="009605B2"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53%</w:t>
          </w:r>
        </w:p>
      </w:tc>
    </w:tr>
  </w:tbl>
  <w:p w14:paraId="11E9F456" w14:textId="77777777" w:rsidR="005F3FCF" w:rsidRDefault="005F3FCF" w:rsidP="005068B5">
    <w:pPr>
      <w:spacing w:line="276" w:lineRule="auto"/>
      <w:ind w:right="360"/>
      <w:rPr>
        <w:rFonts w:asciiTheme="minorHAnsi" w:hAnsiTheme="minorHAnsi" w:cstheme="minorHAnsi"/>
        <w:b/>
        <w:color w:val="404040" w:themeColor="text1" w:themeTint="BF"/>
        <w:szCs w:val="20"/>
      </w:rPr>
    </w:pPr>
  </w:p>
  <w:p w14:paraId="574F54F1" w14:textId="77777777" w:rsidR="005F3FCF" w:rsidRDefault="005F3FCF" w:rsidP="005068B5">
    <w:pPr>
      <w:spacing w:line="276" w:lineRule="auto"/>
      <w:ind w:right="360"/>
      <w:rPr>
        <w:rFonts w:asciiTheme="minorHAnsi" w:hAnsiTheme="minorHAnsi" w:cstheme="minorHAnsi"/>
        <w:b/>
        <w:color w:val="404040" w:themeColor="text1" w:themeTint="BF"/>
        <w:szCs w:val="20"/>
      </w:rPr>
    </w:pPr>
  </w:p>
  <w:tbl>
    <w:tblPr>
      <w:tblW w:w="5800" w:type="dxa"/>
      <w:tblLook w:val="04A0" w:firstRow="1" w:lastRow="0" w:firstColumn="1" w:lastColumn="0" w:noHBand="0" w:noVBand="1"/>
    </w:tblPr>
    <w:tblGrid>
      <w:gridCol w:w="1340"/>
      <w:gridCol w:w="4460"/>
    </w:tblGrid>
    <w:tr w:rsidR="005F3FCF" w:rsidRPr="004E77EA" w14:paraId="0CF04514" w14:textId="77777777" w:rsidTr="00816745">
      <w:trPr>
        <w:trHeight w:val="342"/>
      </w:trPr>
      <w:tc>
        <w:tcPr>
          <w:tcW w:w="5800" w:type="dxa"/>
          <w:gridSpan w:val="2"/>
          <w:tcBorders>
            <w:top w:val="single" w:sz="8" w:space="0" w:color="auto"/>
            <w:left w:val="single" w:sz="8" w:space="0" w:color="auto"/>
            <w:bottom w:val="nil"/>
            <w:right w:val="single" w:sz="8" w:space="0" w:color="000000"/>
          </w:tcBorders>
          <w:shd w:val="clear" w:color="000000" w:fill="BDD7EE"/>
          <w:vAlign w:val="bottom"/>
          <w:hideMark/>
        </w:tcPr>
        <w:p w14:paraId="197A8941" w14:textId="77777777" w:rsidR="005F3FCF" w:rsidRPr="004E77EA" w:rsidRDefault="005F3FCF" w:rsidP="00816745">
          <w:pPr>
            <w:jc w:val="center"/>
            <w:rPr>
              <w:rFonts w:ascii="Calibri" w:eastAsia="Times New Roman" w:hAnsi="Calibri"/>
              <w:b/>
              <w:bCs/>
              <w:color w:val="404040" w:themeColor="text1" w:themeTint="BF"/>
              <w:sz w:val="16"/>
              <w:szCs w:val="16"/>
            </w:rPr>
          </w:pPr>
          <w:r w:rsidRPr="004E77EA">
            <w:rPr>
              <w:rFonts w:ascii="Calibri" w:eastAsia="Times New Roman" w:hAnsi="Calibri"/>
              <w:b/>
              <w:bCs/>
              <w:color w:val="404040" w:themeColor="text1" w:themeTint="BF"/>
              <w:sz w:val="16"/>
              <w:szCs w:val="16"/>
            </w:rPr>
            <w:t>Key</w:t>
          </w:r>
        </w:p>
      </w:tc>
    </w:tr>
    <w:tr w:rsidR="005F3FCF" w:rsidRPr="004E77EA" w14:paraId="7DB3EAAD" w14:textId="77777777" w:rsidTr="00816745">
      <w:trPr>
        <w:trHeight w:val="294"/>
      </w:trPr>
      <w:tc>
        <w:tcPr>
          <w:tcW w:w="1340" w:type="dxa"/>
          <w:tcBorders>
            <w:top w:val="nil"/>
            <w:left w:val="single" w:sz="8" w:space="0" w:color="auto"/>
            <w:bottom w:val="single" w:sz="4" w:space="0" w:color="auto"/>
            <w:right w:val="nil"/>
          </w:tcBorders>
          <w:shd w:val="clear" w:color="000000" w:fill="D9D9D9"/>
          <w:vAlign w:val="bottom"/>
          <w:hideMark/>
        </w:tcPr>
        <w:p w14:paraId="7896C829" w14:textId="77777777" w:rsidR="005F3FCF" w:rsidRPr="004E77EA" w:rsidRDefault="005F3FCF" w:rsidP="00816745">
          <w:pPr>
            <w:jc w:val="center"/>
            <w:rPr>
              <w:rFonts w:ascii="Calibri" w:eastAsia="Times New Roman" w:hAnsi="Calibri"/>
              <w:color w:val="404040" w:themeColor="text1" w:themeTint="BF"/>
              <w:sz w:val="16"/>
              <w:szCs w:val="16"/>
            </w:rPr>
          </w:pPr>
          <w:r w:rsidRPr="004E77EA">
            <w:rPr>
              <w:rFonts w:ascii="Calibri" w:eastAsia="Times New Roman" w:hAnsi="Calibri"/>
              <w:color w:val="404040" w:themeColor="text1" w:themeTint="BF"/>
              <w:sz w:val="16"/>
              <w:szCs w:val="16"/>
            </w:rPr>
            <w:t xml:space="preserve">Category </w:t>
          </w:r>
        </w:p>
      </w:tc>
      <w:tc>
        <w:tcPr>
          <w:tcW w:w="4460" w:type="dxa"/>
          <w:tcBorders>
            <w:top w:val="nil"/>
            <w:left w:val="single" w:sz="4" w:space="0" w:color="auto"/>
            <w:bottom w:val="single" w:sz="4" w:space="0" w:color="auto"/>
            <w:right w:val="single" w:sz="8" w:space="0" w:color="auto"/>
          </w:tcBorders>
          <w:shd w:val="clear" w:color="000000" w:fill="D9D9D9"/>
          <w:vAlign w:val="bottom"/>
          <w:hideMark/>
        </w:tcPr>
        <w:p w14:paraId="4B89BA11" w14:textId="77777777" w:rsidR="005F3FCF" w:rsidRPr="004E77EA" w:rsidRDefault="005F3FCF" w:rsidP="00816745">
          <w:pPr>
            <w:jc w:val="center"/>
            <w:rPr>
              <w:rFonts w:ascii="Calibri" w:eastAsia="Times New Roman" w:hAnsi="Calibri"/>
              <w:color w:val="404040" w:themeColor="text1" w:themeTint="BF"/>
              <w:sz w:val="16"/>
              <w:szCs w:val="16"/>
            </w:rPr>
          </w:pPr>
          <w:r w:rsidRPr="004E77EA">
            <w:rPr>
              <w:rFonts w:ascii="Calibri" w:eastAsia="Times New Roman" w:hAnsi="Calibri"/>
              <w:color w:val="404040" w:themeColor="text1" w:themeTint="BF"/>
              <w:sz w:val="16"/>
              <w:szCs w:val="16"/>
            </w:rPr>
            <w:t>Category Explanation</w:t>
          </w:r>
        </w:p>
      </w:tc>
    </w:tr>
    <w:tr w:rsidR="005F3FCF" w:rsidRPr="004E77EA" w14:paraId="34B06FA9" w14:textId="77777777" w:rsidTr="00816745">
      <w:trPr>
        <w:trHeight w:val="294"/>
      </w:trPr>
      <w:tc>
        <w:tcPr>
          <w:tcW w:w="1340" w:type="dxa"/>
          <w:tcBorders>
            <w:top w:val="nil"/>
            <w:left w:val="single" w:sz="8" w:space="0" w:color="auto"/>
            <w:bottom w:val="nil"/>
            <w:right w:val="nil"/>
          </w:tcBorders>
          <w:shd w:val="clear" w:color="auto" w:fill="auto"/>
          <w:vAlign w:val="bottom"/>
          <w:hideMark/>
        </w:tcPr>
        <w:p w14:paraId="7A3EDA24" w14:textId="77777777" w:rsidR="005F3FCF" w:rsidRPr="004E77EA" w:rsidRDefault="005F3FCF" w:rsidP="00816745">
          <w:pPr>
            <w:jc w:val="center"/>
            <w:rPr>
              <w:rFonts w:ascii="Calibri" w:eastAsia="Times New Roman" w:hAnsi="Calibri"/>
              <w:color w:val="404040" w:themeColor="text1" w:themeTint="BF"/>
              <w:sz w:val="16"/>
              <w:szCs w:val="16"/>
            </w:rPr>
          </w:pPr>
          <w:r w:rsidRPr="004E77EA">
            <w:rPr>
              <w:rFonts w:ascii="Calibri" w:eastAsia="Times New Roman" w:hAnsi="Calibri"/>
              <w:color w:val="404040" w:themeColor="text1" w:themeTint="BF"/>
              <w:sz w:val="16"/>
              <w:szCs w:val="16"/>
            </w:rPr>
            <w:t xml:space="preserve">Admin </w:t>
          </w:r>
        </w:p>
      </w:tc>
      <w:tc>
        <w:tcPr>
          <w:tcW w:w="4460" w:type="dxa"/>
          <w:tcBorders>
            <w:top w:val="nil"/>
            <w:left w:val="single" w:sz="4" w:space="0" w:color="auto"/>
            <w:bottom w:val="nil"/>
            <w:right w:val="single" w:sz="8" w:space="0" w:color="auto"/>
          </w:tcBorders>
          <w:shd w:val="clear" w:color="auto" w:fill="auto"/>
          <w:vAlign w:val="bottom"/>
          <w:hideMark/>
        </w:tcPr>
        <w:p w14:paraId="58439B7A" w14:textId="77777777" w:rsidR="005F3FCF" w:rsidRPr="004E77EA" w:rsidRDefault="005F3FCF" w:rsidP="00816745">
          <w:pPr>
            <w:rPr>
              <w:rFonts w:ascii="Calibri" w:eastAsia="Times New Roman" w:hAnsi="Calibri"/>
              <w:color w:val="404040" w:themeColor="text1" w:themeTint="BF"/>
              <w:sz w:val="16"/>
              <w:szCs w:val="16"/>
            </w:rPr>
          </w:pPr>
          <w:r w:rsidRPr="004E77EA">
            <w:rPr>
              <w:rFonts w:ascii="Calibri" w:eastAsia="Times New Roman" w:hAnsi="Calibri"/>
              <w:color w:val="404040" w:themeColor="text1" w:themeTint="BF"/>
              <w:sz w:val="16"/>
              <w:szCs w:val="16"/>
            </w:rPr>
            <w:t>Administration</w:t>
          </w:r>
        </w:p>
      </w:tc>
    </w:tr>
    <w:tr w:rsidR="005F3FCF" w:rsidRPr="004E77EA" w14:paraId="24DC356C" w14:textId="77777777" w:rsidTr="00816745">
      <w:trPr>
        <w:trHeight w:val="342"/>
      </w:trPr>
      <w:tc>
        <w:tcPr>
          <w:tcW w:w="1340" w:type="dxa"/>
          <w:tcBorders>
            <w:top w:val="nil"/>
            <w:left w:val="single" w:sz="8" w:space="0" w:color="auto"/>
            <w:bottom w:val="nil"/>
            <w:right w:val="nil"/>
          </w:tcBorders>
          <w:shd w:val="clear" w:color="auto" w:fill="auto"/>
          <w:vAlign w:val="bottom"/>
          <w:hideMark/>
        </w:tcPr>
        <w:p w14:paraId="6FB88626" w14:textId="77777777" w:rsidR="005F3FCF" w:rsidRPr="004E77EA" w:rsidRDefault="005F3FCF" w:rsidP="00816745">
          <w:pPr>
            <w:jc w:val="center"/>
            <w:rPr>
              <w:rFonts w:ascii="Calibri" w:eastAsia="Times New Roman" w:hAnsi="Calibri"/>
              <w:color w:val="404040" w:themeColor="text1" w:themeTint="BF"/>
              <w:sz w:val="16"/>
              <w:szCs w:val="16"/>
            </w:rPr>
          </w:pPr>
          <w:r w:rsidRPr="004E77EA">
            <w:rPr>
              <w:rFonts w:ascii="Calibri" w:eastAsia="Times New Roman" w:hAnsi="Calibri"/>
              <w:color w:val="404040" w:themeColor="text1" w:themeTint="BF"/>
              <w:sz w:val="16"/>
              <w:szCs w:val="16"/>
            </w:rPr>
            <w:t>AH</w:t>
          </w:r>
        </w:p>
      </w:tc>
      <w:tc>
        <w:tcPr>
          <w:tcW w:w="4460" w:type="dxa"/>
          <w:tcBorders>
            <w:top w:val="nil"/>
            <w:left w:val="single" w:sz="4" w:space="0" w:color="auto"/>
            <w:bottom w:val="nil"/>
            <w:right w:val="single" w:sz="8" w:space="0" w:color="auto"/>
          </w:tcBorders>
          <w:shd w:val="clear" w:color="auto" w:fill="auto"/>
          <w:vAlign w:val="bottom"/>
          <w:hideMark/>
        </w:tcPr>
        <w:p w14:paraId="14FF6541" w14:textId="77777777" w:rsidR="005F3FCF" w:rsidRPr="004E77EA" w:rsidRDefault="005F3FCF" w:rsidP="00816745">
          <w:pPr>
            <w:rPr>
              <w:rFonts w:ascii="Calibri" w:eastAsia="Times New Roman" w:hAnsi="Calibri"/>
              <w:color w:val="404040" w:themeColor="text1" w:themeTint="BF"/>
              <w:sz w:val="16"/>
              <w:szCs w:val="16"/>
            </w:rPr>
          </w:pPr>
          <w:r w:rsidRPr="004E77EA">
            <w:rPr>
              <w:rFonts w:ascii="Calibri" w:eastAsia="Times New Roman" w:hAnsi="Calibri"/>
              <w:color w:val="404040" w:themeColor="text1" w:themeTint="BF"/>
              <w:sz w:val="16"/>
              <w:szCs w:val="16"/>
            </w:rPr>
            <w:t>Affordable Housing</w:t>
          </w:r>
        </w:p>
      </w:tc>
    </w:tr>
    <w:tr w:rsidR="005F3FCF" w:rsidRPr="004E77EA" w14:paraId="08F9B25E" w14:textId="77777777" w:rsidTr="00816745">
      <w:trPr>
        <w:trHeight w:val="294"/>
      </w:trPr>
      <w:tc>
        <w:tcPr>
          <w:tcW w:w="1340" w:type="dxa"/>
          <w:tcBorders>
            <w:top w:val="nil"/>
            <w:left w:val="single" w:sz="8" w:space="0" w:color="auto"/>
            <w:bottom w:val="nil"/>
            <w:right w:val="nil"/>
          </w:tcBorders>
          <w:shd w:val="clear" w:color="auto" w:fill="auto"/>
          <w:vAlign w:val="bottom"/>
          <w:hideMark/>
        </w:tcPr>
        <w:p w14:paraId="2EFA3CAA" w14:textId="77777777" w:rsidR="005F3FCF" w:rsidRPr="004E77EA" w:rsidRDefault="005F3FCF" w:rsidP="00816745">
          <w:pPr>
            <w:jc w:val="center"/>
            <w:rPr>
              <w:rFonts w:ascii="Calibri" w:eastAsia="Times New Roman" w:hAnsi="Calibri"/>
              <w:color w:val="404040" w:themeColor="text1" w:themeTint="BF"/>
              <w:sz w:val="16"/>
              <w:szCs w:val="16"/>
            </w:rPr>
          </w:pPr>
          <w:r w:rsidRPr="004E77EA">
            <w:rPr>
              <w:rFonts w:ascii="Calibri" w:eastAsia="Times New Roman" w:hAnsi="Calibri"/>
              <w:color w:val="404040" w:themeColor="text1" w:themeTint="BF"/>
              <w:sz w:val="16"/>
              <w:szCs w:val="16"/>
            </w:rPr>
            <w:t>NHCD</w:t>
          </w:r>
        </w:p>
      </w:tc>
      <w:tc>
        <w:tcPr>
          <w:tcW w:w="4460" w:type="dxa"/>
          <w:tcBorders>
            <w:top w:val="nil"/>
            <w:left w:val="single" w:sz="4" w:space="0" w:color="auto"/>
            <w:bottom w:val="nil"/>
            <w:right w:val="single" w:sz="8" w:space="0" w:color="auto"/>
          </w:tcBorders>
          <w:shd w:val="clear" w:color="auto" w:fill="auto"/>
          <w:vAlign w:val="bottom"/>
          <w:hideMark/>
        </w:tcPr>
        <w:p w14:paraId="50F603B9" w14:textId="77777777" w:rsidR="005F3FCF" w:rsidRPr="004E77EA" w:rsidRDefault="005F3FCF" w:rsidP="00816745">
          <w:pPr>
            <w:rPr>
              <w:rFonts w:ascii="Calibri" w:eastAsia="Times New Roman" w:hAnsi="Calibri"/>
              <w:color w:val="404040" w:themeColor="text1" w:themeTint="BF"/>
              <w:sz w:val="16"/>
              <w:szCs w:val="16"/>
            </w:rPr>
          </w:pPr>
          <w:r w:rsidRPr="004E77EA">
            <w:rPr>
              <w:rFonts w:ascii="Calibri" w:eastAsia="Times New Roman" w:hAnsi="Calibri"/>
              <w:color w:val="404040" w:themeColor="text1" w:themeTint="BF"/>
              <w:sz w:val="16"/>
              <w:szCs w:val="16"/>
            </w:rPr>
            <w:t>Non-Housing Community Development</w:t>
          </w:r>
        </w:p>
      </w:tc>
    </w:tr>
    <w:tr w:rsidR="005F3FCF" w:rsidRPr="004E77EA" w14:paraId="35E1B458" w14:textId="77777777" w:rsidTr="00816745">
      <w:trPr>
        <w:trHeight w:val="294"/>
      </w:trPr>
      <w:tc>
        <w:tcPr>
          <w:tcW w:w="1340" w:type="dxa"/>
          <w:tcBorders>
            <w:top w:val="nil"/>
            <w:left w:val="single" w:sz="8" w:space="0" w:color="auto"/>
            <w:bottom w:val="nil"/>
            <w:right w:val="nil"/>
          </w:tcBorders>
          <w:shd w:val="clear" w:color="auto" w:fill="auto"/>
          <w:vAlign w:val="bottom"/>
          <w:hideMark/>
        </w:tcPr>
        <w:p w14:paraId="6E3C71AC" w14:textId="77777777" w:rsidR="005F3FCF" w:rsidRPr="004E77EA" w:rsidRDefault="005F3FCF" w:rsidP="00816745">
          <w:pPr>
            <w:jc w:val="center"/>
            <w:rPr>
              <w:rFonts w:ascii="Calibri" w:eastAsia="Times New Roman" w:hAnsi="Calibri"/>
              <w:color w:val="404040" w:themeColor="text1" w:themeTint="BF"/>
              <w:sz w:val="16"/>
              <w:szCs w:val="16"/>
            </w:rPr>
          </w:pPr>
          <w:r w:rsidRPr="004E77EA">
            <w:rPr>
              <w:rFonts w:ascii="Calibri" w:eastAsia="Times New Roman" w:hAnsi="Calibri"/>
              <w:color w:val="404040" w:themeColor="text1" w:themeTint="BF"/>
              <w:sz w:val="16"/>
              <w:szCs w:val="16"/>
            </w:rPr>
            <w:t>NHSN</w:t>
          </w:r>
        </w:p>
      </w:tc>
      <w:tc>
        <w:tcPr>
          <w:tcW w:w="4460" w:type="dxa"/>
          <w:tcBorders>
            <w:top w:val="nil"/>
            <w:left w:val="single" w:sz="4" w:space="0" w:color="auto"/>
            <w:bottom w:val="nil"/>
            <w:right w:val="single" w:sz="8" w:space="0" w:color="auto"/>
          </w:tcBorders>
          <w:shd w:val="clear" w:color="auto" w:fill="auto"/>
          <w:vAlign w:val="bottom"/>
          <w:hideMark/>
        </w:tcPr>
        <w:p w14:paraId="1FE1D629" w14:textId="77777777" w:rsidR="005F3FCF" w:rsidRPr="004E77EA" w:rsidRDefault="005F3FCF" w:rsidP="00816745">
          <w:pPr>
            <w:rPr>
              <w:rFonts w:ascii="Calibri" w:eastAsia="Times New Roman" w:hAnsi="Calibri"/>
              <w:color w:val="404040" w:themeColor="text1" w:themeTint="BF"/>
              <w:sz w:val="16"/>
              <w:szCs w:val="16"/>
            </w:rPr>
          </w:pPr>
          <w:r w:rsidRPr="004E77EA">
            <w:rPr>
              <w:rFonts w:ascii="Calibri" w:eastAsia="Times New Roman" w:hAnsi="Calibri"/>
              <w:color w:val="404040" w:themeColor="text1" w:themeTint="BF"/>
              <w:sz w:val="16"/>
              <w:szCs w:val="16"/>
            </w:rPr>
            <w:t>Non-Homeless Special Needs</w:t>
          </w:r>
        </w:p>
      </w:tc>
    </w:tr>
    <w:tr w:rsidR="005F3FCF" w:rsidRPr="004E77EA" w14:paraId="2C99B490" w14:textId="77777777" w:rsidTr="00816745">
      <w:trPr>
        <w:trHeight w:val="342"/>
      </w:trPr>
      <w:tc>
        <w:tcPr>
          <w:tcW w:w="1340" w:type="dxa"/>
          <w:tcBorders>
            <w:top w:val="nil"/>
            <w:left w:val="single" w:sz="8" w:space="0" w:color="auto"/>
            <w:bottom w:val="single" w:sz="8" w:space="0" w:color="auto"/>
            <w:right w:val="nil"/>
          </w:tcBorders>
          <w:shd w:val="clear" w:color="auto" w:fill="auto"/>
          <w:vAlign w:val="bottom"/>
          <w:hideMark/>
        </w:tcPr>
        <w:p w14:paraId="2ED05874" w14:textId="77777777" w:rsidR="005F3FCF" w:rsidRPr="004E77EA" w:rsidRDefault="005F3FCF" w:rsidP="00816745">
          <w:pPr>
            <w:jc w:val="center"/>
            <w:rPr>
              <w:rFonts w:ascii="Calibri" w:eastAsia="Times New Roman" w:hAnsi="Calibri"/>
              <w:color w:val="404040" w:themeColor="text1" w:themeTint="BF"/>
              <w:sz w:val="16"/>
              <w:szCs w:val="16"/>
            </w:rPr>
          </w:pPr>
          <w:r w:rsidRPr="004E77EA">
            <w:rPr>
              <w:rFonts w:ascii="Calibri" w:eastAsia="Times New Roman" w:hAnsi="Calibri"/>
              <w:color w:val="404040" w:themeColor="text1" w:themeTint="BF"/>
              <w:sz w:val="16"/>
              <w:szCs w:val="16"/>
            </w:rPr>
            <w:t>H</w:t>
          </w:r>
        </w:p>
      </w:tc>
      <w:tc>
        <w:tcPr>
          <w:tcW w:w="4460" w:type="dxa"/>
          <w:tcBorders>
            <w:top w:val="nil"/>
            <w:left w:val="single" w:sz="4" w:space="0" w:color="auto"/>
            <w:bottom w:val="single" w:sz="8" w:space="0" w:color="auto"/>
            <w:right w:val="single" w:sz="8" w:space="0" w:color="auto"/>
          </w:tcBorders>
          <w:shd w:val="clear" w:color="auto" w:fill="auto"/>
          <w:vAlign w:val="bottom"/>
          <w:hideMark/>
        </w:tcPr>
        <w:p w14:paraId="09DE34BC" w14:textId="77777777" w:rsidR="005F3FCF" w:rsidRPr="004E77EA" w:rsidRDefault="005F3FCF" w:rsidP="00816745">
          <w:pPr>
            <w:rPr>
              <w:rFonts w:ascii="Calibri" w:eastAsia="Times New Roman" w:hAnsi="Calibri"/>
              <w:color w:val="404040" w:themeColor="text1" w:themeTint="BF"/>
              <w:sz w:val="16"/>
              <w:szCs w:val="16"/>
            </w:rPr>
          </w:pPr>
          <w:r w:rsidRPr="004E77EA">
            <w:rPr>
              <w:rFonts w:ascii="Calibri" w:eastAsia="Times New Roman" w:hAnsi="Calibri"/>
              <w:color w:val="404040" w:themeColor="text1" w:themeTint="BF"/>
              <w:sz w:val="16"/>
              <w:szCs w:val="16"/>
            </w:rPr>
            <w:t>Homeless</w:t>
          </w:r>
        </w:p>
      </w:tc>
    </w:tr>
  </w:tbl>
  <w:p w14:paraId="1FB0CEDB" w14:textId="77777777" w:rsidR="005F3FCF" w:rsidRDefault="005F3FCF" w:rsidP="005068B5">
    <w:pPr>
      <w:spacing w:line="276" w:lineRule="auto"/>
      <w:ind w:right="360"/>
      <w:rPr>
        <w:rFonts w:asciiTheme="minorHAnsi" w:hAnsiTheme="minorHAnsi" w:cstheme="minorHAnsi"/>
        <w:b/>
        <w:color w:val="F79646" w:themeColor="accent6"/>
        <w:szCs w:val="20"/>
      </w:rPr>
    </w:pPr>
  </w:p>
  <w:p w14:paraId="5CFC7987" w14:textId="77777777" w:rsidR="005F3FCF" w:rsidRDefault="005F3FCF" w:rsidP="005068B5">
    <w:pPr>
      <w:spacing w:line="360" w:lineRule="auto"/>
      <w:ind w:right="360"/>
      <w:rPr>
        <w:rFonts w:asciiTheme="minorHAnsi" w:hAnsiTheme="minorHAnsi" w:cstheme="minorHAnsi"/>
        <w:color w:val="404040" w:themeColor="text1" w:themeTint="BF"/>
        <w:szCs w:val="20"/>
      </w:rPr>
    </w:pPr>
  </w:p>
  <w:p w14:paraId="5CCF254E" w14:textId="77777777" w:rsidR="005F3FCF" w:rsidRPr="00711E46" w:rsidRDefault="005F3FCF" w:rsidP="005068B5">
    <w:pPr>
      <w:spacing w:line="360" w:lineRule="auto"/>
      <w:ind w:right="360"/>
      <w:rPr>
        <w:rFonts w:asciiTheme="minorHAnsi" w:hAnsiTheme="minorHAnsi" w:cstheme="minorHAnsi"/>
        <w:color w:val="404040" w:themeColor="text1" w:themeTint="BF"/>
        <w:szCs w:val="20"/>
      </w:rPr>
    </w:pPr>
    <w:r w:rsidRPr="00711E46">
      <w:rPr>
        <w:rFonts w:asciiTheme="minorHAnsi" w:hAnsiTheme="minorHAnsi" w:cstheme="minorHAnsi"/>
        <w:color w:val="404040" w:themeColor="text1" w:themeTint="BF"/>
        <w:szCs w:val="20"/>
      </w:rPr>
      <w:t xml:space="preserve">Salt Lake City </w:t>
    </w:r>
    <w:r>
      <w:rPr>
        <w:rFonts w:asciiTheme="minorHAnsi" w:hAnsiTheme="minorHAnsi" w:cstheme="minorHAnsi"/>
        <w:color w:val="404040" w:themeColor="text1" w:themeTint="BF"/>
        <w:szCs w:val="20"/>
      </w:rPr>
      <w:t>continued to make progress on its strategic plan goals during year three of the plan.</w:t>
    </w:r>
    <w:r w:rsidRPr="00711E46">
      <w:rPr>
        <w:rFonts w:asciiTheme="minorHAnsi" w:hAnsiTheme="minorHAnsi" w:cstheme="minorHAnsi"/>
        <w:color w:val="404040" w:themeColor="text1" w:themeTint="BF"/>
        <w:szCs w:val="20"/>
      </w:rPr>
      <w:t xml:space="preserve"> </w:t>
    </w:r>
  </w:p>
  <w:p w14:paraId="11D70571" w14:textId="77777777" w:rsidR="005F3FCF" w:rsidRDefault="005F3FCF" w:rsidP="005068B5">
    <w:pPr>
      <w:spacing w:line="360" w:lineRule="auto"/>
      <w:ind w:right="360"/>
      <w:rPr>
        <w:rFonts w:asciiTheme="minorHAnsi" w:hAnsiTheme="minorHAnsi" w:cstheme="minorHAnsi"/>
        <w:color w:val="404040" w:themeColor="text1" w:themeTint="BF"/>
        <w:szCs w:val="20"/>
      </w:rPr>
    </w:pPr>
  </w:p>
  <w:p w14:paraId="00F88D4E" w14:textId="77777777" w:rsidR="005F3FCF" w:rsidRDefault="005F3FCF" w:rsidP="005068B5">
    <w:pPr>
      <w:spacing w:line="360" w:lineRule="auto"/>
      <w:ind w:right="360"/>
      <w:rPr>
        <w:rFonts w:asciiTheme="minorHAnsi" w:hAnsiTheme="minorHAnsi" w:cstheme="minorHAnsi"/>
        <w:color w:val="404040" w:themeColor="text1" w:themeTint="BF"/>
        <w:szCs w:val="20"/>
      </w:rPr>
    </w:pPr>
    <w:r>
      <w:rPr>
        <w:rFonts w:asciiTheme="minorHAnsi" w:hAnsiTheme="minorHAnsi" w:cstheme="minorHAnsi"/>
        <w:color w:val="404040" w:themeColor="text1" w:themeTint="BF"/>
        <w:szCs w:val="20"/>
      </w:rPr>
      <w:t xml:space="preserve">On the whole, the City has been using its HOPWA funding incredibly effectively, considerably outpacing expectations for annual performance, even as the public services category lags behind expectations. It is also helpful that HOPWA funding has increased as a result of the </w:t>
    </w:r>
    <w:r w:rsidRPr="0020194F">
      <w:rPr>
        <w:rFonts w:asciiTheme="minorHAnsi" w:hAnsiTheme="minorHAnsi" w:cstheme="minorHAnsi"/>
        <w:color w:val="404040" w:themeColor="text1" w:themeTint="BF"/>
        <w:szCs w:val="20"/>
      </w:rPr>
      <w:t>Housing Opportunity Through Modernization Act of 2016</w:t>
    </w:r>
  </w:p>
  <w:p w14:paraId="5A51A73A" w14:textId="77777777" w:rsidR="005F3FCF" w:rsidRDefault="005F3FCF" w:rsidP="005068B5">
    <w:pPr>
      <w:spacing w:line="360" w:lineRule="auto"/>
      <w:ind w:right="360"/>
      <w:rPr>
        <w:rFonts w:asciiTheme="minorHAnsi" w:hAnsiTheme="minorHAnsi" w:cstheme="minorHAnsi"/>
        <w:color w:val="404040" w:themeColor="text1" w:themeTint="BF"/>
        <w:szCs w:val="20"/>
      </w:rPr>
    </w:pPr>
  </w:p>
  <w:p w14:paraId="09893743" w14:textId="77777777" w:rsidR="005F3FCF" w:rsidRPr="00711E46" w:rsidRDefault="005F3FCF" w:rsidP="005068B5">
    <w:pPr>
      <w:spacing w:line="360" w:lineRule="auto"/>
      <w:ind w:right="360"/>
      <w:rPr>
        <w:rFonts w:asciiTheme="minorHAnsi" w:hAnsiTheme="minorHAnsi" w:cstheme="minorHAnsi"/>
        <w:color w:val="404040" w:themeColor="text1" w:themeTint="BF"/>
        <w:szCs w:val="20"/>
      </w:rPr>
    </w:pPr>
    <w:r>
      <w:rPr>
        <w:rFonts w:asciiTheme="minorHAnsi" w:hAnsiTheme="minorHAnsi" w:cstheme="minorHAnsi"/>
        <w:color w:val="404040" w:themeColor="text1" w:themeTint="BF"/>
        <w:szCs w:val="20"/>
      </w:rPr>
      <w:t xml:space="preserve">Expanding homeownership continues to be a hurdle. This is largely in part to the housing market in Salt Lake City. Prices have risen significantly and this makes it difficult to find housing options for eligible clients. </w:t>
    </w:r>
  </w:p>
  <w:p w14:paraId="7019C673" w14:textId="77777777" w:rsidR="005F3FCF" w:rsidRDefault="005F3FCF" w:rsidP="005068B5">
    <w:pPr>
      <w:spacing w:line="360" w:lineRule="auto"/>
      <w:ind w:right="360"/>
      <w:rPr>
        <w:rFonts w:asciiTheme="minorHAnsi" w:hAnsiTheme="minorHAnsi" w:cstheme="minorHAnsi"/>
        <w:color w:val="404040" w:themeColor="text1" w:themeTint="BF"/>
        <w:szCs w:val="20"/>
      </w:rPr>
    </w:pPr>
  </w:p>
  <w:p w14:paraId="27DF2410" w14:textId="77777777" w:rsidR="005F3FCF" w:rsidRDefault="005F3FCF" w:rsidP="005068B5">
    <w:pPr>
      <w:spacing w:line="360" w:lineRule="auto"/>
      <w:ind w:right="360"/>
      <w:rPr>
        <w:rFonts w:asciiTheme="minorHAnsi" w:hAnsiTheme="minorHAnsi" w:cstheme="minorHAnsi"/>
        <w:color w:val="404040" w:themeColor="text1" w:themeTint="BF"/>
        <w:szCs w:val="20"/>
      </w:rPr>
    </w:pPr>
    <w:r>
      <w:rPr>
        <w:rFonts w:asciiTheme="minorHAnsi" w:hAnsiTheme="minorHAnsi" w:cstheme="minorHAnsi"/>
        <w:color w:val="404040" w:themeColor="text1" w:themeTint="BF"/>
        <w:szCs w:val="20"/>
      </w:rPr>
      <w:t xml:space="preserve">The City’s efforts around housing rehabilitation have continued to be successful. Rehabilitation of existing housing stock continues to be an important goal for Salt Lake City.  </w:t>
    </w:r>
  </w:p>
  <w:p w14:paraId="36773E13" w14:textId="77777777" w:rsidR="005F3FCF" w:rsidRDefault="005F3FCF" w:rsidP="005068B5">
    <w:pPr>
      <w:spacing w:line="360" w:lineRule="auto"/>
      <w:ind w:right="360"/>
      <w:rPr>
        <w:rFonts w:asciiTheme="minorHAnsi" w:hAnsiTheme="minorHAnsi" w:cstheme="minorHAnsi"/>
        <w:color w:val="404040" w:themeColor="text1" w:themeTint="BF"/>
        <w:szCs w:val="20"/>
      </w:rPr>
    </w:pPr>
  </w:p>
  <w:p w14:paraId="17952497" w14:textId="77777777" w:rsidR="005F3FCF" w:rsidRDefault="005F3FCF" w:rsidP="005068B5">
    <w:pPr>
      <w:spacing w:line="360" w:lineRule="auto"/>
      <w:ind w:right="360"/>
      <w:rPr>
        <w:rFonts w:asciiTheme="minorHAnsi" w:hAnsiTheme="minorHAnsi" w:cstheme="minorHAnsi"/>
        <w:color w:val="404040" w:themeColor="text1" w:themeTint="BF"/>
        <w:szCs w:val="20"/>
      </w:rPr>
    </w:pPr>
    <w:r>
      <w:rPr>
        <w:rFonts w:asciiTheme="minorHAnsi" w:hAnsiTheme="minorHAnsi" w:cstheme="minorHAnsi"/>
        <w:color w:val="404040" w:themeColor="text1" w:themeTint="BF"/>
        <w:szCs w:val="20"/>
      </w:rPr>
      <w:t xml:space="preserve">The City is also providing an enormous amount of day-to-day services for the homeless, even though the total being served is lower than expectations. This is at least partially due to shifting more of the burden for funding these services to local, City resources, and away from federal funding. The City has been very successful in providing housing for those experiencing homelessness, particularly with TBRA and RRH. The number of clients served during the first three years of the strategic plan has nearly reached the five year goal. </w:t>
    </w:r>
  </w:p>
  <w:p w14:paraId="4FA9657C" w14:textId="77777777" w:rsidR="005F3FCF" w:rsidRDefault="005F3FCF" w:rsidP="005068B5">
    <w:pPr>
      <w:spacing w:line="360" w:lineRule="auto"/>
      <w:ind w:right="360"/>
      <w:rPr>
        <w:rFonts w:asciiTheme="minorHAnsi" w:hAnsiTheme="minorHAnsi" w:cstheme="minorHAnsi"/>
        <w:color w:val="404040" w:themeColor="text1" w:themeTint="BF"/>
        <w:szCs w:val="20"/>
      </w:rPr>
    </w:pPr>
  </w:p>
  <w:p w14:paraId="30A71B77" w14:textId="77777777" w:rsidR="005F3FCF" w:rsidRDefault="005F3FCF" w:rsidP="005068B5">
    <w:pPr>
      <w:spacing w:line="360" w:lineRule="auto"/>
      <w:ind w:right="360"/>
      <w:rPr>
        <w:rFonts w:asciiTheme="minorHAnsi" w:hAnsiTheme="minorHAnsi" w:cstheme="minorHAnsi"/>
        <w:color w:val="404040" w:themeColor="text1" w:themeTint="BF"/>
        <w:szCs w:val="20"/>
      </w:rPr>
    </w:pPr>
    <w:r>
      <w:rPr>
        <w:rFonts w:asciiTheme="minorHAnsi" w:hAnsiTheme="minorHAnsi" w:cstheme="minorHAnsi"/>
        <w:color w:val="404040" w:themeColor="text1" w:themeTint="BF"/>
        <w:szCs w:val="20"/>
      </w:rPr>
      <w:t xml:space="preserve">Expanding opportunities for self-sufficiency to at-risk populations has decreased from previous years. This is largely due to the fact that two food pantries, which provided services to large numbers of clients, did not apply or did not receive funding for the 17-18 program year. </w:t>
    </w:r>
  </w:p>
  <w:p w14:paraId="15D580C5" w14:textId="77777777" w:rsidR="005F3FCF" w:rsidRDefault="005F3FCF" w:rsidP="005068B5">
    <w:pPr>
      <w:spacing w:line="360" w:lineRule="auto"/>
      <w:ind w:right="360"/>
      <w:rPr>
        <w:rFonts w:asciiTheme="minorHAnsi" w:hAnsiTheme="minorHAnsi" w:cstheme="minorHAnsi"/>
        <w:color w:val="404040" w:themeColor="text1" w:themeTint="BF"/>
        <w:szCs w:val="20"/>
      </w:rPr>
    </w:pPr>
  </w:p>
  <w:p w14:paraId="3AB9C58E" w14:textId="77777777" w:rsidR="005F3FCF" w:rsidRDefault="005F3FCF" w:rsidP="005068B5">
    <w:pPr>
      <w:spacing w:line="360" w:lineRule="auto"/>
      <w:ind w:right="360"/>
      <w:rPr>
        <w:rFonts w:asciiTheme="minorHAnsi" w:hAnsiTheme="minorHAnsi" w:cstheme="minorHAnsi"/>
        <w:color w:val="404040" w:themeColor="text1" w:themeTint="BF"/>
        <w:szCs w:val="20"/>
      </w:rPr>
    </w:pPr>
    <w:r>
      <w:rPr>
        <w:rFonts w:asciiTheme="minorHAnsi" w:hAnsiTheme="minorHAnsi" w:cstheme="minorHAnsi"/>
        <w:color w:val="404040" w:themeColor="text1" w:themeTint="BF"/>
        <w:szCs w:val="20"/>
      </w:rPr>
      <w:t xml:space="preserve">The City’s progress around revitalizing business nodes through the new Economic Development Façade Improvements Program was lower than anticipated. This was largely in part to an over-anticipation of the number of business that would be served at the onset of the program. It took some time to build recognition of the program. However, once the initial projects were seen in the community, awareness of the program grew significantly. The Façade Program now receives many applicants for the year. Additionally, the Façade Program has received a larger amount of funding for the 18-19 program year and this will help the program reduce the gap in year 4 of the Consolidated Plan. </w:t>
    </w:r>
  </w:p>
  <w:p w14:paraId="03DCB713" w14:textId="77777777" w:rsidR="005F3FCF" w:rsidRDefault="005F3FCF" w:rsidP="005068B5">
    <w:pPr>
      <w:spacing w:line="360" w:lineRule="auto"/>
      <w:ind w:right="360"/>
      <w:rPr>
        <w:rFonts w:asciiTheme="minorHAnsi" w:hAnsiTheme="minorHAnsi" w:cstheme="minorHAnsi"/>
        <w:color w:val="404040" w:themeColor="text1" w:themeTint="BF"/>
        <w:szCs w:val="20"/>
      </w:rPr>
    </w:pPr>
  </w:p>
  <w:p w14:paraId="45680940" w14:textId="77777777" w:rsidR="005F3FCF" w:rsidRDefault="005F3FCF" w:rsidP="005068B5">
    <w:pPr>
      <w:spacing w:line="360" w:lineRule="auto"/>
      <w:ind w:right="360"/>
      <w:rPr>
        <w:rFonts w:asciiTheme="minorHAnsi" w:hAnsiTheme="minorHAnsi" w:cstheme="minorHAnsi"/>
        <w:color w:val="404040" w:themeColor="text1" w:themeTint="BF"/>
        <w:szCs w:val="20"/>
      </w:rPr>
    </w:pPr>
    <w:r>
      <w:rPr>
        <w:rFonts w:asciiTheme="minorHAnsi" w:hAnsiTheme="minorHAnsi" w:cstheme="minorHAnsi"/>
        <w:color w:val="404040" w:themeColor="text1" w:themeTint="BF"/>
        <w:szCs w:val="20"/>
      </w:rPr>
      <w:t xml:space="preserve">Salt Lake City has selected the location of two new homeless resource centers and has transferred ownership to Shelter the Homeless, a local nonprofit that in addition to being the property owners for the new resource centers will provide high-level oversight and guidance for the homeless services system. In addition, to the two resource centers located in Salt Lake City, a third resource center is being constructed in the neighboring municipality of South Salt Lake. The Shelter the Homeless board consists of community leaders and representatives from the State of Utah, Salt Lake County, and the municipalities in which homeless services exist, including Salt Lake City. Salt Lake City will continue to collaborate with government and nonprofit agencies as well as community stakeholders as we continue to transform our homeless services delivery system.  </w:t>
    </w:r>
  </w:p>
  <w:p w14:paraId="4337C2AD" w14:textId="77777777" w:rsidR="005F3FCF" w:rsidRDefault="005F3FCF" w:rsidP="005068B5">
    <w:pPr>
      <w:spacing w:line="360" w:lineRule="auto"/>
      <w:ind w:right="360"/>
      <w:rPr>
        <w:rFonts w:asciiTheme="minorHAnsi" w:hAnsiTheme="minorHAnsi" w:cstheme="minorHAnsi"/>
        <w:color w:val="404040" w:themeColor="text1" w:themeTint="BF"/>
        <w:szCs w:val="20"/>
      </w:rPr>
    </w:pPr>
  </w:p>
  <w:p w14:paraId="4D344C4D" w14:textId="77777777" w:rsidR="005F3FCF" w:rsidRDefault="005F3FCF" w:rsidP="005068B5">
    <w:pPr>
      <w:spacing w:line="360" w:lineRule="auto"/>
      <w:ind w:right="360"/>
      <w:rPr>
        <w:rFonts w:asciiTheme="minorHAnsi" w:hAnsiTheme="minorHAnsi" w:cstheme="minorHAnsi"/>
        <w:color w:val="404040" w:themeColor="text1" w:themeTint="BF"/>
        <w:szCs w:val="20"/>
      </w:rPr>
    </w:pPr>
    <w:r>
      <w:rPr>
        <w:rFonts w:asciiTheme="minorHAnsi" w:hAnsiTheme="minorHAnsi" w:cstheme="minorHAnsi"/>
        <w:color w:val="404040" w:themeColor="text1" w:themeTint="BF"/>
        <w:szCs w:val="20"/>
      </w:rPr>
      <w:t xml:space="preserve">Operation Rio Grande began in August 2017 and is ongoing. The first phase focused on law enforcement and on creating a safe environment in the Rio Grande neighborhood so that clients could safely seek homeless services. The second and third phases are focused on connecting clients to mental health and substance use disorder services as well as job resources. To date, 132 individuals have received treatment for substance use disorders and 106 individuals have found employment.  </w:t>
    </w:r>
  </w:p>
  <w:p w14:paraId="6A5FFD90" w14:textId="77777777" w:rsidR="005F3FCF" w:rsidRDefault="005F3FCF" w:rsidP="005068B5">
    <w:pPr>
      <w:spacing w:line="360" w:lineRule="auto"/>
      <w:ind w:right="360"/>
      <w:rPr>
        <w:rFonts w:asciiTheme="minorHAnsi" w:hAnsiTheme="minorHAnsi" w:cstheme="minorHAnsi"/>
        <w:color w:val="404040" w:themeColor="text1" w:themeTint="BF"/>
        <w:szCs w:val="20"/>
      </w:rPr>
    </w:pPr>
  </w:p>
  <w:p w14:paraId="7F8F641C" w14:textId="77777777" w:rsidR="005F3FCF" w:rsidRPr="005945B3" w:rsidRDefault="005F3FCF" w:rsidP="005068B5">
    <w:pPr>
      <w:spacing w:line="360" w:lineRule="auto"/>
      <w:ind w:right="360"/>
      <w:rPr>
        <w:rFonts w:asciiTheme="minorHAnsi" w:hAnsiTheme="minorHAnsi" w:cstheme="minorHAnsi"/>
        <w:b/>
        <w:color w:val="404040" w:themeColor="text1" w:themeTint="BF"/>
        <w:szCs w:val="20"/>
      </w:rPr>
    </w:pPr>
    <w:r w:rsidRPr="005945B3">
      <w:rPr>
        <w:rFonts w:asciiTheme="minorHAnsi" w:hAnsiTheme="minorHAnsi" w:cstheme="minorHAnsi"/>
        <w:b/>
        <w:color w:val="404040" w:themeColor="text1" w:themeTint="BF"/>
        <w:szCs w:val="20"/>
      </w:rPr>
      <w:t xml:space="preserve">Assess how Salt Lake City’s use of funds, particularly CDBG, addresses the priorities and specific objectives outlined in the Plan, giving special attention to the highest priority activities identified. </w:t>
    </w:r>
  </w:p>
  <w:p w14:paraId="3B008E78" w14:textId="77777777" w:rsidR="005F3FCF" w:rsidRDefault="005F3FCF" w:rsidP="005068B5">
    <w:pPr>
      <w:spacing w:line="360" w:lineRule="auto"/>
      <w:ind w:right="360"/>
      <w:rPr>
        <w:rFonts w:asciiTheme="minorHAnsi" w:hAnsiTheme="minorHAnsi" w:cstheme="minorHAnsi"/>
        <w:color w:val="404040" w:themeColor="text1" w:themeTint="BF"/>
        <w:szCs w:val="20"/>
      </w:rPr>
    </w:pPr>
    <w:r>
      <w:rPr>
        <w:rFonts w:asciiTheme="minorHAnsi" w:hAnsiTheme="minorHAnsi" w:cstheme="minorHAnsi"/>
        <w:color w:val="404040" w:themeColor="text1" w:themeTint="BF"/>
        <w:szCs w:val="20"/>
      </w:rPr>
      <w:t xml:space="preserve">During the Consolidated Planning process, five (5) high priority needs were identified. They are as follows: Affordable housing development and preservation; Homeless: mitigation, preservation and public services; Public services to expand opportunity and self-sufficiency; Economic development to expand opportunity; and Public infrastructure improvements. In the 2017-18 program year, CDBG funds were used to address each of these needs. </w:t>
    </w:r>
  </w:p>
  <w:p w14:paraId="1F6654A8" w14:textId="77777777" w:rsidR="005F3FCF" w:rsidRDefault="005F3FCF" w:rsidP="005068B5">
    <w:pPr>
      <w:spacing w:line="360" w:lineRule="auto"/>
      <w:ind w:right="360"/>
      <w:rPr>
        <w:rFonts w:asciiTheme="minorHAnsi" w:hAnsiTheme="minorHAnsi" w:cstheme="minorHAnsi"/>
        <w:color w:val="404040" w:themeColor="text1" w:themeTint="BF"/>
        <w:szCs w:val="20"/>
      </w:rPr>
    </w:pPr>
  </w:p>
  <w:p w14:paraId="33CA7A50" w14:textId="77777777" w:rsidR="005F3FCF" w:rsidRDefault="005F3FCF" w:rsidP="005068B5">
    <w:pPr>
      <w:spacing w:line="360" w:lineRule="auto"/>
      <w:ind w:right="360"/>
      <w:rPr>
        <w:rFonts w:asciiTheme="minorHAnsi" w:hAnsiTheme="minorHAnsi" w:cstheme="minorHAnsi"/>
        <w:color w:val="404040" w:themeColor="text1" w:themeTint="BF"/>
        <w:szCs w:val="20"/>
      </w:rPr>
    </w:pPr>
    <w:r>
      <w:rPr>
        <w:rFonts w:asciiTheme="minorHAnsi" w:hAnsiTheme="minorHAnsi" w:cstheme="minorHAnsi"/>
        <w:color w:val="404040" w:themeColor="text1" w:themeTint="BF"/>
        <w:szCs w:val="20"/>
      </w:rPr>
      <w:t xml:space="preserve">Affordable housing needs were addressed by improving and preserving the existing housing stock and expanding the affordable housing stock. As with many communities, providing for the unique needs of our homeless population continues to be a top need and a high priority. CDBG funds assisted by providing for day-to-day services for the homeless community as well as funding emergency shelter. </w:t>
    </w:r>
  </w:p>
  <w:p w14:paraId="79C31B43" w14:textId="77777777" w:rsidR="005F3FCF" w:rsidRDefault="005F3FCF" w:rsidP="005068B5">
    <w:pPr>
      <w:spacing w:line="360" w:lineRule="auto"/>
      <w:ind w:right="360"/>
      <w:rPr>
        <w:rFonts w:asciiTheme="minorHAnsi" w:hAnsiTheme="minorHAnsi" w:cstheme="minorHAnsi"/>
        <w:color w:val="404040" w:themeColor="text1" w:themeTint="BF"/>
        <w:szCs w:val="20"/>
      </w:rPr>
    </w:pPr>
  </w:p>
  <w:p w14:paraId="4CF9CF20" w14:textId="77777777" w:rsidR="005F3FCF" w:rsidRDefault="005F3FCF" w:rsidP="005068B5">
    <w:pPr>
      <w:spacing w:line="360" w:lineRule="auto"/>
      <w:ind w:right="360"/>
      <w:rPr>
        <w:rFonts w:asciiTheme="minorHAnsi" w:hAnsiTheme="minorHAnsi" w:cstheme="minorHAnsi"/>
        <w:color w:val="404040" w:themeColor="text1" w:themeTint="BF"/>
        <w:szCs w:val="20"/>
      </w:rPr>
    </w:pPr>
    <w:r>
      <w:rPr>
        <w:rFonts w:asciiTheme="minorHAnsi" w:hAnsiTheme="minorHAnsi" w:cstheme="minorHAnsi"/>
        <w:color w:val="404040" w:themeColor="text1" w:themeTint="BF"/>
        <w:szCs w:val="20"/>
      </w:rPr>
      <w:t>The City continued its investment from the previous program year by funding job training programs as a way to promote self-sufficiency. The City was also able to see the Economic Development Façade Program continue to bring opportunity to economically disadvantaged areas</w:t>
    </w:r>
    <w:r w:rsidRPr="002053D6">
      <w:rPr>
        <w:rFonts w:asciiTheme="minorHAnsi" w:hAnsiTheme="minorHAnsi" w:cstheme="minorHAnsi"/>
        <w:color w:val="404040" w:themeColor="text1" w:themeTint="BF"/>
        <w:szCs w:val="20"/>
      </w:rPr>
      <w:t xml:space="preserve">. </w:t>
    </w:r>
  </w:p>
  <w:p w14:paraId="268BED25" w14:textId="77777777" w:rsidR="005F3FCF" w:rsidRDefault="005F3FCF" w:rsidP="005068B5">
    <w:pPr>
      <w:spacing w:line="360" w:lineRule="auto"/>
      <w:ind w:right="360"/>
      <w:rPr>
        <w:rFonts w:asciiTheme="minorHAnsi" w:hAnsiTheme="minorHAnsi" w:cstheme="minorHAnsi"/>
        <w:color w:val="404040" w:themeColor="text1" w:themeTint="BF"/>
        <w:szCs w:val="20"/>
      </w:rPr>
    </w:pPr>
  </w:p>
  <w:p w14:paraId="61157B35" w14:textId="77777777" w:rsidR="005F3FCF" w:rsidRDefault="005F3FCF" w:rsidP="005068B5">
    <w:pPr>
      <w:spacing w:line="360" w:lineRule="auto"/>
      <w:ind w:right="360"/>
      <w:rPr>
        <w:rFonts w:asciiTheme="minorHAnsi" w:hAnsiTheme="minorHAnsi" w:cstheme="minorHAnsi"/>
        <w:color w:val="404040" w:themeColor="text1" w:themeTint="BF"/>
        <w:szCs w:val="20"/>
      </w:rPr>
    </w:pPr>
    <w:r w:rsidRPr="00711E46">
      <w:rPr>
        <w:rFonts w:asciiTheme="minorHAnsi" w:hAnsiTheme="minorHAnsi" w:cstheme="minorHAnsi"/>
        <w:color w:val="404040" w:themeColor="text1" w:themeTint="BF"/>
        <w:szCs w:val="20"/>
      </w:rPr>
      <w:t>CDBG funding was</w:t>
    </w:r>
    <w:r w:rsidRPr="002053D6">
      <w:rPr>
        <w:rFonts w:asciiTheme="minorHAnsi" w:hAnsiTheme="minorHAnsi" w:cstheme="minorHAnsi"/>
        <w:color w:val="404040" w:themeColor="text1" w:themeTint="BF"/>
        <w:szCs w:val="20"/>
      </w:rPr>
      <w:t xml:space="preserve"> allocated to support infrastructure needs in a specific geographical area of the City. While these projects take multiple years to complete, these efforts </w:t>
    </w:r>
    <w:r>
      <w:rPr>
        <w:rFonts w:asciiTheme="minorHAnsi" w:hAnsiTheme="minorHAnsi" w:cstheme="minorHAnsi"/>
        <w:color w:val="404040" w:themeColor="text1" w:themeTint="BF"/>
        <w:szCs w:val="20"/>
      </w:rPr>
      <w:t>include</w:t>
    </w:r>
    <w:r w:rsidRPr="002053D6">
      <w:rPr>
        <w:rFonts w:asciiTheme="minorHAnsi" w:hAnsiTheme="minorHAnsi" w:cstheme="minorHAnsi"/>
        <w:color w:val="404040" w:themeColor="text1" w:themeTint="BF"/>
        <w:szCs w:val="20"/>
      </w:rPr>
      <w:t xml:space="preserve"> AD</w:t>
    </w:r>
    <w:r>
      <w:rPr>
        <w:rFonts w:asciiTheme="minorHAnsi" w:hAnsiTheme="minorHAnsi" w:cstheme="minorHAnsi"/>
        <w:color w:val="404040" w:themeColor="text1" w:themeTint="BF"/>
        <w:szCs w:val="20"/>
      </w:rPr>
      <w:t>A compliant sidewalks and ramps,</w:t>
    </w:r>
    <w:r w:rsidRPr="002053D6">
      <w:rPr>
        <w:rFonts w:asciiTheme="minorHAnsi" w:hAnsiTheme="minorHAnsi" w:cstheme="minorHAnsi"/>
        <w:color w:val="404040" w:themeColor="text1" w:themeTint="BF"/>
        <w:szCs w:val="20"/>
      </w:rPr>
      <w:t xml:space="preserve"> a</w:t>
    </w:r>
    <w:r>
      <w:rPr>
        <w:rFonts w:asciiTheme="minorHAnsi" w:hAnsiTheme="minorHAnsi" w:cstheme="minorHAnsi"/>
        <w:color w:val="404040" w:themeColor="text1" w:themeTint="BF"/>
        <w:szCs w:val="20"/>
      </w:rPr>
      <w:t xml:space="preserve">nd improved streets and parks. </w:t>
    </w:r>
    <w:r w:rsidRPr="002053D6">
      <w:rPr>
        <w:rFonts w:asciiTheme="minorHAnsi" w:hAnsiTheme="minorHAnsi" w:cstheme="minorHAnsi"/>
        <w:color w:val="404040" w:themeColor="text1" w:themeTint="BF"/>
        <w:szCs w:val="20"/>
      </w:rPr>
      <w:t xml:space="preserve"> </w:t>
    </w:r>
  </w:p>
  <w:p w14:paraId="10248722" w14:textId="77777777" w:rsidR="005F3FCF" w:rsidRDefault="005F3FCF" w:rsidP="005068B5">
    <w:pPr>
      <w:spacing w:line="360" w:lineRule="auto"/>
      <w:ind w:right="360"/>
      <w:rPr>
        <w:rFonts w:asciiTheme="minorHAnsi" w:hAnsiTheme="minorHAnsi" w:cstheme="minorHAnsi"/>
        <w:color w:val="404040" w:themeColor="text1" w:themeTint="BF"/>
        <w:szCs w:val="20"/>
      </w:rPr>
    </w:pPr>
  </w:p>
  <w:p w14:paraId="6460E5E3" w14:textId="77777777" w:rsidR="005F3FCF" w:rsidRDefault="005F3FCF" w:rsidP="005068B5">
    <w:pPr>
      <w:spacing w:line="360" w:lineRule="auto"/>
      <w:ind w:right="360"/>
      <w:rPr>
        <w:rFonts w:asciiTheme="minorHAnsi" w:hAnsiTheme="minorHAnsi" w:cstheme="minorHAnsi"/>
        <w:b/>
        <w:color w:val="FF0000"/>
        <w:szCs w:val="20"/>
      </w:rPr>
    </w:pPr>
    <w:r>
      <w:rPr>
        <w:rFonts w:asciiTheme="minorHAnsi" w:hAnsiTheme="minorHAnsi" w:cstheme="minorHAnsi"/>
        <w:color w:val="404040" w:themeColor="text1" w:themeTint="BF"/>
        <w:szCs w:val="20"/>
      </w:rPr>
      <w:t xml:space="preserve">The City has also placed greater focus on improving nodes, significant intersections, and pedestrian infrastructure in target neighborhoods by rolling out projects detailed in the Westside Master Plan under HAND’s direction.  </w:t>
    </w:r>
  </w:p>
  <w:p w14:paraId="74601AB1" w14:textId="77777777" w:rsidR="005F3FCF" w:rsidRPr="00C83460" w:rsidRDefault="005F3FCF" w:rsidP="00B10F1E">
    <w:pPr>
      <w:spacing w:line="276" w:lineRule="auto"/>
      <w:ind w:right="360"/>
      <w:rPr>
        <w:rFonts w:asciiTheme="minorHAnsi" w:hAnsiTheme="minorHAnsi" w:cstheme="minorHAnsi"/>
        <w:i/>
        <w:color w:val="FF0000"/>
        <w:sz w:val="18"/>
        <w:szCs w:val="18"/>
      </w:rPr>
    </w:pPr>
    <w:r w:rsidRPr="00C83460">
      <w:rPr>
        <w:rFonts w:ascii="Arial" w:hAnsi="Arial" w:cs="Arial"/>
        <w:color w:val="FF0000"/>
        <w:sz w:val="22"/>
        <w:szCs w:val="22"/>
        <w:u w:val="single"/>
      </w:rPr>
      <w:br w:type="page"/>
    </w:r>
    <w:r w:rsidRPr="009629AD">
      <w:rPr>
        <w:rFonts w:asciiTheme="minorHAnsi" w:hAnsiTheme="minorHAnsi" w:cstheme="minorHAnsi"/>
        <w:b/>
        <w:color w:val="1F497D" w:themeColor="text2"/>
        <w:sz w:val="24"/>
      </w:rPr>
      <w:t>CR-</w:t>
    </w:r>
    <w:r>
      <w:rPr>
        <w:rFonts w:asciiTheme="minorHAnsi" w:hAnsiTheme="minorHAnsi" w:cstheme="minorHAnsi"/>
        <w:b/>
        <w:color w:val="1F497D" w:themeColor="text2"/>
        <w:sz w:val="24"/>
      </w:rPr>
      <w:t>10</w:t>
    </w:r>
    <w:r w:rsidRPr="009629AD">
      <w:rPr>
        <w:rFonts w:asciiTheme="minorHAnsi" w:hAnsiTheme="minorHAnsi" w:cstheme="minorHAnsi"/>
        <w:b/>
        <w:color w:val="1F497D" w:themeColor="text2"/>
        <w:sz w:val="24"/>
      </w:rPr>
      <w:t xml:space="preserve"> </w:t>
    </w:r>
    <w:r>
      <w:rPr>
        <w:rFonts w:asciiTheme="minorHAnsi" w:hAnsiTheme="minorHAnsi" w:cstheme="minorHAnsi"/>
        <w:b/>
        <w:color w:val="1F497D" w:themeColor="text2"/>
        <w:sz w:val="24"/>
      </w:rPr>
      <w:t xml:space="preserve">RACIAL AND ETHNIC COMPOSITION OF FAMILIES ASSISTED </w:t>
    </w:r>
    <w:r>
      <w:rPr>
        <w:rFonts w:asciiTheme="minorHAnsi" w:hAnsiTheme="minorHAnsi" w:cstheme="minorHAnsi"/>
        <w:i/>
        <w:color w:val="1F497D" w:themeColor="text2"/>
        <w:sz w:val="18"/>
        <w:szCs w:val="18"/>
      </w:rPr>
      <w:t>– 91.520(a)</w:t>
    </w:r>
  </w:p>
  <w:p w14:paraId="25ECE15A" w14:textId="77777777" w:rsidR="005F3FCF" w:rsidRDefault="005F3FCF" w:rsidP="00B10F1E">
    <w:pPr>
      <w:spacing w:line="276" w:lineRule="auto"/>
      <w:ind w:right="360"/>
      <w:rPr>
        <w:rFonts w:asciiTheme="minorHAnsi" w:hAnsiTheme="minorHAnsi" w:cstheme="minorHAnsi"/>
        <w:b/>
        <w:color w:val="FF0000"/>
        <w:szCs w:val="20"/>
      </w:rPr>
    </w:pPr>
  </w:p>
  <w:p w14:paraId="0B8E06A6" w14:textId="77777777" w:rsidR="005F3FCF" w:rsidRPr="006723EF" w:rsidRDefault="005F3FCF" w:rsidP="00B10F1E">
    <w:pPr>
      <w:spacing w:line="276" w:lineRule="auto"/>
      <w:ind w:right="360"/>
      <w:rPr>
        <w:rFonts w:asciiTheme="minorHAnsi" w:hAnsiTheme="minorHAnsi" w:cstheme="minorHAnsi"/>
        <w:i/>
        <w:color w:val="404040" w:themeColor="text1" w:themeTint="BF"/>
        <w:sz w:val="18"/>
        <w:szCs w:val="18"/>
      </w:rPr>
    </w:pPr>
    <w:r w:rsidRPr="006723EF">
      <w:rPr>
        <w:rFonts w:asciiTheme="minorHAnsi" w:hAnsiTheme="minorHAnsi" w:cstheme="minorHAnsi"/>
        <w:b/>
        <w:color w:val="404040" w:themeColor="text1" w:themeTint="BF"/>
        <w:szCs w:val="20"/>
      </w:rPr>
      <w:t xml:space="preserve">Describe the families assisted with grant funds </w:t>
    </w:r>
  </w:p>
  <w:p w14:paraId="62A1D6AF" w14:textId="77777777" w:rsidR="005F3FCF" w:rsidRPr="006723EF" w:rsidRDefault="005F3FCF" w:rsidP="00B10F1E">
    <w:pPr>
      <w:spacing w:line="276" w:lineRule="auto"/>
      <w:ind w:right="360"/>
      <w:rPr>
        <w:rFonts w:asciiTheme="minorHAnsi" w:hAnsiTheme="minorHAnsi" w:cstheme="minorHAnsi"/>
        <w:i/>
        <w:color w:val="404040" w:themeColor="text1" w:themeTint="BF"/>
        <w:sz w:val="18"/>
        <w:szCs w:val="18"/>
      </w:rPr>
    </w:pPr>
    <w:r w:rsidRPr="006723EF">
      <w:rPr>
        <w:rFonts w:asciiTheme="minorHAnsi" w:hAnsiTheme="minorHAnsi" w:cstheme="minorHAnsi"/>
        <w:i/>
        <w:color w:val="404040" w:themeColor="text1" w:themeTint="BF"/>
        <w:sz w:val="18"/>
        <w:szCs w:val="18"/>
      </w:rPr>
      <w:t>Include the racial and ethnic status of families assisted</w:t>
    </w:r>
  </w:p>
  <w:p w14:paraId="75B5E33E" w14:textId="77777777" w:rsidR="005F3FCF" w:rsidRDefault="005F3FCF" w:rsidP="00B10F1E">
    <w:pPr>
      <w:spacing w:line="276" w:lineRule="auto"/>
      <w:ind w:right="360"/>
      <w:rPr>
        <w:rFonts w:asciiTheme="minorHAnsi" w:hAnsiTheme="minorHAnsi" w:cstheme="minorHAnsi"/>
        <w:b/>
        <w:color w:val="FF0000"/>
        <w:szCs w:val="20"/>
      </w:rPr>
    </w:pPr>
  </w:p>
  <w:p w14:paraId="5DDBC266" w14:textId="77777777" w:rsidR="005F3FCF" w:rsidRPr="006723EF" w:rsidRDefault="005F3FCF" w:rsidP="00B10F1E">
    <w:pPr>
      <w:spacing w:line="276" w:lineRule="auto"/>
      <w:ind w:right="360"/>
      <w:rPr>
        <w:rFonts w:asciiTheme="minorHAnsi" w:hAnsiTheme="minorHAnsi" w:cstheme="minorHAnsi"/>
        <w:b/>
        <w:color w:val="404040" w:themeColor="text1" w:themeTint="BF"/>
        <w:szCs w:val="20"/>
      </w:rPr>
    </w:pPr>
    <w:r w:rsidRPr="006723EF">
      <w:rPr>
        <w:rFonts w:asciiTheme="minorHAnsi" w:hAnsiTheme="minorHAnsi" w:cstheme="minorHAnsi"/>
        <w:b/>
        <w:color w:val="404040" w:themeColor="text1" w:themeTint="BF"/>
        <w:szCs w:val="20"/>
      </w:rPr>
      <w:t xml:space="preserve">Table 2: Table of Assistance to Racial and Ethnic Populations by Source of Funds </w:t>
    </w:r>
  </w:p>
  <w:tbl>
    <w:tblPr>
      <w:tblW w:w="7760" w:type="dxa"/>
      <w:tblInd w:w="-5" w:type="dxa"/>
      <w:tblLook w:val="04A0" w:firstRow="1" w:lastRow="0" w:firstColumn="1" w:lastColumn="0" w:noHBand="0" w:noVBand="1"/>
    </w:tblPr>
    <w:tblGrid>
      <w:gridCol w:w="3760"/>
      <w:gridCol w:w="1000"/>
      <w:gridCol w:w="1000"/>
      <w:gridCol w:w="1000"/>
      <w:gridCol w:w="1000"/>
    </w:tblGrid>
    <w:tr w:rsidR="005F3FCF" w:rsidRPr="006723EF" w14:paraId="150CD4E1" w14:textId="77777777" w:rsidTr="005F3FCF">
      <w:trPr>
        <w:trHeight w:val="288"/>
      </w:trPr>
      <w:tc>
        <w:tcPr>
          <w:tcW w:w="37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52BDAD14" w14:textId="77777777" w:rsidR="005F3FCF" w:rsidRPr="00613A40" w:rsidRDefault="005F3FCF" w:rsidP="00816745">
          <w:pPr>
            <w:jc w:val="center"/>
            <w:rPr>
              <w:rFonts w:asciiTheme="minorHAnsi" w:eastAsia="Times New Roman" w:hAnsiTheme="minorHAnsi"/>
              <w:b/>
              <w:color w:val="404040" w:themeColor="text1" w:themeTint="BF"/>
              <w:szCs w:val="20"/>
            </w:rPr>
          </w:pPr>
          <w:r w:rsidRPr="00613A40">
            <w:rPr>
              <w:rFonts w:asciiTheme="minorHAnsi" w:eastAsia="Times New Roman" w:hAnsiTheme="minorHAnsi"/>
              <w:b/>
              <w:color w:val="404040" w:themeColor="text1" w:themeTint="BF"/>
              <w:szCs w:val="20"/>
            </w:rPr>
            <w:t> </w:t>
          </w:r>
          <w:r w:rsidRPr="006723EF">
            <w:rPr>
              <w:rFonts w:asciiTheme="minorHAnsi" w:eastAsia="Times New Roman" w:hAnsiTheme="minorHAnsi"/>
              <w:b/>
              <w:color w:val="404040" w:themeColor="text1" w:themeTint="BF"/>
              <w:szCs w:val="20"/>
            </w:rPr>
            <w:t>Race</w:t>
          </w:r>
        </w:p>
      </w:tc>
      <w:tc>
        <w:tcPr>
          <w:tcW w:w="1000"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51A5B2EE" w14:textId="77777777" w:rsidR="005F3FCF" w:rsidRPr="00613A40" w:rsidRDefault="005F3FCF" w:rsidP="00816745">
          <w:pPr>
            <w:jc w:val="center"/>
            <w:rPr>
              <w:rFonts w:asciiTheme="minorHAnsi" w:eastAsia="Times New Roman" w:hAnsiTheme="minorHAnsi"/>
              <w:b/>
              <w:color w:val="404040" w:themeColor="text1" w:themeTint="BF"/>
              <w:szCs w:val="20"/>
            </w:rPr>
          </w:pPr>
          <w:r w:rsidRPr="00613A40">
            <w:rPr>
              <w:rFonts w:asciiTheme="minorHAnsi" w:eastAsia="Times New Roman" w:hAnsiTheme="minorHAnsi"/>
              <w:b/>
              <w:color w:val="404040" w:themeColor="text1" w:themeTint="BF"/>
              <w:szCs w:val="20"/>
            </w:rPr>
            <w:t>CDBG</w:t>
          </w:r>
        </w:p>
      </w:tc>
      <w:tc>
        <w:tcPr>
          <w:tcW w:w="1000"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5CCE260E" w14:textId="77777777" w:rsidR="005F3FCF" w:rsidRPr="00613A40" w:rsidRDefault="005F3FCF" w:rsidP="00816745">
          <w:pPr>
            <w:jc w:val="center"/>
            <w:rPr>
              <w:rFonts w:asciiTheme="minorHAnsi" w:eastAsia="Times New Roman" w:hAnsiTheme="minorHAnsi"/>
              <w:b/>
              <w:color w:val="404040" w:themeColor="text1" w:themeTint="BF"/>
              <w:szCs w:val="20"/>
            </w:rPr>
          </w:pPr>
          <w:r w:rsidRPr="00613A40">
            <w:rPr>
              <w:rFonts w:asciiTheme="minorHAnsi" w:eastAsia="Times New Roman" w:hAnsiTheme="minorHAnsi"/>
              <w:b/>
              <w:color w:val="404040" w:themeColor="text1" w:themeTint="BF"/>
              <w:szCs w:val="20"/>
            </w:rPr>
            <w:t>HOME</w:t>
          </w:r>
        </w:p>
      </w:tc>
      <w:tc>
        <w:tcPr>
          <w:tcW w:w="1000"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6B96DFDE" w14:textId="77777777" w:rsidR="005F3FCF" w:rsidRPr="00613A40" w:rsidRDefault="005F3FCF" w:rsidP="00816745">
          <w:pPr>
            <w:jc w:val="center"/>
            <w:rPr>
              <w:rFonts w:asciiTheme="minorHAnsi" w:eastAsia="Times New Roman" w:hAnsiTheme="minorHAnsi"/>
              <w:b/>
              <w:color w:val="404040" w:themeColor="text1" w:themeTint="BF"/>
              <w:szCs w:val="20"/>
            </w:rPr>
          </w:pPr>
          <w:r w:rsidRPr="00613A40">
            <w:rPr>
              <w:rFonts w:asciiTheme="minorHAnsi" w:eastAsia="Times New Roman" w:hAnsiTheme="minorHAnsi"/>
              <w:b/>
              <w:color w:val="404040" w:themeColor="text1" w:themeTint="BF"/>
              <w:szCs w:val="20"/>
            </w:rPr>
            <w:t>HOPWA</w:t>
          </w:r>
        </w:p>
      </w:tc>
      <w:tc>
        <w:tcPr>
          <w:tcW w:w="1000"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1617405C" w14:textId="77777777" w:rsidR="005F3FCF" w:rsidRPr="00613A40" w:rsidRDefault="005F3FCF" w:rsidP="00816745">
          <w:pPr>
            <w:jc w:val="center"/>
            <w:rPr>
              <w:rFonts w:asciiTheme="minorHAnsi" w:eastAsia="Times New Roman" w:hAnsiTheme="minorHAnsi"/>
              <w:b/>
              <w:color w:val="404040" w:themeColor="text1" w:themeTint="BF"/>
              <w:szCs w:val="20"/>
            </w:rPr>
          </w:pPr>
          <w:r w:rsidRPr="00613A40">
            <w:rPr>
              <w:rFonts w:asciiTheme="minorHAnsi" w:eastAsia="Times New Roman" w:hAnsiTheme="minorHAnsi"/>
              <w:b/>
              <w:color w:val="404040" w:themeColor="text1" w:themeTint="BF"/>
              <w:szCs w:val="20"/>
            </w:rPr>
            <w:t>ESG</w:t>
          </w:r>
        </w:p>
      </w:tc>
    </w:tr>
    <w:tr w:rsidR="005F3FCF" w:rsidRPr="006723EF" w14:paraId="58FA8C22" w14:textId="77777777" w:rsidTr="005F3FCF">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284F6BD8" w14:textId="77777777" w:rsidR="005F3FCF" w:rsidRPr="00613A40" w:rsidRDefault="005F3FCF" w:rsidP="00816745">
          <w:pPr>
            <w:rPr>
              <w:rFonts w:asciiTheme="minorHAnsi" w:eastAsia="Times New Roman" w:hAnsiTheme="minorHAnsi"/>
              <w:color w:val="404040" w:themeColor="text1" w:themeTint="BF"/>
              <w:szCs w:val="20"/>
            </w:rPr>
          </w:pPr>
          <w:r w:rsidRPr="00613A40">
            <w:rPr>
              <w:rFonts w:asciiTheme="minorHAnsi" w:eastAsia="Times New Roman" w:hAnsiTheme="minorHAnsi"/>
              <w:color w:val="404040" w:themeColor="text1" w:themeTint="BF"/>
              <w:szCs w:val="20"/>
            </w:rPr>
            <w:t>White</w:t>
          </w:r>
        </w:p>
      </w:tc>
      <w:tc>
        <w:tcPr>
          <w:tcW w:w="1000" w:type="dxa"/>
          <w:tcBorders>
            <w:top w:val="nil"/>
            <w:left w:val="nil"/>
            <w:bottom w:val="single" w:sz="4" w:space="0" w:color="auto"/>
            <w:right w:val="single" w:sz="4" w:space="0" w:color="auto"/>
          </w:tcBorders>
          <w:shd w:val="clear" w:color="auto" w:fill="auto"/>
          <w:noWrap/>
          <w:vAlign w:val="bottom"/>
          <w:hideMark/>
        </w:tcPr>
        <w:p w14:paraId="09E9087A" w14:textId="77777777" w:rsidR="005F3FCF" w:rsidRPr="00613A40" w:rsidRDefault="005F3FCF" w:rsidP="00816745">
          <w:pPr>
            <w:jc w:val="center"/>
            <w:rPr>
              <w:rFonts w:asciiTheme="minorHAnsi" w:eastAsia="Times New Roman" w:hAnsiTheme="minorHAnsi"/>
              <w:color w:val="404040" w:themeColor="text1" w:themeTint="BF"/>
              <w:szCs w:val="20"/>
            </w:rPr>
          </w:pPr>
          <w:r>
            <w:rPr>
              <w:rFonts w:asciiTheme="minorHAnsi" w:eastAsia="Times New Roman" w:hAnsiTheme="minorHAnsi"/>
              <w:color w:val="404040" w:themeColor="text1" w:themeTint="BF"/>
              <w:szCs w:val="20"/>
            </w:rPr>
            <w:t>1,955</w:t>
          </w:r>
        </w:p>
      </w:tc>
      <w:tc>
        <w:tcPr>
          <w:tcW w:w="1000" w:type="dxa"/>
          <w:tcBorders>
            <w:top w:val="nil"/>
            <w:left w:val="nil"/>
            <w:bottom w:val="single" w:sz="4" w:space="0" w:color="auto"/>
            <w:right w:val="single" w:sz="4" w:space="0" w:color="auto"/>
          </w:tcBorders>
          <w:shd w:val="clear" w:color="auto" w:fill="auto"/>
          <w:noWrap/>
          <w:vAlign w:val="bottom"/>
          <w:hideMark/>
        </w:tcPr>
        <w:p w14:paraId="4BF6DCFA" w14:textId="77777777" w:rsidR="005F3FCF" w:rsidRPr="00613A40" w:rsidRDefault="005F3FCF" w:rsidP="00816745">
          <w:pPr>
            <w:jc w:val="center"/>
            <w:rPr>
              <w:rFonts w:asciiTheme="minorHAnsi" w:eastAsia="Times New Roman" w:hAnsiTheme="minorHAnsi"/>
              <w:color w:val="404040" w:themeColor="text1" w:themeTint="BF"/>
              <w:szCs w:val="20"/>
            </w:rPr>
          </w:pPr>
          <w:r>
            <w:rPr>
              <w:rFonts w:asciiTheme="minorHAnsi" w:eastAsia="Times New Roman" w:hAnsiTheme="minorHAnsi"/>
              <w:color w:val="404040" w:themeColor="text1" w:themeTint="BF"/>
              <w:szCs w:val="20"/>
            </w:rPr>
            <w:t>320</w:t>
          </w:r>
        </w:p>
      </w:tc>
      <w:tc>
        <w:tcPr>
          <w:tcW w:w="1000" w:type="dxa"/>
          <w:tcBorders>
            <w:top w:val="nil"/>
            <w:left w:val="nil"/>
            <w:bottom w:val="single" w:sz="4" w:space="0" w:color="auto"/>
            <w:right w:val="single" w:sz="4" w:space="0" w:color="auto"/>
          </w:tcBorders>
          <w:shd w:val="clear" w:color="auto" w:fill="auto"/>
          <w:noWrap/>
          <w:vAlign w:val="bottom"/>
          <w:hideMark/>
        </w:tcPr>
        <w:p w14:paraId="5888468C" w14:textId="77777777" w:rsidR="005F3FCF" w:rsidRPr="00C00622" w:rsidRDefault="005F3FCF" w:rsidP="00816745">
          <w:pPr>
            <w:jc w:val="center"/>
            <w:rPr>
              <w:rFonts w:asciiTheme="minorHAnsi" w:eastAsia="Times New Roman" w:hAnsiTheme="minorHAnsi"/>
              <w:color w:val="404040" w:themeColor="text1" w:themeTint="BF"/>
              <w:szCs w:val="20"/>
            </w:rPr>
          </w:pPr>
          <w:r w:rsidRPr="00C00622">
            <w:rPr>
              <w:rFonts w:asciiTheme="minorHAnsi" w:eastAsia="Times New Roman" w:hAnsiTheme="minorHAnsi"/>
              <w:color w:val="404040" w:themeColor="text1" w:themeTint="BF"/>
              <w:szCs w:val="20"/>
            </w:rPr>
            <w:t>80</w:t>
          </w:r>
        </w:p>
      </w:tc>
      <w:tc>
        <w:tcPr>
          <w:tcW w:w="1000" w:type="dxa"/>
          <w:tcBorders>
            <w:top w:val="nil"/>
            <w:left w:val="nil"/>
            <w:bottom w:val="single" w:sz="4" w:space="0" w:color="auto"/>
            <w:right w:val="single" w:sz="4" w:space="0" w:color="auto"/>
          </w:tcBorders>
          <w:shd w:val="clear" w:color="auto" w:fill="auto"/>
          <w:noWrap/>
          <w:vAlign w:val="bottom"/>
          <w:hideMark/>
        </w:tcPr>
        <w:p w14:paraId="7F075FFE" w14:textId="77777777" w:rsidR="005F3FCF" w:rsidRPr="004B2462" w:rsidRDefault="005F3FCF" w:rsidP="00816745">
          <w:pPr>
            <w:jc w:val="center"/>
            <w:rPr>
              <w:rFonts w:asciiTheme="minorHAnsi" w:eastAsia="Times New Roman" w:hAnsiTheme="minorHAnsi"/>
              <w:color w:val="404040" w:themeColor="text1" w:themeTint="BF"/>
              <w:szCs w:val="20"/>
              <w:highlight w:val="yellow"/>
            </w:rPr>
          </w:pPr>
          <w:r>
            <w:rPr>
              <w:rFonts w:ascii="Calibri" w:eastAsia="Times New Roman" w:hAnsi="Calibri"/>
              <w:color w:val="404040"/>
              <w:szCs w:val="20"/>
            </w:rPr>
            <w:t>412</w:t>
          </w:r>
        </w:p>
      </w:tc>
    </w:tr>
    <w:tr w:rsidR="005F3FCF" w:rsidRPr="006723EF" w14:paraId="74F542ED" w14:textId="77777777" w:rsidTr="005F3FCF">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1EDECDBE" w14:textId="77777777" w:rsidR="005F3FCF" w:rsidRPr="00613A40" w:rsidRDefault="005F3FCF" w:rsidP="00816745">
          <w:pPr>
            <w:rPr>
              <w:rFonts w:asciiTheme="minorHAnsi" w:eastAsia="Times New Roman" w:hAnsiTheme="minorHAnsi"/>
              <w:color w:val="404040" w:themeColor="text1" w:themeTint="BF"/>
              <w:szCs w:val="20"/>
            </w:rPr>
          </w:pPr>
          <w:r w:rsidRPr="00613A40">
            <w:rPr>
              <w:rFonts w:asciiTheme="minorHAnsi" w:eastAsia="Times New Roman" w:hAnsiTheme="minorHAnsi"/>
              <w:color w:val="404040" w:themeColor="text1" w:themeTint="BF"/>
              <w:szCs w:val="20"/>
            </w:rPr>
            <w:t>Black or African American</w:t>
          </w:r>
        </w:p>
      </w:tc>
      <w:tc>
        <w:tcPr>
          <w:tcW w:w="1000" w:type="dxa"/>
          <w:tcBorders>
            <w:top w:val="nil"/>
            <w:left w:val="nil"/>
            <w:bottom w:val="single" w:sz="4" w:space="0" w:color="auto"/>
            <w:right w:val="single" w:sz="4" w:space="0" w:color="auto"/>
          </w:tcBorders>
          <w:shd w:val="clear" w:color="auto" w:fill="auto"/>
          <w:noWrap/>
          <w:vAlign w:val="bottom"/>
          <w:hideMark/>
        </w:tcPr>
        <w:p w14:paraId="6487C03F" w14:textId="77777777" w:rsidR="005F3FCF" w:rsidRPr="00613A40" w:rsidRDefault="005F3FCF" w:rsidP="00816745">
          <w:pPr>
            <w:jc w:val="center"/>
            <w:rPr>
              <w:rFonts w:asciiTheme="minorHAnsi" w:eastAsia="Times New Roman" w:hAnsiTheme="minorHAnsi"/>
              <w:color w:val="404040" w:themeColor="text1" w:themeTint="BF"/>
              <w:szCs w:val="20"/>
            </w:rPr>
          </w:pPr>
          <w:r>
            <w:rPr>
              <w:rFonts w:asciiTheme="minorHAnsi" w:eastAsia="Times New Roman" w:hAnsiTheme="minorHAnsi"/>
              <w:color w:val="404040" w:themeColor="text1" w:themeTint="BF"/>
              <w:szCs w:val="20"/>
            </w:rPr>
            <w:t>204</w:t>
          </w:r>
        </w:p>
      </w:tc>
      <w:tc>
        <w:tcPr>
          <w:tcW w:w="1000" w:type="dxa"/>
          <w:tcBorders>
            <w:top w:val="nil"/>
            <w:left w:val="nil"/>
            <w:bottom w:val="single" w:sz="4" w:space="0" w:color="auto"/>
            <w:right w:val="single" w:sz="4" w:space="0" w:color="auto"/>
          </w:tcBorders>
          <w:shd w:val="clear" w:color="auto" w:fill="auto"/>
          <w:noWrap/>
          <w:vAlign w:val="bottom"/>
          <w:hideMark/>
        </w:tcPr>
        <w:p w14:paraId="46E72301" w14:textId="77777777" w:rsidR="005F3FCF" w:rsidRPr="00613A40" w:rsidRDefault="005F3FCF" w:rsidP="00816745">
          <w:pPr>
            <w:jc w:val="center"/>
            <w:rPr>
              <w:rFonts w:asciiTheme="minorHAnsi" w:eastAsia="Times New Roman" w:hAnsiTheme="minorHAnsi"/>
              <w:color w:val="404040" w:themeColor="text1" w:themeTint="BF"/>
              <w:szCs w:val="20"/>
            </w:rPr>
          </w:pPr>
          <w:r>
            <w:rPr>
              <w:rFonts w:asciiTheme="minorHAnsi" w:eastAsia="Times New Roman" w:hAnsiTheme="minorHAnsi"/>
              <w:color w:val="404040" w:themeColor="text1" w:themeTint="BF"/>
              <w:szCs w:val="20"/>
            </w:rPr>
            <w:t>37</w:t>
          </w:r>
        </w:p>
      </w:tc>
      <w:tc>
        <w:tcPr>
          <w:tcW w:w="1000" w:type="dxa"/>
          <w:tcBorders>
            <w:top w:val="nil"/>
            <w:left w:val="nil"/>
            <w:bottom w:val="single" w:sz="4" w:space="0" w:color="auto"/>
            <w:right w:val="single" w:sz="4" w:space="0" w:color="auto"/>
          </w:tcBorders>
          <w:shd w:val="clear" w:color="auto" w:fill="auto"/>
          <w:noWrap/>
          <w:vAlign w:val="bottom"/>
          <w:hideMark/>
        </w:tcPr>
        <w:p w14:paraId="2C36A958" w14:textId="77777777" w:rsidR="005F3FCF" w:rsidRPr="00C00622" w:rsidRDefault="005F3FCF" w:rsidP="00816745">
          <w:pPr>
            <w:jc w:val="center"/>
            <w:rPr>
              <w:rFonts w:asciiTheme="minorHAnsi" w:eastAsia="Times New Roman" w:hAnsiTheme="minorHAnsi"/>
              <w:color w:val="404040" w:themeColor="text1" w:themeTint="BF"/>
              <w:szCs w:val="20"/>
            </w:rPr>
          </w:pPr>
          <w:r w:rsidRPr="00C00622">
            <w:rPr>
              <w:rFonts w:asciiTheme="minorHAnsi" w:eastAsia="Times New Roman" w:hAnsiTheme="minorHAnsi"/>
              <w:color w:val="404040" w:themeColor="text1" w:themeTint="BF"/>
              <w:szCs w:val="20"/>
            </w:rPr>
            <w:t>28</w:t>
          </w:r>
        </w:p>
      </w:tc>
      <w:tc>
        <w:tcPr>
          <w:tcW w:w="1000" w:type="dxa"/>
          <w:tcBorders>
            <w:top w:val="nil"/>
            <w:left w:val="nil"/>
            <w:bottom w:val="single" w:sz="4" w:space="0" w:color="auto"/>
            <w:right w:val="single" w:sz="4" w:space="0" w:color="auto"/>
          </w:tcBorders>
          <w:shd w:val="clear" w:color="auto" w:fill="auto"/>
          <w:noWrap/>
          <w:vAlign w:val="bottom"/>
          <w:hideMark/>
        </w:tcPr>
        <w:p w14:paraId="480B4F7D" w14:textId="77777777" w:rsidR="005F3FCF" w:rsidRPr="004B2462" w:rsidRDefault="005F3FCF" w:rsidP="00816745">
          <w:pPr>
            <w:jc w:val="center"/>
            <w:rPr>
              <w:rFonts w:asciiTheme="minorHAnsi" w:eastAsia="Times New Roman" w:hAnsiTheme="minorHAnsi"/>
              <w:color w:val="404040" w:themeColor="text1" w:themeTint="BF"/>
              <w:szCs w:val="20"/>
              <w:highlight w:val="yellow"/>
            </w:rPr>
          </w:pPr>
          <w:r>
            <w:rPr>
              <w:rFonts w:ascii="Calibri" w:eastAsia="Times New Roman" w:hAnsi="Calibri"/>
              <w:color w:val="404040"/>
              <w:szCs w:val="20"/>
            </w:rPr>
            <w:t>81</w:t>
          </w:r>
        </w:p>
      </w:tc>
    </w:tr>
    <w:tr w:rsidR="005F3FCF" w:rsidRPr="006723EF" w14:paraId="35A9EB00" w14:textId="77777777" w:rsidTr="005F3FCF">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00157A1C" w14:textId="77777777" w:rsidR="005F3FCF" w:rsidRPr="00613A40" w:rsidRDefault="005F3FCF" w:rsidP="00816745">
          <w:pPr>
            <w:rPr>
              <w:rFonts w:asciiTheme="minorHAnsi" w:eastAsia="Times New Roman" w:hAnsiTheme="minorHAnsi"/>
              <w:color w:val="404040" w:themeColor="text1" w:themeTint="BF"/>
              <w:szCs w:val="20"/>
            </w:rPr>
          </w:pPr>
          <w:r w:rsidRPr="00613A40">
            <w:rPr>
              <w:rFonts w:asciiTheme="minorHAnsi" w:eastAsia="Times New Roman" w:hAnsiTheme="minorHAnsi"/>
              <w:color w:val="404040" w:themeColor="text1" w:themeTint="BF"/>
              <w:szCs w:val="20"/>
            </w:rPr>
            <w:t>Asian</w:t>
          </w:r>
        </w:p>
      </w:tc>
      <w:tc>
        <w:tcPr>
          <w:tcW w:w="1000" w:type="dxa"/>
          <w:tcBorders>
            <w:top w:val="nil"/>
            <w:left w:val="nil"/>
            <w:bottom w:val="single" w:sz="4" w:space="0" w:color="auto"/>
            <w:right w:val="single" w:sz="4" w:space="0" w:color="auto"/>
          </w:tcBorders>
          <w:shd w:val="clear" w:color="auto" w:fill="auto"/>
          <w:noWrap/>
          <w:vAlign w:val="bottom"/>
          <w:hideMark/>
        </w:tcPr>
        <w:p w14:paraId="52FA28F6" w14:textId="77777777" w:rsidR="005F3FCF" w:rsidRPr="00613A40" w:rsidRDefault="005F3FCF" w:rsidP="00816745">
          <w:pPr>
            <w:jc w:val="center"/>
            <w:rPr>
              <w:rFonts w:asciiTheme="minorHAnsi" w:eastAsia="Times New Roman" w:hAnsiTheme="minorHAnsi"/>
              <w:color w:val="404040" w:themeColor="text1" w:themeTint="BF"/>
              <w:szCs w:val="20"/>
            </w:rPr>
          </w:pPr>
          <w:r>
            <w:rPr>
              <w:rFonts w:asciiTheme="minorHAnsi" w:eastAsia="Times New Roman" w:hAnsiTheme="minorHAnsi"/>
              <w:color w:val="404040" w:themeColor="text1" w:themeTint="BF"/>
              <w:szCs w:val="20"/>
            </w:rPr>
            <w:t>40</w:t>
          </w:r>
        </w:p>
      </w:tc>
      <w:tc>
        <w:tcPr>
          <w:tcW w:w="1000" w:type="dxa"/>
          <w:tcBorders>
            <w:top w:val="nil"/>
            <w:left w:val="nil"/>
            <w:bottom w:val="single" w:sz="4" w:space="0" w:color="auto"/>
            <w:right w:val="single" w:sz="4" w:space="0" w:color="auto"/>
          </w:tcBorders>
          <w:shd w:val="clear" w:color="auto" w:fill="auto"/>
          <w:noWrap/>
          <w:vAlign w:val="bottom"/>
          <w:hideMark/>
        </w:tcPr>
        <w:p w14:paraId="62024653" w14:textId="77777777" w:rsidR="005F3FCF" w:rsidRPr="00613A40" w:rsidRDefault="005F3FCF" w:rsidP="00816745">
          <w:pPr>
            <w:jc w:val="center"/>
            <w:rPr>
              <w:rFonts w:asciiTheme="minorHAnsi" w:eastAsia="Times New Roman" w:hAnsiTheme="minorHAnsi"/>
              <w:color w:val="404040" w:themeColor="text1" w:themeTint="BF"/>
              <w:szCs w:val="20"/>
            </w:rPr>
          </w:pPr>
          <w:r>
            <w:rPr>
              <w:rFonts w:asciiTheme="minorHAnsi" w:eastAsia="Times New Roman" w:hAnsiTheme="minorHAnsi"/>
              <w:color w:val="404040" w:themeColor="text1" w:themeTint="BF"/>
              <w:szCs w:val="20"/>
            </w:rPr>
            <w:t>7</w:t>
          </w:r>
        </w:p>
      </w:tc>
      <w:tc>
        <w:tcPr>
          <w:tcW w:w="1000" w:type="dxa"/>
          <w:tcBorders>
            <w:top w:val="nil"/>
            <w:left w:val="nil"/>
            <w:bottom w:val="single" w:sz="4" w:space="0" w:color="auto"/>
            <w:right w:val="single" w:sz="4" w:space="0" w:color="auto"/>
          </w:tcBorders>
          <w:shd w:val="clear" w:color="auto" w:fill="auto"/>
          <w:noWrap/>
          <w:vAlign w:val="bottom"/>
          <w:hideMark/>
        </w:tcPr>
        <w:p w14:paraId="0C50C748" w14:textId="77777777" w:rsidR="005F3FCF" w:rsidRPr="00C00622" w:rsidRDefault="005F3FCF" w:rsidP="00816745">
          <w:pPr>
            <w:jc w:val="center"/>
            <w:rPr>
              <w:rFonts w:asciiTheme="minorHAnsi" w:eastAsia="Times New Roman" w:hAnsiTheme="minorHAnsi"/>
              <w:color w:val="404040" w:themeColor="text1" w:themeTint="BF"/>
              <w:szCs w:val="20"/>
            </w:rPr>
          </w:pPr>
          <w:r w:rsidRPr="00C00622">
            <w:rPr>
              <w:rFonts w:asciiTheme="minorHAnsi" w:eastAsia="Times New Roman" w:hAnsiTheme="minorHAnsi"/>
              <w:color w:val="404040" w:themeColor="text1" w:themeTint="BF"/>
              <w:szCs w:val="20"/>
            </w:rPr>
            <w:t>7</w:t>
          </w:r>
        </w:p>
      </w:tc>
      <w:tc>
        <w:tcPr>
          <w:tcW w:w="1000" w:type="dxa"/>
          <w:tcBorders>
            <w:top w:val="nil"/>
            <w:left w:val="nil"/>
            <w:bottom w:val="single" w:sz="4" w:space="0" w:color="auto"/>
            <w:right w:val="single" w:sz="4" w:space="0" w:color="auto"/>
          </w:tcBorders>
          <w:shd w:val="clear" w:color="auto" w:fill="auto"/>
          <w:noWrap/>
          <w:vAlign w:val="bottom"/>
          <w:hideMark/>
        </w:tcPr>
        <w:p w14:paraId="11F9C291" w14:textId="77777777" w:rsidR="005F3FCF" w:rsidRPr="004B2462" w:rsidRDefault="005F3FCF" w:rsidP="00816745">
          <w:pPr>
            <w:jc w:val="center"/>
            <w:rPr>
              <w:rFonts w:asciiTheme="minorHAnsi" w:eastAsia="Times New Roman" w:hAnsiTheme="minorHAnsi"/>
              <w:color w:val="404040" w:themeColor="text1" w:themeTint="BF"/>
              <w:szCs w:val="20"/>
              <w:highlight w:val="yellow"/>
            </w:rPr>
          </w:pPr>
          <w:r>
            <w:rPr>
              <w:rFonts w:ascii="Calibri" w:eastAsia="Times New Roman" w:hAnsi="Calibri"/>
              <w:color w:val="404040"/>
              <w:szCs w:val="20"/>
            </w:rPr>
            <w:t>13</w:t>
          </w:r>
        </w:p>
      </w:tc>
    </w:tr>
    <w:tr w:rsidR="005F3FCF" w:rsidRPr="006723EF" w14:paraId="6B61E9EC" w14:textId="77777777" w:rsidTr="005F3FCF">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52A92CED" w14:textId="77777777" w:rsidR="005F3FCF" w:rsidRPr="00613A40" w:rsidRDefault="005F3FCF" w:rsidP="00816745">
          <w:pPr>
            <w:rPr>
              <w:rFonts w:asciiTheme="minorHAnsi" w:eastAsia="Times New Roman" w:hAnsiTheme="minorHAnsi"/>
              <w:color w:val="404040" w:themeColor="text1" w:themeTint="BF"/>
              <w:szCs w:val="20"/>
            </w:rPr>
          </w:pPr>
          <w:r w:rsidRPr="00613A40">
            <w:rPr>
              <w:rFonts w:asciiTheme="minorHAnsi" w:eastAsia="Times New Roman" w:hAnsiTheme="minorHAnsi"/>
              <w:color w:val="404040" w:themeColor="text1" w:themeTint="BF"/>
              <w:szCs w:val="20"/>
            </w:rPr>
            <w:t>American Indian or American Native</w:t>
          </w:r>
        </w:p>
      </w:tc>
      <w:tc>
        <w:tcPr>
          <w:tcW w:w="1000" w:type="dxa"/>
          <w:tcBorders>
            <w:top w:val="nil"/>
            <w:left w:val="nil"/>
            <w:bottom w:val="single" w:sz="4" w:space="0" w:color="auto"/>
            <w:right w:val="single" w:sz="4" w:space="0" w:color="auto"/>
          </w:tcBorders>
          <w:shd w:val="clear" w:color="auto" w:fill="auto"/>
          <w:noWrap/>
          <w:vAlign w:val="bottom"/>
          <w:hideMark/>
        </w:tcPr>
        <w:p w14:paraId="3F2D5657" w14:textId="77777777" w:rsidR="005F3FCF" w:rsidRPr="00613A40" w:rsidRDefault="005F3FCF" w:rsidP="00816745">
          <w:pPr>
            <w:jc w:val="center"/>
            <w:rPr>
              <w:rFonts w:asciiTheme="minorHAnsi" w:eastAsia="Times New Roman" w:hAnsiTheme="minorHAnsi"/>
              <w:color w:val="404040" w:themeColor="text1" w:themeTint="BF"/>
              <w:szCs w:val="20"/>
            </w:rPr>
          </w:pPr>
          <w:r>
            <w:rPr>
              <w:rFonts w:asciiTheme="minorHAnsi" w:eastAsia="Times New Roman" w:hAnsiTheme="minorHAnsi"/>
              <w:color w:val="404040" w:themeColor="text1" w:themeTint="BF"/>
              <w:szCs w:val="20"/>
            </w:rPr>
            <w:t>102</w:t>
          </w:r>
        </w:p>
      </w:tc>
      <w:tc>
        <w:tcPr>
          <w:tcW w:w="1000" w:type="dxa"/>
          <w:tcBorders>
            <w:top w:val="nil"/>
            <w:left w:val="nil"/>
            <w:bottom w:val="single" w:sz="4" w:space="0" w:color="auto"/>
            <w:right w:val="single" w:sz="4" w:space="0" w:color="auto"/>
          </w:tcBorders>
          <w:shd w:val="clear" w:color="auto" w:fill="auto"/>
          <w:noWrap/>
          <w:vAlign w:val="bottom"/>
          <w:hideMark/>
        </w:tcPr>
        <w:p w14:paraId="49562411" w14:textId="77777777" w:rsidR="005F3FCF" w:rsidRPr="00613A40" w:rsidRDefault="005F3FCF" w:rsidP="00816745">
          <w:pPr>
            <w:jc w:val="center"/>
            <w:rPr>
              <w:rFonts w:asciiTheme="minorHAnsi" w:eastAsia="Times New Roman" w:hAnsiTheme="minorHAnsi"/>
              <w:color w:val="404040" w:themeColor="text1" w:themeTint="BF"/>
              <w:szCs w:val="20"/>
            </w:rPr>
          </w:pPr>
          <w:r>
            <w:rPr>
              <w:rFonts w:asciiTheme="minorHAnsi" w:eastAsia="Times New Roman" w:hAnsiTheme="minorHAnsi"/>
              <w:color w:val="404040" w:themeColor="text1" w:themeTint="BF"/>
              <w:szCs w:val="20"/>
            </w:rPr>
            <w:t>21</w:t>
          </w:r>
        </w:p>
      </w:tc>
      <w:tc>
        <w:tcPr>
          <w:tcW w:w="1000" w:type="dxa"/>
          <w:tcBorders>
            <w:top w:val="nil"/>
            <w:left w:val="nil"/>
            <w:bottom w:val="single" w:sz="4" w:space="0" w:color="auto"/>
            <w:right w:val="single" w:sz="4" w:space="0" w:color="auto"/>
          </w:tcBorders>
          <w:shd w:val="clear" w:color="auto" w:fill="auto"/>
          <w:noWrap/>
          <w:vAlign w:val="bottom"/>
          <w:hideMark/>
        </w:tcPr>
        <w:p w14:paraId="08B27F90" w14:textId="77777777" w:rsidR="005F3FCF" w:rsidRPr="00C00622" w:rsidRDefault="005F3FCF" w:rsidP="00816745">
          <w:pPr>
            <w:jc w:val="center"/>
            <w:rPr>
              <w:rFonts w:asciiTheme="minorHAnsi" w:eastAsia="Times New Roman" w:hAnsiTheme="minorHAnsi"/>
              <w:color w:val="404040" w:themeColor="text1" w:themeTint="BF"/>
              <w:szCs w:val="20"/>
            </w:rPr>
          </w:pPr>
          <w:r w:rsidRPr="00C00622">
            <w:rPr>
              <w:rFonts w:asciiTheme="minorHAnsi" w:eastAsia="Times New Roman" w:hAnsiTheme="minorHAnsi"/>
              <w:color w:val="404040" w:themeColor="text1" w:themeTint="BF"/>
              <w:szCs w:val="20"/>
            </w:rPr>
            <w:t>2</w:t>
          </w:r>
        </w:p>
      </w:tc>
      <w:tc>
        <w:tcPr>
          <w:tcW w:w="1000" w:type="dxa"/>
          <w:tcBorders>
            <w:top w:val="nil"/>
            <w:left w:val="nil"/>
            <w:bottom w:val="single" w:sz="4" w:space="0" w:color="auto"/>
            <w:right w:val="single" w:sz="4" w:space="0" w:color="auto"/>
          </w:tcBorders>
          <w:shd w:val="clear" w:color="auto" w:fill="auto"/>
          <w:noWrap/>
          <w:vAlign w:val="bottom"/>
          <w:hideMark/>
        </w:tcPr>
        <w:p w14:paraId="42D4738E" w14:textId="77777777" w:rsidR="005F3FCF" w:rsidRPr="004B2462" w:rsidRDefault="005F3FCF" w:rsidP="00816745">
          <w:pPr>
            <w:jc w:val="center"/>
            <w:rPr>
              <w:rFonts w:asciiTheme="minorHAnsi" w:eastAsia="Times New Roman" w:hAnsiTheme="minorHAnsi"/>
              <w:color w:val="404040" w:themeColor="text1" w:themeTint="BF"/>
              <w:szCs w:val="20"/>
              <w:highlight w:val="yellow"/>
            </w:rPr>
          </w:pPr>
          <w:r>
            <w:rPr>
              <w:rFonts w:ascii="Calibri" w:eastAsia="Times New Roman" w:hAnsi="Calibri"/>
              <w:color w:val="404040"/>
              <w:szCs w:val="20"/>
            </w:rPr>
            <w:t>46</w:t>
          </w:r>
        </w:p>
      </w:tc>
    </w:tr>
    <w:tr w:rsidR="005F3FCF" w:rsidRPr="006723EF" w14:paraId="7CBCFCB7" w14:textId="77777777" w:rsidTr="005F3FCF">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2657ECAF" w14:textId="77777777" w:rsidR="005F3FCF" w:rsidRPr="00613A40" w:rsidRDefault="005F3FCF" w:rsidP="00816745">
          <w:pPr>
            <w:rPr>
              <w:rFonts w:asciiTheme="minorHAnsi" w:eastAsia="Times New Roman" w:hAnsiTheme="minorHAnsi"/>
              <w:color w:val="404040" w:themeColor="text1" w:themeTint="BF"/>
              <w:szCs w:val="20"/>
            </w:rPr>
          </w:pPr>
          <w:r w:rsidRPr="00613A40">
            <w:rPr>
              <w:rFonts w:asciiTheme="minorHAnsi" w:eastAsia="Times New Roman" w:hAnsiTheme="minorHAnsi"/>
              <w:color w:val="404040" w:themeColor="text1" w:themeTint="BF"/>
              <w:szCs w:val="20"/>
            </w:rPr>
            <w:t>Native Hawaiian or Other Pacific Islander</w:t>
          </w:r>
        </w:p>
      </w:tc>
      <w:tc>
        <w:tcPr>
          <w:tcW w:w="1000" w:type="dxa"/>
          <w:tcBorders>
            <w:top w:val="nil"/>
            <w:left w:val="nil"/>
            <w:bottom w:val="single" w:sz="4" w:space="0" w:color="auto"/>
            <w:right w:val="single" w:sz="4" w:space="0" w:color="auto"/>
          </w:tcBorders>
          <w:shd w:val="clear" w:color="auto" w:fill="auto"/>
          <w:noWrap/>
          <w:vAlign w:val="bottom"/>
          <w:hideMark/>
        </w:tcPr>
        <w:p w14:paraId="161FC96C" w14:textId="77777777" w:rsidR="005F3FCF" w:rsidRPr="00613A40" w:rsidRDefault="005F3FCF" w:rsidP="00816745">
          <w:pPr>
            <w:jc w:val="center"/>
            <w:rPr>
              <w:rFonts w:asciiTheme="minorHAnsi" w:eastAsia="Times New Roman" w:hAnsiTheme="minorHAnsi"/>
              <w:color w:val="404040" w:themeColor="text1" w:themeTint="BF"/>
              <w:szCs w:val="20"/>
            </w:rPr>
          </w:pPr>
          <w:r>
            <w:rPr>
              <w:rFonts w:asciiTheme="minorHAnsi" w:eastAsia="Times New Roman" w:hAnsiTheme="minorHAnsi"/>
              <w:color w:val="404040" w:themeColor="text1" w:themeTint="BF"/>
              <w:szCs w:val="20"/>
            </w:rPr>
            <w:t>67</w:t>
          </w:r>
        </w:p>
      </w:tc>
      <w:tc>
        <w:tcPr>
          <w:tcW w:w="1000" w:type="dxa"/>
          <w:tcBorders>
            <w:top w:val="nil"/>
            <w:left w:val="nil"/>
            <w:bottom w:val="single" w:sz="4" w:space="0" w:color="auto"/>
            <w:right w:val="single" w:sz="4" w:space="0" w:color="auto"/>
          </w:tcBorders>
          <w:shd w:val="clear" w:color="auto" w:fill="auto"/>
          <w:noWrap/>
          <w:vAlign w:val="bottom"/>
          <w:hideMark/>
        </w:tcPr>
        <w:p w14:paraId="5C7EF186" w14:textId="77777777" w:rsidR="005F3FCF" w:rsidRPr="00613A40" w:rsidRDefault="005F3FCF" w:rsidP="00816745">
          <w:pPr>
            <w:jc w:val="center"/>
            <w:rPr>
              <w:rFonts w:asciiTheme="minorHAnsi" w:eastAsia="Times New Roman" w:hAnsiTheme="minorHAnsi"/>
              <w:color w:val="404040" w:themeColor="text1" w:themeTint="BF"/>
              <w:szCs w:val="20"/>
            </w:rPr>
          </w:pPr>
          <w:r>
            <w:rPr>
              <w:rFonts w:asciiTheme="minorHAnsi" w:eastAsia="Times New Roman" w:hAnsiTheme="minorHAnsi"/>
              <w:color w:val="404040" w:themeColor="text1" w:themeTint="BF"/>
              <w:szCs w:val="20"/>
            </w:rPr>
            <w:t>25</w:t>
          </w:r>
        </w:p>
      </w:tc>
      <w:tc>
        <w:tcPr>
          <w:tcW w:w="1000" w:type="dxa"/>
          <w:tcBorders>
            <w:top w:val="nil"/>
            <w:left w:val="nil"/>
            <w:bottom w:val="single" w:sz="4" w:space="0" w:color="auto"/>
            <w:right w:val="single" w:sz="4" w:space="0" w:color="auto"/>
          </w:tcBorders>
          <w:shd w:val="clear" w:color="auto" w:fill="auto"/>
          <w:noWrap/>
          <w:vAlign w:val="bottom"/>
          <w:hideMark/>
        </w:tcPr>
        <w:p w14:paraId="0D0491DA" w14:textId="77777777" w:rsidR="005F3FCF" w:rsidRPr="00C00622" w:rsidRDefault="005F3FCF" w:rsidP="00816745">
          <w:pPr>
            <w:jc w:val="center"/>
            <w:rPr>
              <w:rFonts w:asciiTheme="minorHAnsi" w:eastAsia="Times New Roman" w:hAnsiTheme="minorHAnsi"/>
              <w:color w:val="404040" w:themeColor="text1" w:themeTint="BF"/>
              <w:szCs w:val="20"/>
            </w:rPr>
          </w:pPr>
          <w:r w:rsidRPr="00C00622">
            <w:rPr>
              <w:rFonts w:asciiTheme="minorHAnsi" w:eastAsia="Times New Roman" w:hAnsiTheme="minorHAnsi"/>
              <w:color w:val="404040" w:themeColor="text1" w:themeTint="BF"/>
              <w:szCs w:val="20"/>
            </w:rPr>
            <w:t>0</w:t>
          </w:r>
        </w:p>
      </w:tc>
      <w:tc>
        <w:tcPr>
          <w:tcW w:w="1000" w:type="dxa"/>
          <w:tcBorders>
            <w:top w:val="nil"/>
            <w:left w:val="nil"/>
            <w:bottom w:val="single" w:sz="4" w:space="0" w:color="auto"/>
            <w:right w:val="single" w:sz="4" w:space="0" w:color="auto"/>
          </w:tcBorders>
          <w:shd w:val="clear" w:color="auto" w:fill="auto"/>
          <w:noWrap/>
          <w:vAlign w:val="bottom"/>
          <w:hideMark/>
        </w:tcPr>
        <w:p w14:paraId="035C0874" w14:textId="77777777" w:rsidR="005F3FCF" w:rsidRPr="004B2462" w:rsidRDefault="005F3FCF" w:rsidP="00816745">
          <w:pPr>
            <w:jc w:val="center"/>
            <w:rPr>
              <w:rFonts w:asciiTheme="minorHAnsi" w:eastAsia="Times New Roman" w:hAnsiTheme="minorHAnsi"/>
              <w:color w:val="404040" w:themeColor="text1" w:themeTint="BF"/>
              <w:szCs w:val="20"/>
              <w:highlight w:val="yellow"/>
            </w:rPr>
          </w:pPr>
          <w:r>
            <w:rPr>
              <w:rFonts w:ascii="Calibri" w:eastAsia="Times New Roman" w:hAnsi="Calibri"/>
              <w:color w:val="404040"/>
              <w:szCs w:val="20"/>
            </w:rPr>
            <w:t>11</w:t>
          </w:r>
        </w:p>
      </w:tc>
    </w:tr>
    <w:tr w:rsidR="005F3FCF" w:rsidRPr="006723EF" w14:paraId="4D4993A7" w14:textId="77777777" w:rsidTr="005F3FCF">
      <w:trPr>
        <w:trHeight w:val="288"/>
      </w:trPr>
      <w:tc>
        <w:tcPr>
          <w:tcW w:w="3760" w:type="dxa"/>
          <w:tcBorders>
            <w:top w:val="nil"/>
            <w:left w:val="single" w:sz="4" w:space="0" w:color="auto"/>
            <w:bottom w:val="single" w:sz="4" w:space="0" w:color="auto"/>
            <w:right w:val="single" w:sz="4" w:space="0" w:color="auto"/>
          </w:tcBorders>
          <w:shd w:val="clear" w:color="000000" w:fill="D9D9D9"/>
          <w:noWrap/>
          <w:vAlign w:val="bottom"/>
          <w:hideMark/>
        </w:tcPr>
        <w:p w14:paraId="7937E99E" w14:textId="77777777" w:rsidR="005F3FCF" w:rsidRPr="00613A40" w:rsidRDefault="005F3FCF" w:rsidP="00816745">
          <w:pPr>
            <w:rPr>
              <w:rFonts w:asciiTheme="minorHAnsi" w:eastAsia="Times New Roman" w:hAnsiTheme="minorHAnsi"/>
              <w:b/>
              <w:bCs/>
              <w:color w:val="404040" w:themeColor="text1" w:themeTint="BF"/>
              <w:szCs w:val="20"/>
            </w:rPr>
          </w:pPr>
          <w:r w:rsidRPr="00613A40">
            <w:rPr>
              <w:rFonts w:asciiTheme="minorHAnsi" w:eastAsia="Times New Roman" w:hAnsiTheme="minorHAnsi"/>
              <w:b/>
              <w:bCs/>
              <w:color w:val="404040" w:themeColor="text1" w:themeTint="BF"/>
              <w:szCs w:val="20"/>
            </w:rPr>
            <w:t>Total</w:t>
          </w:r>
        </w:p>
      </w:tc>
      <w:tc>
        <w:tcPr>
          <w:tcW w:w="1000" w:type="dxa"/>
          <w:tcBorders>
            <w:top w:val="nil"/>
            <w:left w:val="nil"/>
            <w:bottom w:val="single" w:sz="4" w:space="0" w:color="auto"/>
            <w:right w:val="single" w:sz="4" w:space="0" w:color="auto"/>
          </w:tcBorders>
          <w:shd w:val="clear" w:color="000000" w:fill="D9D9D9"/>
          <w:noWrap/>
          <w:vAlign w:val="bottom"/>
          <w:hideMark/>
        </w:tcPr>
        <w:p w14:paraId="710A5D63" w14:textId="77777777" w:rsidR="005F3FCF" w:rsidRPr="00613A40" w:rsidRDefault="005F3FCF" w:rsidP="00816745">
          <w:pPr>
            <w:jc w:val="center"/>
            <w:rPr>
              <w:rFonts w:asciiTheme="minorHAnsi" w:eastAsia="Times New Roman" w:hAnsiTheme="minorHAnsi"/>
              <w:b/>
              <w:bCs/>
              <w:color w:val="404040" w:themeColor="text1" w:themeTint="BF"/>
              <w:szCs w:val="20"/>
            </w:rPr>
          </w:pPr>
          <w:r>
            <w:rPr>
              <w:rFonts w:asciiTheme="minorHAnsi" w:eastAsia="Times New Roman" w:hAnsiTheme="minorHAnsi"/>
              <w:b/>
              <w:bCs/>
              <w:color w:val="404040" w:themeColor="text1" w:themeTint="BF"/>
              <w:szCs w:val="20"/>
            </w:rPr>
            <w:t>2,368</w:t>
          </w:r>
        </w:p>
      </w:tc>
      <w:tc>
        <w:tcPr>
          <w:tcW w:w="1000" w:type="dxa"/>
          <w:tcBorders>
            <w:top w:val="nil"/>
            <w:left w:val="nil"/>
            <w:bottom w:val="single" w:sz="4" w:space="0" w:color="auto"/>
            <w:right w:val="single" w:sz="4" w:space="0" w:color="auto"/>
          </w:tcBorders>
          <w:shd w:val="clear" w:color="000000" w:fill="D9D9D9"/>
          <w:noWrap/>
          <w:vAlign w:val="bottom"/>
          <w:hideMark/>
        </w:tcPr>
        <w:p w14:paraId="35AD9D12" w14:textId="77777777" w:rsidR="005F3FCF" w:rsidRPr="00613A40" w:rsidRDefault="005F3FCF" w:rsidP="00816745">
          <w:pPr>
            <w:jc w:val="center"/>
            <w:rPr>
              <w:rFonts w:asciiTheme="minorHAnsi" w:eastAsia="Times New Roman" w:hAnsiTheme="minorHAnsi"/>
              <w:b/>
              <w:bCs/>
              <w:color w:val="404040" w:themeColor="text1" w:themeTint="BF"/>
              <w:szCs w:val="20"/>
            </w:rPr>
          </w:pPr>
          <w:r>
            <w:rPr>
              <w:rFonts w:asciiTheme="minorHAnsi" w:eastAsia="Times New Roman" w:hAnsiTheme="minorHAnsi"/>
              <w:b/>
              <w:bCs/>
              <w:color w:val="404040" w:themeColor="text1" w:themeTint="BF"/>
              <w:szCs w:val="20"/>
            </w:rPr>
            <w:t>410</w:t>
          </w:r>
        </w:p>
      </w:tc>
      <w:tc>
        <w:tcPr>
          <w:tcW w:w="1000" w:type="dxa"/>
          <w:tcBorders>
            <w:top w:val="nil"/>
            <w:left w:val="nil"/>
            <w:bottom w:val="single" w:sz="4" w:space="0" w:color="auto"/>
            <w:right w:val="single" w:sz="4" w:space="0" w:color="auto"/>
          </w:tcBorders>
          <w:shd w:val="clear" w:color="000000" w:fill="D9D9D9"/>
          <w:noWrap/>
          <w:vAlign w:val="bottom"/>
          <w:hideMark/>
        </w:tcPr>
        <w:p w14:paraId="606F89FD" w14:textId="77777777" w:rsidR="005F3FCF" w:rsidRPr="00C00622" w:rsidRDefault="005F3FCF" w:rsidP="00816745">
          <w:pPr>
            <w:jc w:val="center"/>
            <w:rPr>
              <w:rFonts w:asciiTheme="minorHAnsi" w:eastAsia="Times New Roman" w:hAnsiTheme="minorHAnsi"/>
              <w:b/>
              <w:bCs/>
              <w:color w:val="404040" w:themeColor="text1" w:themeTint="BF"/>
              <w:szCs w:val="20"/>
            </w:rPr>
          </w:pPr>
          <w:r w:rsidRPr="00C00622">
            <w:rPr>
              <w:rFonts w:asciiTheme="minorHAnsi" w:eastAsia="Times New Roman" w:hAnsiTheme="minorHAnsi"/>
              <w:b/>
              <w:bCs/>
              <w:color w:val="404040" w:themeColor="text1" w:themeTint="BF"/>
              <w:szCs w:val="20"/>
            </w:rPr>
            <w:t>117</w:t>
          </w:r>
        </w:p>
      </w:tc>
      <w:tc>
        <w:tcPr>
          <w:tcW w:w="1000" w:type="dxa"/>
          <w:tcBorders>
            <w:top w:val="nil"/>
            <w:left w:val="nil"/>
            <w:bottom w:val="single" w:sz="4" w:space="0" w:color="auto"/>
            <w:right w:val="single" w:sz="4" w:space="0" w:color="auto"/>
          </w:tcBorders>
          <w:shd w:val="clear" w:color="000000" w:fill="D9D9D9"/>
          <w:noWrap/>
          <w:vAlign w:val="bottom"/>
          <w:hideMark/>
        </w:tcPr>
        <w:p w14:paraId="320D8F92" w14:textId="77777777" w:rsidR="005F3FCF" w:rsidRPr="001A4989" w:rsidRDefault="005F3FCF" w:rsidP="00816745">
          <w:pPr>
            <w:jc w:val="center"/>
            <w:rPr>
              <w:rFonts w:asciiTheme="minorHAnsi" w:eastAsia="Times New Roman" w:hAnsiTheme="minorHAnsi"/>
              <w:b/>
              <w:bCs/>
              <w:color w:val="404040" w:themeColor="text1" w:themeTint="BF"/>
              <w:szCs w:val="20"/>
            </w:rPr>
          </w:pPr>
          <w:r>
            <w:rPr>
              <w:rFonts w:asciiTheme="minorHAnsi" w:eastAsia="Times New Roman" w:hAnsiTheme="minorHAnsi"/>
              <w:b/>
              <w:bCs/>
              <w:color w:val="404040" w:themeColor="text1" w:themeTint="BF"/>
              <w:szCs w:val="20"/>
            </w:rPr>
            <w:t>563</w:t>
          </w:r>
        </w:p>
      </w:tc>
    </w:tr>
    <w:tr w:rsidR="005F3FCF" w:rsidRPr="006723EF" w14:paraId="70D21D28" w14:textId="77777777" w:rsidTr="005F3FCF">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1AB24FAD" w14:textId="77777777" w:rsidR="005F3FCF" w:rsidRPr="00613A40" w:rsidRDefault="005F3FCF" w:rsidP="00816745">
          <w:pPr>
            <w:rPr>
              <w:rFonts w:asciiTheme="minorHAnsi" w:eastAsia="Times New Roman" w:hAnsiTheme="minorHAnsi"/>
              <w:color w:val="404040" w:themeColor="text1" w:themeTint="BF"/>
              <w:szCs w:val="20"/>
            </w:rPr>
          </w:pPr>
          <w:r w:rsidRPr="00613A40">
            <w:rPr>
              <w:rFonts w:asciiTheme="minorHAnsi" w:eastAsia="Times New Roman" w:hAnsiTheme="minorHAnsi"/>
              <w:color w:val="404040" w:themeColor="text1" w:themeTint="BF"/>
              <w:szCs w:val="20"/>
            </w:rPr>
            <w:t>Hispanic</w:t>
          </w:r>
        </w:p>
      </w:tc>
      <w:tc>
        <w:tcPr>
          <w:tcW w:w="1000" w:type="dxa"/>
          <w:tcBorders>
            <w:top w:val="nil"/>
            <w:left w:val="nil"/>
            <w:bottom w:val="single" w:sz="4" w:space="0" w:color="auto"/>
            <w:right w:val="single" w:sz="4" w:space="0" w:color="auto"/>
          </w:tcBorders>
          <w:shd w:val="clear" w:color="auto" w:fill="auto"/>
          <w:noWrap/>
          <w:vAlign w:val="bottom"/>
          <w:hideMark/>
        </w:tcPr>
        <w:p w14:paraId="45A769CD" w14:textId="77777777" w:rsidR="005F3FCF" w:rsidRPr="00613A40" w:rsidRDefault="005F3FCF" w:rsidP="00816745">
          <w:pPr>
            <w:jc w:val="center"/>
            <w:rPr>
              <w:rFonts w:asciiTheme="minorHAnsi" w:eastAsia="Times New Roman" w:hAnsiTheme="minorHAnsi"/>
              <w:color w:val="404040" w:themeColor="text1" w:themeTint="BF"/>
              <w:szCs w:val="20"/>
            </w:rPr>
          </w:pPr>
          <w:r>
            <w:rPr>
              <w:rFonts w:asciiTheme="minorHAnsi" w:eastAsia="Times New Roman" w:hAnsiTheme="minorHAnsi"/>
              <w:color w:val="404040" w:themeColor="text1" w:themeTint="BF"/>
              <w:szCs w:val="20"/>
            </w:rPr>
            <w:t>889</w:t>
          </w:r>
        </w:p>
      </w:tc>
      <w:tc>
        <w:tcPr>
          <w:tcW w:w="1000" w:type="dxa"/>
          <w:tcBorders>
            <w:top w:val="nil"/>
            <w:left w:val="nil"/>
            <w:bottom w:val="single" w:sz="4" w:space="0" w:color="auto"/>
            <w:right w:val="single" w:sz="4" w:space="0" w:color="auto"/>
          </w:tcBorders>
          <w:shd w:val="clear" w:color="auto" w:fill="auto"/>
          <w:noWrap/>
          <w:vAlign w:val="bottom"/>
          <w:hideMark/>
        </w:tcPr>
        <w:p w14:paraId="4292C207" w14:textId="77777777" w:rsidR="005F3FCF" w:rsidRPr="00613A40" w:rsidRDefault="005F3FCF" w:rsidP="00816745">
          <w:pPr>
            <w:jc w:val="center"/>
            <w:rPr>
              <w:rFonts w:asciiTheme="minorHAnsi" w:eastAsia="Times New Roman" w:hAnsiTheme="minorHAnsi"/>
              <w:color w:val="404040" w:themeColor="text1" w:themeTint="BF"/>
              <w:szCs w:val="20"/>
            </w:rPr>
          </w:pPr>
          <w:r>
            <w:rPr>
              <w:rFonts w:asciiTheme="minorHAnsi" w:eastAsia="Times New Roman" w:hAnsiTheme="minorHAnsi"/>
              <w:color w:val="404040" w:themeColor="text1" w:themeTint="BF"/>
              <w:szCs w:val="20"/>
            </w:rPr>
            <w:t>149</w:t>
          </w:r>
        </w:p>
      </w:tc>
      <w:tc>
        <w:tcPr>
          <w:tcW w:w="1000" w:type="dxa"/>
          <w:tcBorders>
            <w:top w:val="nil"/>
            <w:left w:val="nil"/>
            <w:bottom w:val="single" w:sz="4" w:space="0" w:color="auto"/>
            <w:right w:val="single" w:sz="4" w:space="0" w:color="auto"/>
          </w:tcBorders>
          <w:shd w:val="clear" w:color="auto" w:fill="auto"/>
          <w:noWrap/>
          <w:vAlign w:val="bottom"/>
          <w:hideMark/>
        </w:tcPr>
        <w:p w14:paraId="132A573E" w14:textId="77777777" w:rsidR="005F3FCF" w:rsidRPr="00C00622" w:rsidRDefault="005F3FCF" w:rsidP="00816745">
          <w:pPr>
            <w:jc w:val="center"/>
            <w:rPr>
              <w:rFonts w:asciiTheme="minorHAnsi" w:eastAsia="Times New Roman" w:hAnsiTheme="minorHAnsi"/>
              <w:color w:val="404040" w:themeColor="text1" w:themeTint="BF"/>
              <w:szCs w:val="20"/>
            </w:rPr>
          </w:pPr>
          <w:r w:rsidRPr="00C00622">
            <w:rPr>
              <w:rFonts w:asciiTheme="minorHAnsi" w:eastAsia="Times New Roman" w:hAnsiTheme="minorHAnsi"/>
              <w:color w:val="404040" w:themeColor="text1" w:themeTint="BF"/>
              <w:szCs w:val="20"/>
            </w:rPr>
            <w:t>14</w:t>
          </w:r>
        </w:p>
      </w:tc>
      <w:tc>
        <w:tcPr>
          <w:tcW w:w="1000" w:type="dxa"/>
          <w:tcBorders>
            <w:top w:val="nil"/>
            <w:left w:val="nil"/>
            <w:bottom w:val="single" w:sz="4" w:space="0" w:color="auto"/>
            <w:right w:val="single" w:sz="4" w:space="0" w:color="auto"/>
          </w:tcBorders>
          <w:shd w:val="clear" w:color="auto" w:fill="auto"/>
          <w:noWrap/>
          <w:vAlign w:val="bottom"/>
          <w:hideMark/>
        </w:tcPr>
        <w:p w14:paraId="5A61B10D" w14:textId="77777777" w:rsidR="005F3FCF" w:rsidRPr="001A4989" w:rsidRDefault="005F3FCF" w:rsidP="00816745">
          <w:pPr>
            <w:jc w:val="center"/>
            <w:rPr>
              <w:rFonts w:asciiTheme="minorHAnsi" w:eastAsia="Times New Roman" w:hAnsiTheme="minorHAnsi"/>
              <w:color w:val="404040" w:themeColor="text1" w:themeTint="BF"/>
              <w:szCs w:val="20"/>
            </w:rPr>
          </w:pPr>
          <w:r>
            <w:rPr>
              <w:rFonts w:ascii="Calibri" w:eastAsia="Times New Roman" w:hAnsi="Calibri"/>
              <w:color w:val="404040"/>
              <w:szCs w:val="20"/>
            </w:rPr>
            <w:t>134</w:t>
          </w:r>
        </w:p>
      </w:tc>
    </w:tr>
    <w:tr w:rsidR="005F3FCF" w:rsidRPr="006723EF" w14:paraId="0E123D77" w14:textId="77777777" w:rsidTr="005F3FCF">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47B574C7" w14:textId="77777777" w:rsidR="005F3FCF" w:rsidRPr="00613A40" w:rsidRDefault="005F3FCF" w:rsidP="00816745">
          <w:pPr>
            <w:rPr>
              <w:rFonts w:asciiTheme="minorHAnsi" w:eastAsia="Times New Roman" w:hAnsiTheme="minorHAnsi"/>
              <w:color w:val="404040" w:themeColor="text1" w:themeTint="BF"/>
              <w:szCs w:val="20"/>
            </w:rPr>
          </w:pPr>
          <w:r w:rsidRPr="00613A40">
            <w:rPr>
              <w:rFonts w:asciiTheme="minorHAnsi" w:eastAsia="Times New Roman" w:hAnsiTheme="minorHAnsi"/>
              <w:color w:val="404040" w:themeColor="text1" w:themeTint="BF"/>
              <w:szCs w:val="20"/>
            </w:rPr>
            <w:t>Not Hispanic</w:t>
          </w:r>
        </w:p>
      </w:tc>
      <w:tc>
        <w:tcPr>
          <w:tcW w:w="1000" w:type="dxa"/>
          <w:tcBorders>
            <w:top w:val="nil"/>
            <w:left w:val="nil"/>
            <w:bottom w:val="single" w:sz="4" w:space="0" w:color="auto"/>
            <w:right w:val="single" w:sz="4" w:space="0" w:color="auto"/>
          </w:tcBorders>
          <w:shd w:val="clear" w:color="auto" w:fill="auto"/>
          <w:noWrap/>
          <w:vAlign w:val="bottom"/>
          <w:hideMark/>
        </w:tcPr>
        <w:p w14:paraId="174DC9D7" w14:textId="77777777" w:rsidR="005F3FCF" w:rsidRPr="00613A40" w:rsidRDefault="005F3FCF" w:rsidP="00816745">
          <w:pPr>
            <w:jc w:val="center"/>
            <w:rPr>
              <w:rFonts w:asciiTheme="minorHAnsi" w:eastAsia="Times New Roman" w:hAnsiTheme="minorHAnsi"/>
              <w:color w:val="404040" w:themeColor="text1" w:themeTint="BF"/>
              <w:szCs w:val="20"/>
            </w:rPr>
          </w:pPr>
          <w:r>
            <w:rPr>
              <w:rFonts w:asciiTheme="minorHAnsi" w:eastAsia="Times New Roman" w:hAnsiTheme="minorHAnsi"/>
              <w:color w:val="404040" w:themeColor="text1" w:themeTint="BF"/>
              <w:szCs w:val="20"/>
            </w:rPr>
            <w:t>1,479</w:t>
          </w:r>
        </w:p>
      </w:tc>
      <w:tc>
        <w:tcPr>
          <w:tcW w:w="1000" w:type="dxa"/>
          <w:tcBorders>
            <w:top w:val="nil"/>
            <w:left w:val="nil"/>
            <w:bottom w:val="single" w:sz="4" w:space="0" w:color="auto"/>
            <w:right w:val="single" w:sz="4" w:space="0" w:color="auto"/>
          </w:tcBorders>
          <w:shd w:val="clear" w:color="auto" w:fill="auto"/>
          <w:noWrap/>
          <w:vAlign w:val="bottom"/>
          <w:hideMark/>
        </w:tcPr>
        <w:p w14:paraId="1E4504E4" w14:textId="77777777" w:rsidR="005F3FCF" w:rsidRPr="00613A40" w:rsidRDefault="005F3FCF" w:rsidP="00816745">
          <w:pPr>
            <w:jc w:val="center"/>
            <w:rPr>
              <w:rFonts w:asciiTheme="minorHAnsi" w:eastAsia="Times New Roman" w:hAnsiTheme="minorHAnsi"/>
              <w:color w:val="404040" w:themeColor="text1" w:themeTint="BF"/>
              <w:szCs w:val="20"/>
            </w:rPr>
          </w:pPr>
          <w:r>
            <w:rPr>
              <w:rFonts w:asciiTheme="minorHAnsi" w:eastAsia="Times New Roman" w:hAnsiTheme="minorHAnsi"/>
              <w:color w:val="404040" w:themeColor="text1" w:themeTint="BF"/>
              <w:szCs w:val="20"/>
            </w:rPr>
            <w:t>261</w:t>
          </w:r>
        </w:p>
      </w:tc>
      <w:tc>
        <w:tcPr>
          <w:tcW w:w="1000" w:type="dxa"/>
          <w:tcBorders>
            <w:top w:val="nil"/>
            <w:left w:val="nil"/>
            <w:bottom w:val="single" w:sz="4" w:space="0" w:color="auto"/>
            <w:right w:val="single" w:sz="4" w:space="0" w:color="auto"/>
          </w:tcBorders>
          <w:shd w:val="clear" w:color="auto" w:fill="auto"/>
          <w:noWrap/>
          <w:vAlign w:val="bottom"/>
          <w:hideMark/>
        </w:tcPr>
        <w:p w14:paraId="58D952C1" w14:textId="77777777" w:rsidR="005F3FCF" w:rsidRPr="00C00622" w:rsidRDefault="005F3FCF" w:rsidP="00816745">
          <w:pPr>
            <w:jc w:val="center"/>
            <w:rPr>
              <w:rFonts w:asciiTheme="minorHAnsi" w:eastAsia="Times New Roman" w:hAnsiTheme="minorHAnsi"/>
              <w:color w:val="404040" w:themeColor="text1" w:themeTint="BF"/>
              <w:szCs w:val="20"/>
            </w:rPr>
          </w:pPr>
          <w:r w:rsidRPr="00C00622">
            <w:rPr>
              <w:rFonts w:asciiTheme="minorHAnsi" w:eastAsia="Times New Roman" w:hAnsiTheme="minorHAnsi"/>
              <w:color w:val="404040" w:themeColor="text1" w:themeTint="BF"/>
              <w:szCs w:val="20"/>
            </w:rPr>
            <w:t>103</w:t>
          </w:r>
        </w:p>
      </w:tc>
      <w:tc>
        <w:tcPr>
          <w:tcW w:w="1000" w:type="dxa"/>
          <w:tcBorders>
            <w:top w:val="nil"/>
            <w:left w:val="nil"/>
            <w:bottom w:val="single" w:sz="4" w:space="0" w:color="auto"/>
            <w:right w:val="single" w:sz="4" w:space="0" w:color="auto"/>
          </w:tcBorders>
          <w:shd w:val="clear" w:color="auto" w:fill="auto"/>
          <w:noWrap/>
          <w:vAlign w:val="bottom"/>
          <w:hideMark/>
        </w:tcPr>
        <w:p w14:paraId="24488B3C" w14:textId="77777777" w:rsidR="005F3FCF" w:rsidRPr="001A4989" w:rsidRDefault="005F3FCF" w:rsidP="00816745">
          <w:pPr>
            <w:jc w:val="center"/>
            <w:rPr>
              <w:rFonts w:asciiTheme="minorHAnsi" w:eastAsia="Times New Roman" w:hAnsiTheme="minorHAnsi"/>
              <w:color w:val="404040" w:themeColor="text1" w:themeTint="BF"/>
              <w:szCs w:val="20"/>
            </w:rPr>
          </w:pPr>
          <w:r>
            <w:rPr>
              <w:rFonts w:ascii="Calibri" w:eastAsia="Times New Roman" w:hAnsi="Calibri"/>
              <w:color w:val="404040"/>
              <w:szCs w:val="20"/>
            </w:rPr>
            <w:t>429</w:t>
          </w:r>
        </w:p>
      </w:tc>
    </w:tr>
  </w:tbl>
  <w:p w14:paraId="6CCCA856" w14:textId="77777777" w:rsidR="005F3FCF" w:rsidRDefault="005F3FCF" w:rsidP="00B10F1E">
    <w:pPr>
      <w:spacing w:line="360" w:lineRule="auto"/>
      <w:ind w:right="360"/>
      <w:rPr>
        <w:rFonts w:asciiTheme="minorHAnsi" w:hAnsiTheme="minorHAnsi" w:cstheme="minorHAnsi"/>
        <w:color w:val="404040" w:themeColor="text1" w:themeTint="BF"/>
        <w:szCs w:val="20"/>
      </w:rPr>
    </w:pPr>
  </w:p>
  <w:p w14:paraId="0262EE98" w14:textId="77777777" w:rsidR="005F3FCF" w:rsidRDefault="005F3FCF" w:rsidP="00B10F1E">
    <w:pPr>
      <w:spacing w:line="360" w:lineRule="auto"/>
      <w:ind w:right="360"/>
      <w:rPr>
        <w:rFonts w:asciiTheme="minorHAnsi" w:hAnsiTheme="minorHAnsi" w:cstheme="minorHAnsi"/>
        <w:color w:val="404040" w:themeColor="text1" w:themeTint="BF"/>
        <w:szCs w:val="20"/>
      </w:rPr>
    </w:pPr>
    <w:r>
      <w:rPr>
        <w:rFonts w:asciiTheme="minorHAnsi" w:hAnsiTheme="minorHAnsi" w:cstheme="minorHAnsi"/>
        <w:color w:val="404040" w:themeColor="text1" w:themeTint="BF"/>
        <w:szCs w:val="20"/>
      </w:rPr>
      <w:t>Table 2 identifies Race &amp; Ethnicities served utilizing CDBG, HOME, HOPWA, and ESG funding.</w:t>
    </w:r>
    <w:r w:rsidRPr="00BD266E">
      <w:rPr>
        <w:rFonts w:asciiTheme="minorHAnsi" w:hAnsiTheme="minorHAnsi" w:cstheme="minorHAnsi"/>
        <w:color w:val="404040" w:themeColor="text1" w:themeTint="BF"/>
        <w:szCs w:val="20"/>
      </w:rPr>
      <w:t xml:space="preserve"> During the reporting period, the City collected data on several more races including the following: Asian &amp; White, Black or African American &amp; White, </w:t>
    </w:r>
    <w:r w:rsidRPr="006723EF">
      <w:rPr>
        <w:rFonts w:asciiTheme="minorHAnsi" w:hAnsiTheme="minorHAnsi" w:cstheme="minorHAnsi"/>
        <w:color w:val="404040" w:themeColor="text1" w:themeTint="BF"/>
        <w:szCs w:val="20"/>
      </w:rPr>
      <w:t xml:space="preserve">American Indian or Alaska Native &amp; Black or African American, and Multi-Racial/Other. </w:t>
    </w:r>
    <w:r w:rsidRPr="001A4989">
      <w:rPr>
        <w:rFonts w:asciiTheme="minorHAnsi" w:hAnsiTheme="minorHAnsi" w:cstheme="minorHAnsi"/>
        <w:color w:val="404040" w:themeColor="text1" w:themeTint="BF"/>
        <w:szCs w:val="20"/>
      </w:rPr>
      <w:t xml:space="preserve">Across CDBG, HOME, and ESG programming, an additional </w:t>
    </w:r>
    <w:r>
      <w:rPr>
        <w:rFonts w:asciiTheme="minorHAnsi" w:hAnsiTheme="minorHAnsi" w:cstheme="minorHAnsi"/>
        <w:color w:val="404040" w:themeColor="text1" w:themeTint="BF"/>
        <w:szCs w:val="20"/>
      </w:rPr>
      <w:t>377</w:t>
    </w:r>
    <w:r w:rsidRPr="001A4989">
      <w:rPr>
        <w:rFonts w:asciiTheme="minorHAnsi" w:hAnsiTheme="minorHAnsi" w:cstheme="minorHAnsi"/>
        <w:color w:val="404040" w:themeColor="text1" w:themeTint="BF"/>
        <w:szCs w:val="20"/>
      </w:rPr>
      <w:t xml:space="preserve"> individuals were served who fall outside of the racial designations listed above. </w:t>
    </w:r>
  </w:p>
  <w:p w14:paraId="286800BB" w14:textId="77777777" w:rsidR="005F3FCF" w:rsidRPr="001A4989" w:rsidRDefault="005F3FCF" w:rsidP="00B10F1E">
    <w:pPr>
      <w:spacing w:line="360" w:lineRule="auto"/>
      <w:ind w:right="360"/>
      <w:rPr>
        <w:rFonts w:asciiTheme="minorHAnsi" w:hAnsiTheme="minorHAnsi" w:cstheme="minorHAnsi"/>
        <w:color w:val="404040" w:themeColor="text1" w:themeTint="BF"/>
        <w:szCs w:val="20"/>
      </w:rPr>
    </w:pPr>
  </w:p>
  <w:p w14:paraId="38F0D2AA" w14:textId="77777777" w:rsidR="005F3FCF" w:rsidRPr="00097698" w:rsidRDefault="005F3FCF" w:rsidP="00B10F1E">
    <w:pPr>
      <w:spacing w:line="360" w:lineRule="auto"/>
      <w:ind w:right="360"/>
      <w:rPr>
        <w:rFonts w:asciiTheme="minorHAnsi" w:hAnsiTheme="minorHAnsi" w:cstheme="minorHAnsi"/>
        <w:color w:val="404040" w:themeColor="text1" w:themeTint="BF"/>
        <w:szCs w:val="20"/>
      </w:rPr>
    </w:pPr>
    <w:r>
      <w:rPr>
        <w:rFonts w:asciiTheme="minorHAnsi" w:hAnsiTheme="minorHAnsi" w:cstheme="minorHAnsi"/>
        <w:color w:val="404040" w:themeColor="text1" w:themeTint="BF"/>
        <w:szCs w:val="20"/>
      </w:rPr>
      <w:t>A total of 3,835</w:t>
    </w:r>
    <w:r w:rsidRPr="00FB4B80">
      <w:rPr>
        <w:rFonts w:asciiTheme="minorHAnsi" w:hAnsiTheme="minorHAnsi" w:cstheme="minorHAnsi"/>
        <w:color w:val="404040" w:themeColor="text1" w:themeTint="BF"/>
        <w:szCs w:val="20"/>
      </w:rPr>
      <w:t xml:space="preserve"> residents/households</w:t>
    </w:r>
    <w:r>
      <w:rPr>
        <w:rFonts w:asciiTheme="minorHAnsi" w:hAnsiTheme="minorHAnsi" w:cstheme="minorHAnsi"/>
        <w:color w:val="404040" w:themeColor="text1" w:themeTint="BF"/>
        <w:szCs w:val="20"/>
      </w:rPr>
      <w:t xml:space="preserve"> directly received access to programs that supported the Consolidated Plan’s overarching goals to increase access to housing, education, health, transportation and economic development. This was done by improving access to programs that assist in closing the gap in a number of socioeconomic indicators </w:t>
    </w:r>
    <w:r w:rsidRPr="0055384D">
      <w:rPr>
        <w:rFonts w:asciiTheme="minorHAnsi" w:hAnsiTheme="minorHAnsi"/>
        <w:color w:val="404040" w:themeColor="text1" w:themeTint="BF"/>
        <w:szCs w:val="20"/>
      </w:rPr>
      <w:t>such as housing affordability, school-readiness of young children, employment skills</w:t>
    </w:r>
    <w:r>
      <w:rPr>
        <w:rFonts w:asciiTheme="minorHAnsi" w:hAnsiTheme="minorHAnsi"/>
        <w:color w:val="404040" w:themeColor="text1" w:themeTint="BF"/>
        <w:szCs w:val="20"/>
      </w:rPr>
      <w:t xml:space="preserve"> of at-risk adults, access to tr</w:t>
    </w:r>
    <w:r w:rsidRPr="0055384D">
      <w:rPr>
        <w:rFonts w:asciiTheme="minorHAnsi" w:hAnsiTheme="minorHAnsi"/>
        <w:color w:val="404040" w:themeColor="text1" w:themeTint="BF"/>
        <w:szCs w:val="20"/>
      </w:rPr>
      <w:t>ansportation for low-income households, access to fresh foods for food-insecure families and</w:t>
    </w:r>
    <w:r>
      <w:rPr>
        <w:rFonts w:asciiTheme="minorHAnsi" w:hAnsiTheme="minorHAnsi"/>
        <w:color w:val="404040" w:themeColor="text1" w:themeTint="BF"/>
        <w:szCs w:val="20"/>
      </w:rPr>
      <w:t xml:space="preserve"> supporting economic diversity </w:t>
    </w:r>
    <w:r w:rsidRPr="0055384D">
      <w:rPr>
        <w:rFonts w:asciiTheme="minorHAnsi" w:hAnsiTheme="minorHAnsi"/>
        <w:color w:val="404040" w:themeColor="text1" w:themeTint="BF"/>
        <w:szCs w:val="20"/>
      </w:rPr>
      <w:t xml:space="preserve">within </w:t>
    </w:r>
    <w:r w:rsidRPr="00D31352">
      <w:rPr>
        <w:rFonts w:asciiTheme="minorHAnsi" w:hAnsiTheme="minorHAnsi"/>
        <w:color w:val="404040" w:themeColor="text1" w:themeTint="BF"/>
        <w:szCs w:val="20"/>
      </w:rPr>
      <w:t xml:space="preserve">neighborhoods. </w:t>
    </w:r>
    <w:r>
      <w:rPr>
        <w:rFonts w:asciiTheme="minorHAnsi" w:hAnsiTheme="minorHAnsi"/>
        <w:color w:val="404040" w:themeColor="text1" w:themeTint="BF"/>
        <w:szCs w:val="20"/>
      </w:rPr>
      <w:t>29</w:t>
    </w:r>
    <w:r w:rsidRPr="00FB4B80">
      <w:rPr>
        <w:rFonts w:asciiTheme="minorHAnsi" w:hAnsiTheme="minorHAnsi"/>
        <w:color w:val="404040" w:themeColor="text1" w:themeTint="BF"/>
        <w:szCs w:val="20"/>
      </w:rPr>
      <w:t>%</w:t>
    </w:r>
    <w:r>
      <w:rPr>
        <w:rFonts w:asciiTheme="minorHAnsi" w:hAnsiTheme="minorHAnsi"/>
        <w:color w:val="404040" w:themeColor="text1" w:themeTint="BF"/>
        <w:szCs w:val="20"/>
      </w:rPr>
      <w:t xml:space="preserve"> of the residents served were</w:t>
    </w:r>
    <w:r w:rsidRPr="00D31352">
      <w:rPr>
        <w:rFonts w:asciiTheme="minorHAnsi" w:hAnsiTheme="minorHAnsi"/>
        <w:color w:val="404040" w:themeColor="text1" w:themeTint="BF"/>
        <w:szCs w:val="20"/>
      </w:rPr>
      <w:t xml:space="preserve"> of a minority race and/or Hispanic.</w:t>
    </w:r>
    <w:r>
      <w:rPr>
        <w:rFonts w:asciiTheme="minorHAnsi" w:hAnsiTheme="minorHAnsi"/>
        <w:color w:val="404040" w:themeColor="text1" w:themeTint="BF"/>
        <w:szCs w:val="20"/>
      </w:rPr>
      <w:t xml:space="preserve"> </w:t>
    </w:r>
  </w:p>
  <w:p w14:paraId="09CE8E3D" w14:textId="77777777" w:rsidR="005F3FCF" w:rsidRDefault="005F3FCF" w:rsidP="00B10F1E">
    <w:pPr>
      <w:spacing w:line="276" w:lineRule="auto"/>
      <w:ind w:right="360"/>
      <w:rPr>
        <w:rFonts w:asciiTheme="minorHAnsi" w:hAnsiTheme="minorHAnsi" w:cstheme="minorHAnsi"/>
        <w:b/>
        <w:color w:val="FF0000"/>
        <w:szCs w:val="20"/>
      </w:rPr>
    </w:pPr>
  </w:p>
  <w:p w14:paraId="543382C4" w14:textId="77777777" w:rsidR="005F3FCF" w:rsidRPr="002A15C2" w:rsidRDefault="005F3FCF" w:rsidP="00B10F1E">
    <w:pPr>
      <w:spacing w:line="276" w:lineRule="auto"/>
      <w:ind w:right="360"/>
      <w:rPr>
        <w:rFonts w:asciiTheme="minorHAnsi" w:hAnsiTheme="minorHAnsi" w:cstheme="minorHAnsi"/>
        <w:b/>
        <w:color w:val="F79646" w:themeColor="accent6"/>
        <w:szCs w:val="20"/>
      </w:rPr>
    </w:pPr>
  </w:p>
  <w:p w14:paraId="572C736A" w14:textId="77777777" w:rsidR="005F3FCF" w:rsidRPr="00C83460" w:rsidRDefault="005F3FCF" w:rsidP="00B10F1E">
    <w:pPr>
      <w:spacing w:line="276" w:lineRule="auto"/>
      <w:ind w:right="360"/>
      <w:rPr>
        <w:rFonts w:asciiTheme="minorHAnsi" w:hAnsiTheme="minorHAnsi" w:cstheme="minorHAnsi"/>
        <w:i/>
        <w:color w:val="FF0000"/>
        <w:sz w:val="18"/>
        <w:szCs w:val="18"/>
      </w:rPr>
    </w:pPr>
    <w:r w:rsidRPr="00C83460">
      <w:rPr>
        <w:rFonts w:ascii="Arial" w:hAnsi="Arial" w:cs="Arial"/>
        <w:color w:val="FF0000"/>
        <w:sz w:val="22"/>
        <w:szCs w:val="22"/>
        <w:u w:val="single"/>
      </w:rPr>
      <w:br w:type="page"/>
    </w:r>
    <w:r w:rsidRPr="009629AD">
      <w:rPr>
        <w:rFonts w:asciiTheme="minorHAnsi" w:hAnsiTheme="minorHAnsi" w:cstheme="minorHAnsi"/>
        <w:b/>
        <w:color w:val="1F497D" w:themeColor="text2"/>
        <w:sz w:val="24"/>
      </w:rPr>
      <w:t>CR-</w:t>
    </w:r>
    <w:r>
      <w:rPr>
        <w:rFonts w:asciiTheme="minorHAnsi" w:hAnsiTheme="minorHAnsi" w:cstheme="minorHAnsi"/>
        <w:b/>
        <w:color w:val="1F497D" w:themeColor="text2"/>
        <w:sz w:val="24"/>
      </w:rPr>
      <w:t>15</w:t>
    </w:r>
    <w:r w:rsidRPr="009629AD">
      <w:rPr>
        <w:rFonts w:asciiTheme="minorHAnsi" w:hAnsiTheme="minorHAnsi" w:cstheme="minorHAnsi"/>
        <w:b/>
        <w:color w:val="1F497D" w:themeColor="text2"/>
        <w:sz w:val="24"/>
      </w:rPr>
      <w:t xml:space="preserve"> </w:t>
    </w:r>
    <w:r>
      <w:rPr>
        <w:rFonts w:asciiTheme="minorHAnsi" w:hAnsiTheme="minorHAnsi" w:cstheme="minorHAnsi"/>
        <w:b/>
        <w:color w:val="1F497D" w:themeColor="text2"/>
        <w:sz w:val="24"/>
      </w:rPr>
      <w:t xml:space="preserve">RESOURCES AND INVESTMENTS </w:t>
    </w:r>
    <w:r>
      <w:rPr>
        <w:rFonts w:asciiTheme="minorHAnsi" w:hAnsiTheme="minorHAnsi" w:cstheme="minorHAnsi"/>
        <w:i/>
        <w:color w:val="1F497D" w:themeColor="text2"/>
        <w:sz w:val="18"/>
        <w:szCs w:val="18"/>
      </w:rPr>
      <w:t>– 91.520(a)</w:t>
    </w:r>
  </w:p>
  <w:p w14:paraId="5F549E05" w14:textId="77777777" w:rsidR="005F3FCF" w:rsidRDefault="005F3FCF" w:rsidP="00B10F1E">
    <w:pPr>
      <w:spacing w:line="276" w:lineRule="auto"/>
      <w:ind w:right="360"/>
      <w:rPr>
        <w:rFonts w:asciiTheme="minorHAnsi" w:hAnsiTheme="minorHAnsi" w:cstheme="minorHAnsi"/>
        <w:b/>
        <w:color w:val="FF0000"/>
        <w:szCs w:val="20"/>
      </w:rPr>
    </w:pPr>
  </w:p>
  <w:p w14:paraId="4C3F10F7" w14:textId="77777777" w:rsidR="005F3FCF" w:rsidRPr="006723EF" w:rsidRDefault="005F3FCF" w:rsidP="00B10F1E">
    <w:pPr>
      <w:spacing w:line="276" w:lineRule="auto"/>
      <w:ind w:right="360"/>
      <w:rPr>
        <w:rFonts w:asciiTheme="minorHAnsi" w:hAnsiTheme="minorHAnsi" w:cstheme="minorHAnsi"/>
        <w:b/>
        <w:color w:val="404040" w:themeColor="text1" w:themeTint="BF"/>
        <w:szCs w:val="20"/>
      </w:rPr>
    </w:pPr>
    <w:r w:rsidRPr="006723EF">
      <w:rPr>
        <w:rFonts w:asciiTheme="minorHAnsi" w:hAnsiTheme="minorHAnsi" w:cstheme="minorHAnsi"/>
        <w:b/>
        <w:color w:val="404040" w:themeColor="text1" w:themeTint="BF"/>
        <w:szCs w:val="20"/>
      </w:rPr>
      <w:t>Table 3 – Resources Made Available</w:t>
    </w:r>
  </w:p>
  <w:tbl>
    <w:tblPr>
      <w:tblW w:w="7380" w:type="dxa"/>
      <w:tblInd w:w="-5" w:type="dxa"/>
      <w:tblLook w:val="04A0" w:firstRow="1" w:lastRow="0" w:firstColumn="1" w:lastColumn="0" w:noHBand="0" w:noVBand="1"/>
    </w:tblPr>
    <w:tblGrid>
      <w:gridCol w:w="1220"/>
      <w:gridCol w:w="1840"/>
      <w:gridCol w:w="2070"/>
      <w:gridCol w:w="2250"/>
    </w:tblGrid>
    <w:tr w:rsidR="005F3FCF" w:rsidRPr="006723EF" w14:paraId="77E462EC" w14:textId="77777777" w:rsidTr="005F3FCF">
      <w:trPr>
        <w:trHeight w:val="588"/>
      </w:trPr>
      <w:tc>
        <w:tcPr>
          <w:tcW w:w="12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14:paraId="2A7AA3D5" w14:textId="77777777" w:rsidR="005F3FCF" w:rsidRPr="006723EF" w:rsidRDefault="005F3FCF" w:rsidP="00816745">
          <w:pPr>
            <w:jc w:val="center"/>
            <w:rPr>
              <w:rFonts w:ascii="Calibri" w:eastAsia="Times New Roman" w:hAnsi="Calibri"/>
              <w:b/>
              <w:bCs/>
              <w:color w:val="404040"/>
              <w:szCs w:val="20"/>
            </w:rPr>
          </w:pPr>
          <w:r w:rsidRPr="006723EF">
            <w:rPr>
              <w:rFonts w:ascii="Calibri" w:eastAsia="Times New Roman" w:hAnsi="Calibri"/>
              <w:b/>
              <w:bCs/>
              <w:color w:val="404040"/>
              <w:szCs w:val="20"/>
            </w:rPr>
            <w:t>Source of Funds</w:t>
          </w:r>
        </w:p>
      </w:tc>
      <w:tc>
        <w:tcPr>
          <w:tcW w:w="1840" w:type="dxa"/>
          <w:tcBorders>
            <w:top w:val="single" w:sz="4" w:space="0" w:color="auto"/>
            <w:left w:val="nil"/>
            <w:bottom w:val="single" w:sz="4" w:space="0" w:color="auto"/>
            <w:right w:val="single" w:sz="4" w:space="0" w:color="auto"/>
          </w:tcBorders>
          <w:shd w:val="clear" w:color="auto" w:fill="C6D9F1" w:themeFill="text2" w:themeFillTint="33"/>
          <w:vAlign w:val="bottom"/>
          <w:hideMark/>
        </w:tcPr>
        <w:p w14:paraId="3DEBDC86" w14:textId="77777777" w:rsidR="005F3FCF" w:rsidRPr="006723EF" w:rsidRDefault="005F3FCF" w:rsidP="00816745">
          <w:pPr>
            <w:jc w:val="center"/>
            <w:rPr>
              <w:rFonts w:ascii="Calibri" w:eastAsia="Times New Roman" w:hAnsi="Calibri"/>
              <w:b/>
              <w:bCs/>
              <w:color w:val="404040"/>
              <w:szCs w:val="20"/>
            </w:rPr>
          </w:pPr>
          <w:r w:rsidRPr="006723EF">
            <w:rPr>
              <w:rFonts w:ascii="Calibri" w:eastAsia="Times New Roman" w:hAnsi="Calibri"/>
              <w:b/>
              <w:bCs/>
              <w:color w:val="404040"/>
              <w:szCs w:val="20"/>
            </w:rPr>
            <w:t>Source</w:t>
          </w:r>
        </w:p>
      </w:tc>
      <w:tc>
        <w:tcPr>
          <w:tcW w:w="2070" w:type="dxa"/>
          <w:tcBorders>
            <w:top w:val="single" w:sz="4" w:space="0" w:color="auto"/>
            <w:left w:val="nil"/>
            <w:bottom w:val="single" w:sz="4" w:space="0" w:color="auto"/>
            <w:right w:val="single" w:sz="4" w:space="0" w:color="auto"/>
          </w:tcBorders>
          <w:shd w:val="clear" w:color="auto" w:fill="C6D9F1" w:themeFill="text2" w:themeFillTint="33"/>
          <w:vAlign w:val="bottom"/>
          <w:hideMark/>
        </w:tcPr>
        <w:p w14:paraId="1C77D8B9" w14:textId="77777777" w:rsidR="005F3FCF" w:rsidRPr="006723EF" w:rsidRDefault="005F3FCF" w:rsidP="00816745">
          <w:pPr>
            <w:jc w:val="center"/>
            <w:rPr>
              <w:rFonts w:ascii="Calibri" w:eastAsia="Times New Roman" w:hAnsi="Calibri"/>
              <w:b/>
              <w:bCs/>
              <w:color w:val="404040"/>
              <w:szCs w:val="20"/>
            </w:rPr>
          </w:pPr>
          <w:r w:rsidRPr="006723EF">
            <w:rPr>
              <w:rFonts w:ascii="Calibri" w:eastAsia="Times New Roman" w:hAnsi="Calibri"/>
              <w:b/>
              <w:bCs/>
              <w:color w:val="404040"/>
              <w:szCs w:val="20"/>
            </w:rPr>
            <w:t>Resources Made Available</w:t>
          </w:r>
        </w:p>
      </w:tc>
      <w:tc>
        <w:tcPr>
          <w:tcW w:w="2250" w:type="dxa"/>
          <w:tcBorders>
            <w:top w:val="single" w:sz="4" w:space="0" w:color="auto"/>
            <w:left w:val="nil"/>
            <w:bottom w:val="single" w:sz="4" w:space="0" w:color="auto"/>
            <w:right w:val="single" w:sz="4" w:space="0" w:color="auto"/>
          </w:tcBorders>
          <w:shd w:val="clear" w:color="auto" w:fill="C6D9F1" w:themeFill="text2" w:themeFillTint="33"/>
          <w:vAlign w:val="bottom"/>
          <w:hideMark/>
        </w:tcPr>
        <w:p w14:paraId="3CC1F518" w14:textId="77777777" w:rsidR="005F3FCF" w:rsidRPr="006723EF" w:rsidRDefault="005F3FCF" w:rsidP="00816745">
          <w:pPr>
            <w:jc w:val="center"/>
            <w:rPr>
              <w:rFonts w:ascii="Calibri" w:eastAsia="Times New Roman" w:hAnsi="Calibri"/>
              <w:b/>
              <w:bCs/>
              <w:color w:val="404040"/>
              <w:szCs w:val="20"/>
            </w:rPr>
          </w:pPr>
          <w:r w:rsidRPr="006723EF">
            <w:rPr>
              <w:rFonts w:ascii="Calibri" w:eastAsia="Times New Roman" w:hAnsi="Calibri"/>
              <w:b/>
              <w:bCs/>
              <w:color w:val="404040"/>
              <w:szCs w:val="20"/>
            </w:rPr>
            <w:t>Amount Expended During Program Year</w:t>
          </w:r>
        </w:p>
      </w:tc>
    </w:tr>
    <w:tr w:rsidR="005F3FCF" w:rsidRPr="006723EF" w14:paraId="323C062A" w14:textId="77777777" w:rsidTr="005F3FCF">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0FB3E356" w14:textId="77777777" w:rsidR="005F3FCF" w:rsidRPr="006723EF" w:rsidRDefault="005F3FCF" w:rsidP="00816745">
          <w:pPr>
            <w:rPr>
              <w:rFonts w:ascii="Calibri" w:eastAsia="Times New Roman" w:hAnsi="Calibri"/>
              <w:color w:val="404040"/>
              <w:szCs w:val="20"/>
            </w:rPr>
          </w:pPr>
          <w:r w:rsidRPr="006723EF">
            <w:rPr>
              <w:rFonts w:ascii="Calibri" w:eastAsia="Times New Roman" w:hAnsi="Calibri"/>
              <w:color w:val="404040"/>
              <w:szCs w:val="20"/>
            </w:rPr>
            <w:t>CDBG</w:t>
          </w:r>
        </w:p>
      </w:tc>
      <w:tc>
        <w:tcPr>
          <w:tcW w:w="1840" w:type="dxa"/>
          <w:tcBorders>
            <w:top w:val="nil"/>
            <w:left w:val="nil"/>
            <w:bottom w:val="single" w:sz="4" w:space="0" w:color="auto"/>
            <w:right w:val="single" w:sz="4" w:space="0" w:color="auto"/>
          </w:tcBorders>
          <w:shd w:val="clear" w:color="auto" w:fill="auto"/>
          <w:noWrap/>
          <w:vAlign w:val="bottom"/>
          <w:hideMark/>
        </w:tcPr>
        <w:p w14:paraId="0325076E" w14:textId="77777777" w:rsidR="005F3FCF" w:rsidRPr="006723EF" w:rsidRDefault="005F3FCF" w:rsidP="00816745">
          <w:pPr>
            <w:rPr>
              <w:rFonts w:ascii="Calibri" w:eastAsia="Times New Roman" w:hAnsi="Calibri"/>
              <w:color w:val="404040"/>
              <w:szCs w:val="20"/>
            </w:rPr>
          </w:pPr>
          <w:r w:rsidRPr="006723EF">
            <w:rPr>
              <w:rFonts w:ascii="Calibri" w:eastAsia="Times New Roman" w:hAnsi="Calibri"/>
              <w:color w:val="404040"/>
              <w:szCs w:val="20"/>
            </w:rPr>
            <w:t>Public - Federal</w:t>
          </w:r>
        </w:p>
      </w:tc>
      <w:tc>
        <w:tcPr>
          <w:tcW w:w="2070" w:type="dxa"/>
          <w:tcBorders>
            <w:top w:val="nil"/>
            <w:left w:val="nil"/>
            <w:bottom w:val="single" w:sz="4" w:space="0" w:color="auto"/>
            <w:right w:val="single" w:sz="4" w:space="0" w:color="auto"/>
          </w:tcBorders>
          <w:shd w:val="clear" w:color="auto" w:fill="auto"/>
          <w:noWrap/>
          <w:vAlign w:val="bottom"/>
          <w:hideMark/>
        </w:tcPr>
        <w:p w14:paraId="3E9AA861" w14:textId="77777777" w:rsidR="005F3FCF" w:rsidRPr="006723EF" w:rsidRDefault="005F3FCF" w:rsidP="00816745">
          <w:pPr>
            <w:jc w:val="center"/>
            <w:rPr>
              <w:rFonts w:ascii="Calibri" w:eastAsia="Times New Roman" w:hAnsi="Calibri"/>
              <w:color w:val="404040"/>
              <w:szCs w:val="20"/>
            </w:rPr>
          </w:pPr>
          <w:r>
            <w:rPr>
              <w:rFonts w:ascii="Calibri" w:eastAsia="Times New Roman" w:hAnsi="Calibri"/>
              <w:color w:val="404040"/>
              <w:szCs w:val="20"/>
            </w:rPr>
            <w:t>$3,660,164</w:t>
          </w:r>
        </w:p>
      </w:tc>
      <w:tc>
        <w:tcPr>
          <w:tcW w:w="2250" w:type="dxa"/>
          <w:tcBorders>
            <w:top w:val="nil"/>
            <w:left w:val="nil"/>
            <w:bottom w:val="single" w:sz="4" w:space="0" w:color="auto"/>
            <w:right w:val="single" w:sz="4" w:space="0" w:color="auto"/>
          </w:tcBorders>
          <w:shd w:val="clear" w:color="auto" w:fill="auto"/>
          <w:noWrap/>
          <w:vAlign w:val="bottom"/>
          <w:hideMark/>
        </w:tcPr>
        <w:p w14:paraId="4E3A6B87" w14:textId="77777777" w:rsidR="005F3FCF" w:rsidRPr="009729F1" w:rsidRDefault="005F3FCF" w:rsidP="009E672C">
          <w:pPr>
            <w:jc w:val="center"/>
            <w:rPr>
              <w:rFonts w:ascii="Calibri" w:eastAsia="Times New Roman" w:hAnsi="Calibri"/>
              <w:color w:val="404040"/>
              <w:szCs w:val="20"/>
              <w:highlight w:val="yellow"/>
            </w:rPr>
          </w:pPr>
          <w:r w:rsidRPr="001C223F">
            <w:rPr>
              <w:rFonts w:ascii="Calibri" w:eastAsia="Times New Roman" w:hAnsi="Calibri"/>
              <w:color w:val="404040"/>
              <w:szCs w:val="20"/>
            </w:rPr>
            <w:t>$</w:t>
          </w:r>
          <w:r>
            <w:rPr>
              <w:rFonts w:ascii="Calibri" w:eastAsia="Times New Roman" w:hAnsi="Calibri"/>
              <w:color w:val="404040"/>
              <w:szCs w:val="20"/>
            </w:rPr>
            <w:t>2,925,888</w:t>
          </w:r>
        </w:p>
      </w:tc>
    </w:tr>
    <w:tr w:rsidR="005F3FCF" w:rsidRPr="006723EF" w14:paraId="0D0A7A68" w14:textId="77777777" w:rsidTr="005F3FCF">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43C55738" w14:textId="77777777" w:rsidR="005F3FCF" w:rsidRPr="006723EF" w:rsidRDefault="005F3FCF" w:rsidP="00816745">
          <w:pPr>
            <w:rPr>
              <w:rFonts w:ascii="Calibri" w:eastAsia="Times New Roman" w:hAnsi="Calibri"/>
              <w:color w:val="404040"/>
              <w:szCs w:val="20"/>
            </w:rPr>
          </w:pPr>
          <w:r w:rsidRPr="006723EF">
            <w:rPr>
              <w:rFonts w:ascii="Calibri" w:eastAsia="Times New Roman" w:hAnsi="Calibri"/>
              <w:color w:val="404040"/>
              <w:szCs w:val="20"/>
            </w:rPr>
            <w:t>HOME</w:t>
          </w:r>
        </w:p>
      </w:tc>
      <w:tc>
        <w:tcPr>
          <w:tcW w:w="1840" w:type="dxa"/>
          <w:tcBorders>
            <w:top w:val="nil"/>
            <w:left w:val="nil"/>
            <w:bottom w:val="single" w:sz="4" w:space="0" w:color="auto"/>
            <w:right w:val="single" w:sz="4" w:space="0" w:color="auto"/>
          </w:tcBorders>
          <w:shd w:val="clear" w:color="auto" w:fill="auto"/>
          <w:noWrap/>
          <w:vAlign w:val="bottom"/>
          <w:hideMark/>
        </w:tcPr>
        <w:p w14:paraId="04AFD0A5" w14:textId="77777777" w:rsidR="005F3FCF" w:rsidRPr="006723EF" w:rsidRDefault="005F3FCF" w:rsidP="00816745">
          <w:pPr>
            <w:rPr>
              <w:rFonts w:ascii="Calibri" w:eastAsia="Times New Roman" w:hAnsi="Calibri"/>
              <w:color w:val="404040"/>
              <w:szCs w:val="20"/>
            </w:rPr>
          </w:pPr>
          <w:r w:rsidRPr="006723EF">
            <w:rPr>
              <w:rFonts w:ascii="Calibri" w:eastAsia="Times New Roman" w:hAnsi="Calibri"/>
              <w:color w:val="404040"/>
              <w:szCs w:val="20"/>
            </w:rPr>
            <w:t>Public - Federal</w:t>
          </w:r>
        </w:p>
      </w:tc>
      <w:tc>
        <w:tcPr>
          <w:tcW w:w="2070" w:type="dxa"/>
          <w:tcBorders>
            <w:top w:val="nil"/>
            <w:left w:val="nil"/>
            <w:bottom w:val="single" w:sz="4" w:space="0" w:color="auto"/>
            <w:right w:val="single" w:sz="4" w:space="0" w:color="auto"/>
          </w:tcBorders>
          <w:shd w:val="clear" w:color="auto" w:fill="auto"/>
          <w:noWrap/>
          <w:vAlign w:val="bottom"/>
          <w:hideMark/>
        </w:tcPr>
        <w:p w14:paraId="67E4007D" w14:textId="77777777" w:rsidR="005F3FCF" w:rsidRPr="006723EF" w:rsidRDefault="005F3FCF" w:rsidP="00816745">
          <w:pPr>
            <w:jc w:val="center"/>
            <w:rPr>
              <w:rFonts w:ascii="Calibri" w:eastAsia="Times New Roman" w:hAnsi="Calibri"/>
              <w:color w:val="404040"/>
              <w:szCs w:val="20"/>
            </w:rPr>
          </w:pPr>
          <w:r>
            <w:rPr>
              <w:rFonts w:ascii="Calibri" w:eastAsia="Times New Roman" w:hAnsi="Calibri"/>
              <w:color w:val="404040"/>
              <w:szCs w:val="20"/>
            </w:rPr>
            <w:t>$1,289,578</w:t>
          </w:r>
        </w:p>
      </w:tc>
      <w:tc>
        <w:tcPr>
          <w:tcW w:w="2250" w:type="dxa"/>
          <w:tcBorders>
            <w:top w:val="nil"/>
            <w:left w:val="nil"/>
            <w:bottom w:val="single" w:sz="4" w:space="0" w:color="auto"/>
            <w:right w:val="single" w:sz="4" w:space="0" w:color="auto"/>
          </w:tcBorders>
          <w:shd w:val="clear" w:color="auto" w:fill="auto"/>
          <w:noWrap/>
          <w:vAlign w:val="bottom"/>
          <w:hideMark/>
        </w:tcPr>
        <w:p w14:paraId="30F39E3E" w14:textId="77777777" w:rsidR="005F3FCF" w:rsidRPr="009729F1" w:rsidRDefault="005F3FCF" w:rsidP="009E672C">
          <w:pPr>
            <w:jc w:val="center"/>
            <w:rPr>
              <w:rFonts w:ascii="Calibri" w:eastAsia="Times New Roman" w:hAnsi="Calibri"/>
              <w:color w:val="404040"/>
              <w:szCs w:val="20"/>
              <w:highlight w:val="yellow"/>
            </w:rPr>
          </w:pPr>
          <w:r w:rsidRPr="001C223F">
            <w:rPr>
              <w:rFonts w:ascii="Calibri" w:eastAsia="Times New Roman" w:hAnsi="Calibri"/>
              <w:color w:val="404040"/>
              <w:szCs w:val="20"/>
            </w:rPr>
            <w:t>$</w:t>
          </w:r>
          <w:r>
            <w:rPr>
              <w:rFonts w:ascii="Calibri" w:eastAsia="Times New Roman" w:hAnsi="Calibri"/>
              <w:color w:val="404040"/>
              <w:szCs w:val="20"/>
            </w:rPr>
            <w:t>560,695</w:t>
          </w:r>
        </w:p>
      </w:tc>
    </w:tr>
    <w:tr w:rsidR="005F3FCF" w:rsidRPr="006723EF" w14:paraId="18DAAE2F" w14:textId="77777777" w:rsidTr="005F3FCF">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66069F00" w14:textId="77777777" w:rsidR="005F3FCF" w:rsidRPr="006723EF" w:rsidRDefault="005F3FCF" w:rsidP="00816745">
          <w:pPr>
            <w:rPr>
              <w:rFonts w:ascii="Calibri" w:eastAsia="Times New Roman" w:hAnsi="Calibri"/>
              <w:color w:val="404040"/>
              <w:szCs w:val="20"/>
            </w:rPr>
          </w:pPr>
          <w:r w:rsidRPr="006723EF">
            <w:rPr>
              <w:rFonts w:ascii="Calibri" w:eastAsia="Times New Roman" w:hAnsi="Calibri"/>
              <w:color w:val="404040"/>
              <w:szCs w:val="20"/>
            </w:rPr>
            <w:t>HOPWA</w:t>
          </w:r>
        </w:p>
      </w:tc>
      <w:tc>
        <w:tcPr>
          <w:tcW w:w="1840" w:type="dxa"/>
          <w:tcBorders>
            <w:top w:val="nil"/>
            <w:left w:val="nil"/>
            <w:bottom w:val="single" w:sz="4" w:space="0" w:color="auto"/>
            <w:right w:val="single" w:sz="4" w:space="0" w:color="auto"/>
          </w:tcBorders>
          <w:shd w:val="clear" w:color="auto" w:fill="auto"/>
          <w:noWrap/>
          <w:vAlign w:val="bottom"/>
          <w:hideMark/>
        </w:tcPr>
        <w:p w14:paraId="270EBE2F" w14:textId="77777777" w:rsidR="005F3FCF" w:rsidRPr="006723EF" w:rsidRDefault="005F3FCF" w:rsidP="00816745">
          <w:pPr>
            <w:rPr>
              <w:rFonts w:ascii="Calibri" w:eastAsia="Times New Roman" w:hAnsi="Calibri"/>
              <w:color w:val="404040"/>
              <w:szCs w:val="20"/>
            </w:rPr>
          </w:pPr>
          <w:r w:rsidRPr="006723EF">
            <w:rPr>
              <w:rFonts w:ascii="Calibri" w:eastAsia="Times New Roman" w:hAnsi="Calibri"/>
              <w:color w:val="404040"/>
              <w:szCs w:val="20"/>
            </w:rPr>
            <w:t>Public - Federal</w:t>
          </w:r>
        </w:p>
      </w:tc>
      <w:tc>
        <w:tcPr>
          <w:tcW w:w="2070" w:type="dxa"/>
          <w:tcBorders>
            <w:top w:val="nil"/>
            <w:left w:val="nil"/>
            <w:bottom w:val="single" w:sz="4" w:space="0" w:color="auto"/>
            <w:right w:val="single" w:sz="4" w:space="0" w:color="auto"/>
          </w:tcBorders>
          <w:shd w:val="clear" w:color="auto" w:fill="auto"/>
          <w:noWrap/>
          <w:vAlign w:val="bottom"/>
          <w:hideMark/>
        </w:tcPr>
        <w:p w14:paraId="7BA2DC39" w14:textId="77777777" w:rsidR="005F3FCF" w:rsidRPr="006723EF" w:rsidRDefault="005F3FCF" w:rsidP="00816745">
          <w:pPr>
            <w:jc w:val="center"/>
            <w:rPr>
              <w:rFonts w:ascii="Calibri" w:eastAsia="Times New Roman" w:hAnsi="Calibri"/>
              <w:color w:val="404040"/>
              <w:szCs w:val="20"/>
            </w:rPr>
          </w:pPr>
          <w:r>
            <w:rPr>
              <w:rFonts w:ascii="Calibri" w:eastAsia="Times New Roman" w:hAnsi="Calibri"/>
              <w:color w:val="404040"/>
              <w:szCs w:val="20"/>
            </w:rPr>
            <w:t>$443,995</w:t>
          </w:r>
        </w:p>
      </w:tc>
      <w:tc>
        <w:tcPr>
          <w:tcW w:w="2250" w:type="dxa"/>
          <w:tcBorders>
            <w:top w:val="nil"/>
            <w:left w:val="nil"/>
            <w:bottom w:val="single" w:sz="4" w:space="0" w:color="auto"/>
            <w:right w:val="single" w:sz="4" w:space="0" w:color="auto"/>
          </w:tcBorders>
          <w:shd w:val="clear" w:color="auto" w:fill="auto"/>
          <w:noWrap/>
          <w:vAlign w:val="bottom"/>
          <w:hideMark/>
        </w:tcPr>
        <w:p w14:paraId="31E77E07" w14:textId="77777777" w:rsidR="005F3FCF" w:rsidRPr="009729F1" w:rsidRDefault="005F3FCF" w:rsidP="009E672C">
          <w:pPr>
            <w:jc w:val="center"/>
            <w:rPr>
              <w:rFonts w:ascii="Calibri" w:eastAsia="Times New Roman" w:hAnsi="Calibri"/>
              <w:color w:val="404040"/>
              <w:szCs w:val="20"/>
              <w:highlight w:val="yellow"/>
            </w:rPr>
          </w:pPr>
          <w:r w:rsidRPr="001C223F">
            <w:rPr>
              <w:rFonts w:ascii="Calibri" w:eastAsia="Times New Roman" w:hAnsi="Calibri"/>
              <w:color w:val="404040"/>
              <w:szCs w:val="20"/>
            </w:rPr>
            <w:t>$</w:t>
          </w:r>
          <w:r>
            <w:rPr>
              <w:rFonts w:ascii="Calibri" w:eastAsia="Times New Roman" w:hAnsi="Calibri"/>
              <w:color w:val="404040"/>
              <w:szCs w:val="20"/>
            </w:rPr>
            <w:t>153,081</w:t>
          </w:r>
        </w:p>
      </w:tc>
    </w:tr>
    <w:tr w:rsidR="005F3FCF" w:rsidRPr="006723EF" w14:paraId="4C97C97C" w14:textId="77777777" w:rsidTr="005F3FCF">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1858FA2C" w14:textId="77777777" w:rsidR="005F3FCF" w:rsidRPr="006723EF" w:rsidRDefault="005F3FCF" w:rsidP="00816745">
          <w:pPr>
            <w:rPr>
              <w:rFonts w:ascii="Calibri" w:eastAsia="Times New Roman" w:hAnsi="Calibri"/>
              <w:color w:val="404040"/>
              <w:szCs w:val="20"/>
            </w:rPr>
          </w:pPr>
          <w:r w:rsidRPr="006723EF">
            <w:rPr>
              <w:rFonts w:ascii="Calibri" w:eastAsia="Times New Roman" w:hAnsi="Calibri"/>
              <w:color w:val="404040"/>
              <w:szCs w:val="20"/>
            </w:rPr>
            <w:t>ESG</w:t>
          </w:r>
        </w:p>
      </w:tc>
      <w:tc>
        <w:tcPr>
          <w:tcW w:w="1840" w:type="dxa"/>
          <w:tcBorders>
            <w:top w:val="nil"/>
            <w:left w:val="nil"/>
            <w:bottom w:val="single" w:sz="4" w:space="0" w:color="auto"/>
            <w:right w:val="single" w:sz="4" w:space="0" w:color="auto"/>
          </w:tcBorders>
          <w:shd w:val="clear" w:color="auto" w:fill="auto"/>
          <w:noWrap/>
          <w:vAlign w:val="bottom"/>
          <w:hideMark/>
        </w:tcPr>
        <w:p w14:paraId="28822D32" w14:textId="77777777" w:rsidR="005F3FCF" w:rsidRPr="006723EF" w:rsidRDefault="005F3FCF" w:rsidP="00816745">
          <w:pPr>
            <w:rPr>
              <w:rFonts w:ascii="Calibri" w:eastAsia="Times New Roman" w:hAnsi="Calibri"/>
              <w:color w:val="404040"/>
              <w:szCs w:val="20"/>
            </w:rPr>
          </w:pPr>
          <w:r w:rsidRPr="006723EF">
            <w:rPr>
              <w:rFonts w:ascii="Calibri" w:eastAsia="Times New Roman" w:hAnsi="Calibri"/>
              <w:color w:val="404040"/>
              <w:szCs w:val="20"/>
            </w:rPr>
            <w:t>Public - Federal</w:t>
          </w:r>
        </w:p>
      </w:tc>
      <w:tc>
        <w:tcPr>
          <w:tcW w:w="2070" w:type="dxa"/>
          <w:tcBorders>
            <w:top w:val="nil"/>
            <w:left w:val="nil"/>
            <w:bottom w:val="single" w:sz="4" w:space="0" w:color="auto"/>
            <w:right w:val="single" w:sz="4" w:space="0" w:color="auto"/>
          </w:tcBorders>
          <w:shd w:val="clear" w:color="auto" w:fill="auto"/>
          <w:noWrap/>
          <w:vAlign w:val="bottom"/>
          <w:hideMark/>
        </w:tcPr>
        <w:p w14:paraId="250CAE62" w14:textId="77777777" w:rsidR="005F3FCF" w:rsidRPr="006723EF" w:rsidRDefault="005F3FCF" w:rsidP="00816745">
          <w:pPr>
            <w:jc w:val="center"/>
            <w:rPr>
              <w:rFonts w:ascii="Calibri" w:eastAsia="Times New Roman" w:hAnsi="Calibri"/>
              <w:color w:val="404040"/>
              <w:szCs w:val="20"/>
            </w:rPr>
          </w:pPr>
          <w:r>
            <w:rPr>
              <w:rFonts w:ascii="Calibri" w:eastAsia="Times New Roman" w:hAnsi="Calibri"/>
              <w:color w:val="404040"/>
              <w:szCs w:val="20"/>
            </w:rPr>
            <w:t>$303,282</w:t>
          </w:r>
        </w:p>
      </w:tc>
      <w:tc>
        <w:tcPr>
          <w:tcW w:w="2250" w:type="dxa"/>
          <w:tcBorders>
            <w:top w:val="nil"/>
            <w:left w:val="nil"/>
            <w:bottom w:val="single" w:sz="4" w:space="0" w:color="auto"/>
            <w:right w:val="single" w:sz="4" w:space="0" w:color="auto"/>
          </w:tcBorders>
          <w:shd w:val="clear" w:color="auto" w:fill="auto"/>
          <w:noWrap/>
          <w:vAlign w:val="bottom"/>
          <w:hideMark/>
        </w:tcPr>
        <w:p w14:paraId="728AA98F" w14:textId="77777777" w:rsidR="005F3FCF" w:rsidRPr="001C223F" w:rsidRDefault="005F3FCF" w:rsidP="009E672C">
          <w:pPr>
            <w:jc w:val="center"/>
            <w:rPr>
              <w:rFonts w:ascii="Calibri" w:eastAsia="Times New Roman" w:hAnsi="Calibri"/>
              <w:color w:val="404040"/>
              <w:szCs w:val="20"/>
            </w:rPr>
          </w:pPr>
          <w:r w:rsidRPr="001C223F">
            <w:rPr>
              <w:rFonts w:ascii="Calibri" w:eastAsia="Times New Roman" w:hAnsi="Calibri"/>
              <w:color w:val="404040"/>
              <w:szCs w:val="20"/>
            </w:rPr>
            <w:t>$</w:t>
          </w:r>
          <w:r>
            <w:rPr>
              <w:rFonts w:ascii="Calibri" w:eastAsia="Times New Roman" w:hAnsi="Calibri"/>
              <w:color w:val="404040"/>
              <w:szCs w:val="20"/>
            </w:rPr>
            <w:t>246,305</w:t>
          </w:r>
        </w:p>
      </w:tc>
    </w:tr>
  </w:tbl>
  <w:p w14:paraId="761981AB" w14:textId="77777777" w:rsidR="005F3FCF" w:rsidRDefault="005F3FCF" w:rsidP="00B10F1E">
    <w:pPr>
      <w:spacing w:line="276" w:lineRule="auto"/>
      <w:ind w:right="360"/>
      <w:rPr>
        <w:rFonts w:asciiTheme="minorHAnsi" w:hAnsiTheme="minorHAnsi" w:cstheme="minorHAnsi"/>
        <w:b/>
        <w:color w:val="FF0000"/>
        <w:szCs w:val="20"/>
      </w:rPr>
    </w:pPr>
  </w:p>
  <w:p w14:paraId="4B908557" w14:textId="77777777" w:rsidR="005F3FCF" w:rsidRDefault="005F3FCF" w:rsidP="00EC57C4">
    <w:pPr>
      <w:overflowPunct w:val="0"/>
      <w:autoSpaceDE w:val="0"/>
      <w:autoSpaceDN w:val="0"/>
      <w:adjustRightInd w:val="0"/>
      <w:spacing w:line="336" w:lineRule="auto"/>
      <w:textAlignment w:val="baseline"/>
      <w:rPr>
        <w:rFonts w:asciiTheme="minorHAnsi" w:hAnsiTheme="minorHAnsi" w:cstheme="minorHAnsi"/>
        <w:color w:val="404040" w:themeColor="text1" w:themeTint="BF"/>
        <w:szCs w:val="20"/>
      </w:rPr>
    </w:pPr>
    <w:r>
      <w:rPr>
        <w:rFonts w:asciiTheme="minorHAnsi" w:hAnsiTheme="minorHAnsi" w:cstheme="minorHAnsi"/>
        <w:color w:val="404040" w:themeColor="text1" w:themeTint="BF"/>
        <w:szCs w:val="20"/>
      </w:rPr>
      <w:t xml:space="preserve">Table 3 identifies grant funds, and leveraged funds made available during the year. </w:t>
    </w:r>
    <w:r w:rsidRPr="00BD266E">
      <w:rPr>
        <w:rFonts w:asciiTheme="minorHAnsi" w:hAnsiTheme="minorHAnsi" w:cstheme="minorHAnsi"/>
        <w:color w:val="404040" w:themeColor="text1" w:themeTint="BF"/>
        <w:szCs w:val="20"/>
      </w:rPr>
      <w:t>For the 201</w:t>
    </w:r>
    <w:r>
      <w:rPr>
        <w:rFonts w:asciiTheme="minorHAnsi" w:hAnsiTheme="minorHAnsi" w:cstheme="minorHAnsi"/>
        <w:color w:val="404040" w:themeColor="text1" w:themeTint="BF"/>
        <w:szCs w:val="20"/>
      </w:rPr>
      <w:t>7-18</w:t>
    </w:r>
    <w:r w:rsidRPr="00BD266E">
      <w:rPr>
        <w:rFonts w:asciiTheme="minorHAnsi" w:hAnsiTheme="minorHAnsi" w:cstheme="minorHAnsi"/>
        <w:color w:val="404040" w:themeColor="text1" w:themeTint="BF"/>
        <w:szCs w:val="20"/>
      </w:rPr>
      <w:t xml:space="preserve"> program year, the City had a total of </w:t>
    </w:r>
    <w:r>
      <w:rPr>
        <w:rFonts w:asciiTheme="minorHAnsi" w:hAnsiTheme="minorHAnsi" w:cstheme="minorHAnsi"/>
        <w:color w:val="404040" w:themeColor="text1" w:themeTint="BF"/>
        <w:szCs w:val="20"/>
      </w:rPr>
      <w:t xml:space="preserve">$4,654,376 </w:t>
    </w:r>
    <w:r w:rsidRPr="00BD266E">
      <w:rPr>
        <w:rFonts w:asciiTheme="minorHAnsi" w:hAnsiTheme="minorHAnsi" w:cstheme="minorHAnsi"/>
        <w:color w:val="404040" w:themeColor="text1" w:themeTint="BF"/>
        <w:szCs w:val="20"/>
      </w:rPr>
      <w:t xml:space="preserve">available through CDBG, ESG, </w:t>
    </w:r>
    <w:r>
      <w:rPr>
        <w:rFonts w:asciiTheme="minorHAnsi" w:hAnsiTheme="minorHAnsi" w:cstheme="minorHAnsi"/>
        <w:color w:val="404040" w:themeColor="text1" w:themeTint="BF"/>
        <w:szCs w:val="20"/>
      </w:rPr>
      <w:t xml:space="preserve">HOME &amp; HOPWA of new funding available from federal grants, totaling </w:t>
    </w:r>
    <w:r w:rsidRPr="005A31BB">
      <w:rPr>
        <w:rFonts w:asciiTheme="minorHAnsi" w:hAnsiTheme="minorHAnsi" w:cstheme="minorHAnsi"/>
        <w:color w:val="404040" w:themeColor="text1" w:themeTint="BF"/>
        <w:szCs w:val="20"/>
      </w:rPr>
      <w:t>$</w:t>
    </w:r>
    <w:r>
      <w:rPr>
        <w:rFonts w:asciiTheme="minorHAnsi" w:hAnsiTheme="minorHAnsi" w:cstheme="minorHAnsi"/>
        <w:color w:val="404040" w:themeColor="text1" w:themeTint="BF"/>
        <w:szCs w:val="20"/>
      </w:rPr>
      <w:t xml:space="preserve">5,697,019 of funds when adding </w:t>
    </w:r>
    <w:r w:rsidRPr="00BD266E">
      <w:rPr>
        <w:rFonts w:asciiTheme="minorHAnsi" w:hAnsiTheme="minorHAnsi" w:cstheme="minorHAnsi"/>
        <w:color w:val="404040" w:themeColor="text1" w:themeTint="BF"/>
        <w:szCs w:val="20"/>
      </w:rPr>
      <w:t>reallocated and program income funding.</w:t>
    </w:r>
    <w:r>
      <w:rPr>
        <w:rFonts w:asciiTheme="minorHAnsi" w:hAnsiTheme="minorHAnsi" w:cstheme="minorHAnsi"/>
        <w:color w:val="404040" w:themeColor="text1" w:themeTint="BF"/>
        <w:szCs w:val="20"/>
      </w:rPr>
      <w:t xml:space="preserve"> Amount expended represents the grant funds that were expended during the year. Most of the money not expended is from Housing and Infrastructure projects. Usage of 17-18 HOPWA funding is low because during the 17-18 year HOPWA activities were primarily funded with prior year funding. </w:t>
    </w:r>
  </w:p>
  <w:p w14:paraId="02583D24" w14:textId="77777777" w:rsidR="005F3FCF" w:rsidRDefault="005F3FCF" w:rsidP="00B10F1E">
    <w:pPr>
      <w:spacing w:line="276" w:lineRule="auto"/>
      <w:ind w:right="360"/>
      <w:rPr>
        <w:rFonts w:asciiTheme="minorHAnsi" w:hAnsiTheme="minorHAnsi" w:cstheme="minorHAnsi"/>
        <w:color w:val="404040" w:themeColor="text1" w:themeTint="BF"/>
        <w:szCs w:val="20"/>
      </w:rPr>
    </w:pPr>
  </w:p>
  <w:p w14:paraId="0E2E3C16" w14:textId="77777777" w:rsidR="005F3FCF" w:rsidRDefault="005F3FCF" w:rsidP="00B10F1E">
    <w:pPr>
      <w:spacing w:line="276" w:lineRule="auto"/>
      <w:ind w:right="360"/>
      <w:rPr>
        <w:rFonts w:asciiTheme="minorHAnsi" w:hAnsiTheme="minorHAnsi" w:cstheme="minorHAnsi"/>
        <w:b/>
        <w:color w:val="FF0000"/>
        <w:szCs w:val="20"/>
      </w:rPr>
    </w:pPr>
  </w:p>
  <w:p w14:paraId="1EC3DFB4" w14:textId="77777777" w:rsidR="005F3FCF" w:rsidRPr="004A36EE" w:rsidRDefault="005F3FCF" w:rsidP="00B10F1E">
    <w:pPr>
      <w:spacing w:line="276" w:lineRule="auto"/>
      <w:ind w:right="360"/>
      <w:rPr>
        <w:rFonts w:asciiTheme="minorHAnsi" w:hAnsiTheme="minorHAnsi" w:cstheme="minorHAnsi"/>
        <w:b/>
        <w:color w:val="404040" w:themeColor="text1" w:themeTint="BF"/>
        <w:szCs w:val="20"/>
      </w:rPr>
    </w:pPr>
    <w:r w:rsidRPr="004A36EE">
      <w:rPr>
        <w:rFonts w:asciiTheme="minorHAnsi" w:hAnsiTheme="minorHAnsi" w:cstheme="minorHAnsi"/>
        <w:b/>
        <w:color w:val="404040" w:themeColor="text1" w:themeTint="BF"/>
        <w:szCs w:val="20"/>
      </w:rPr>
      <w:t>Table 4 – Geographic Distribution and Location of Investments</w:t>
    </w:r>
  </w:p>
  <w:tbl>
    <w:tblPr>
      <w:tblW w:w="9985" w:type="dxa"/>
      <w:tblLook w:val="04A0" w:firstRow="1" w:lastRow="0" w:firstColumn="1" w:lastColumn="0" w:noHBand="0" w:noVBand="1"/>
    </w:tblPr>
    <w:tblGrid>
      <w:gridCol w:w="1435"/>
      <w:gridCol w:w="2040"/>
      <w:gridCol w:w="1740"/>
      <w:gridCol w:w="4770"/>
    </w:tblGrid>
    <w:tr w:rsidR="005F3FCF" w:rsidRPr="006723EF" w14:paraId="34586133" w14:textId="77777777" w:rsidTr="00816745">
      <w:trPr>
        <w:trHeight w:val="576"/>
      </w:trPr>
      <w:tc>
        <w:tcPr>
          <w:tcW w:w="14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B69C059" w14:textId="77777777" w:rsidR="005F3FCF" w:rsidRPr="006723EF" w:rsidRDefault="005F3FCF" w:rsidP="00816745">
          <w:pPr>
            <w:jc w:val="center"/>
            <w:rPr>
              <w:rFonts w:ascii="Calibri" w:eastAsia="Times New Roman" w:hAnsi="Calibri"/>
              <w:b/>
              <w:bCs/>
              <w:color w:val="404040"/>
              <w:szCs w:val="20"/>
            </w:rPr>
          </w:pPr>
          <w:r w:rsidRPr="006723EF">
            <w:rPr>
              <w:rFonts w:ascii="Calibri" w:eastAsia="Times New Roman" w:hAnsi="Calibri"/>
              <w:b/>
              <w:bCs/>
              <w:color w:val="404040"/>
              <w:szCs w:val="20"/>
            </w:rPr>
            <w:t>Target Area</w:t>
          </w:r>
        </w:p>
      </w:tc>
      <w:tc>
        <w:tcPr>
          <w:tcW w:w="204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03050CDF" w14:textId="77777777" w:rsidR="005F3FCF" w:rsidRPr="006723EF" w:rsidRDefault="005F3FCF" w:rsidP="00816745">
          <w:pPr>
            <w:jc w:val="center"/>
            <w:rPr>
              <w:rFonts w:ascii="Calibri" w:eastAsia="Times New Roman" w:hAnsi="Calibri"/>
              <w:b/>
              <w:bCs/>
              <w:color w:val="404040"/>
              <w:szCs w:val="20"/>
            </w:rPr>
          </w:pPr>
          <w:r w:rsidRPr="006723EF">
            <w:rPr>
              <w:rFonts w:ascii="Calibri" w:eastAsia="Times New Roman" w:hAnsi="Calibri"/>
              <w:b/>
              <w:bCs/>
              <w:color w:val="404040"/>
              <w:szCs w:val="20"/>
            </w:rPr>
            <w:t>Planned Percentage of Allocation</w:t>
          </w:r>
        </w:p>
      </w:tc>
      <w:tc>
        <w:tcPr>
          <w:tcW w:w="174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73CB881F" w14:textId="77777777" w:rsidR="005F3FCF" w:rsidRPr="006723EF" w:rsidRDefault="005F3FCF" w:rsidP="00816745">
          <w:pPr>
            <w:jc w:val="center"/>
            <w:rPr>
              <w:rFonts w:ascii="Calibri" w:eastAsia="Times New Roman" w:hAnsi="Calibri"/>
              <w:b/>
              <w:bCs/>
              <w:color w:val="404040"/>
              <w:szCs w:val="20"/>
            </w:rPr>
          </w:pPr>
          <w:r w:rsidRPr="006723EF">
            <w:rPr>
              <w:rFonts w:ascii="Calibri" w:eastAsia="Times New Roman" w:hAnsi="Calibri"/>
              <w:b/>
              <w:bCs/>
              <w:color w:val="404040"/>
              <w:szCs w:val="20"/>
            </w:rPr>
            <w:t>Actual Percentage of Allocation</w:t>
          </w:r>
        </w:p>
      </w:tc>
      <w:tc>
        <w:tcPr>
          <w:tcW w:w="477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6232078C" w14:textId="77777777" w:rsidR="005F3FCF" w:rsidRPr="006723EF" w:rsidRDefault="005F3FCF" w:rsidP="00816745">
          <w:pPr>
            <w:jc w:val="center"/>
            <w:rPr>
              <w:rFonts w:ascii="Calibri" w:eastAsia="Times New Roman" w:hAnsi="Calibri"/>
              <w:b/>
              <w:bCs/>
              <w:color w:val="404040"/>
              <w:szCs w:val="20"/>
            </w:rPr>
          </w:pPr>
          <w:r w:rsidRPr="006723EF">
            <w:rPr>
              <w:rFonts w:ascii="Calibri" w:eastAsia="Times New Roman" w:hAnsi="Calibri"/>
              <w:b/>
              <w:bCs/>
              <w:color w:val="404040"/>
              <w:szCs w:val="20"/>
            </w:rPr>
            <w:t>Narrative Description</w:t>
          </w:r>
        </w:p>
      </w:tc>
    </w:tr>
    <w:tr w:rsidR="005F3FCF" w:rsidRPr="006723EF" w14:paraId="601B3BEC" w14:textId="77777777" w:rsidTr="00816745">
      <w:trPr>
        <w:trHeight w:val="576"/>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3D95A51D" w14:textId="77777777" w:rsidR="005F3FCF" w:rsidRPr="002C4B57" w:rsidRDefault="005F3FCF" w:rsidP="00816745">
          <w:pPr>
            <w:rPr>
              <w:rFonts w:ascii="Calibri" w:eastAsia="Times New Roman" w:hAnsi="Calibri"/>
              <w:color w:val="404040"/>
              <w:szCs w:val="20"/>
            </w:rPr>
          </w:pPr>
          <w:r w:rsidRPr="002C4B57">
            <w:rPr>
              <w:rFonts w:ascii="Calibri" w:eastAsia="Times New Roman" w:hAnsi="Calibri"/>
              <w:color w:val="404040"/>
              <w:szCs w:val="20"/>
            </w:rPr>
            <w:t>Central City</w:t>
          </w:r>
        </w:p>
      </w:tc>
      <w:tc>
        <w:tcPr>
          <w:tcW w:w="2040" w:type="dxa"/>
          <w:tcBorders>
            <w:top w:val="nil"/>
            <w:left w:val="nil"/>
            <w:bottom w:val="single" w:sz="4" w:space="0" w:color="auto"/>
            <w:right w:val="single" w:sz="4" w:space="0" w:color="auto"/>
          </w:tcBorders>
          <w:shd w:val="clear" w:color="auto" w:fill="auto"/>
          <w:noWrap/>
          <w:vAlign w:val="bottom"/>
          <w:hideMark/>
        </w:tcPr>
        <w:p w14:paraId="30EC1D3B" w14:textId="77777777" w:rsidR="005F3FCF" w:rsidRPr="002C4B57" w:rsidRDefault="005F3FCF" w:rsidP="00816745">
          <w:pPr>
            <w:jc w:val="center"/>
            <w:rPr>
              <w:rFonts w:ascii="Calibri" w:eastAsia="Times New Roman" w:hAnsi="Calibri"/>
              <w:color w:val="404040"/>
              <w:szCs w:val="20"/>
            </w:rPr>
          </w:pPr>
          <w:r>
            <w:rPr>
              <w:rFonts w:ascii="Calibri" w:eastAsia="Times New Roman" w:hAnsi="Calibri"/>
              <w:color w:val="404040"/>
              <w:szCs w:val="20"/>
            </w:rPr>
            <w:t>23%</w:t>
          </w:r>
        </w:p>
      </w:tc>
      <w:tc>
        <w:tcPr>
          <w:tcW w:w="1740" w:type="dxa"/>
          <w:tcBorders>
            <w:top w:val="nil"/>
            <w:left w:val="nil"/>
            <w:bottom w:val="single" w:sz="4" w:space="0" w:color="auto"/>
            <w:right w:val="single" w:sz="4" w:space="0" w:color="auto"/>
          </w:tcBorders>
          <w:shd w:val="clear" w:color="auto" w:fill="auto"/>
          <w:noWrap/>
          <w:vAlign w:val="bottom"/>
          <w:hideMark/>
        </w:tcPr>
        <w:p w14:paraId="6D2A3626" w14:textId="77777777" w:rsidR="005F3FCF" w:rsidRPr="009729F1" w:rsidRDefault="005F3FCF" w:rsidP="00816745">
          <w:pPr>
            <w:jc w:val="center"/>
            <w:rPr>
              <w:rFonts w:ascii="Calibri" w:eastAsia="Times New Roman" w:hAnsi="Calibri"/>
              <w:color w:val="404040"/>
              <w:szCs w:val="20"/>
              <w:highlight w:val="yellow"/>
            </w:rPr>
          </w:pPr>
          <w:r>
            <w:rPr>
              <w:rFonts w:ascii="Calibri" w:eastAsia="Times New Roman" w:hAnsi="Calibri"/>
              <w:color w:val="404040"/>
              <w:szCs w:val="20"/>
            </w:rPr>
            <w:t>4.6</w:t>
          </w:r>
          <w:r w:rsidRPr="008C584D">
            <w:rPr>
              <w:rFonts w:ascii="Calibri" w:eastAsia="Times New Roman" w:hAnsi="Calibri"/>
              <w:color w:val="404040"/>
              <w:szCs w:val="20"/>
            </w:rPr>
            <w:t>%</w:t>
          </w:r>
        </w:p>
      </w:tc>
      <w:tc>
        <w:tcPr>
          <w:tcW w:w="4770" w:type="dxa"/>
          <w:tcBorders>
            <w:top w:val="nil"/>
            <w:left w:val="nil"/>
            <w:bottom w:val="single" w:sz="4" w:space="0" w:color="auto"/>
            <w:right w:val="single" w:sz="4" w:space="0" w:color="auto"/>
          </w:tcBorders>
          <w:shd w:val="clear" w:color="auto" w:fill="auto"/>
          <w:vAlign w:val="bottom"/>
          <w:hideMark/>
        </w:tcPr>
        <w:p w14:paraId="076C4838" w14:textId="77777777" w:rsidR="005F3FCF" w:rsidRPr="002C4B57" w:rsidRDefault="005F3FCF" w:rsidP="00816745">
          <w:pPr>
            <w:rPr>
              <w:rFonts w:ascii="Calibri" w:eastAsia="Times New Roman" w:hAnsi="Calibri"/>
              <w:color w:val="404040"/>
              <w:szCs w:val="20"/>
            </w:rPr>
          </w:pPr>
          <w:r w:rsidRPr="002C4B57">
            <w:rPr>
              <w:rFonts w:ascii="Calibri" w:eastAsia="Times New Roman" w:hAnsi="Calibri"/>
              <w:color w:val="404040"/>
              <w:szCs w:val="20"/>
            </w:rPr>
            <w:t>Projects include: Street infrastructure and economic development activities</w:t>
          </w:r>
        </w:p>
      </w:tc>
    </w:tr>
    <w:tr w:rsidR="005F3FCF" w:rsidRPr="006723EF" w14:paraId="576AAB48" w14:textId="77777777" w:rsidTr="00816745">
      <w:trPr>
        <w:trHeight w:val="864"/>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FD6B3B0" w14:textId="77777777" w:rsidR="005F3FCF" w:rsidRPr="002C4B57" w:rsidRDefault="005F3FCF" w:rsidP="00816745">
          <w:pPr>
            <w:rPr>
              <w:rFonts w:ascii="Calibri" w:eastAsia="Times New Roman" w:hAnsi="Calibri"/>
              <w:color w:val="404040"/>
              <w:szCs w:val="20"/>
            </w:rPr>
          </w:pPr>
          <w:r w:rsidRPr="002C4B57">
            <w:rPr>
              <w:rFonts w:ascii="Calibri" w:eastAsia="Times New Roman" w:hAnsi="Calibri"/>
              <w:color w:val="404040"/>
              <w:szCs w:val="20"/>
            </w:rPr>
            <w:t>Poplar Grove</w:t>
          </w:r>
        </w:p>
      </w:tc>
      <w:tc>
        <w:tcPr>
          <w:tcW w:w="2040" w:type="dxa"/>
          <w:tcBorders>
            <w:top w:val="nil"/>
            <w:left w:val="nil"/>
            <w:bottom w:val="single" w:sz="4" w:space="0" w:color="auto"/>
            <w:right w:val="single" w:sz="4" w:space="0" w:color="auto"/>
          </w:tcBorders>
          <w:shd w:val="clear" w:color="auto" w:fill="auto"/>
          <w:noWrap/>
          <w:vAlign w:val="bottom"/>
          <w:hideMark/>
        </w:tcPr>
        <w:p w14:paraId="3AB83071" w14:textId="77777777" w:rsidR="005F3FCF" w:rsidRPr="002C4B57" w:rsidRDefault="005F3FCF" w:rsidP="00816745">
          <w:pPr>
            <w:jc w:val="center"/>
            <w:rPr>
              <w:rFonts w:ascii="Calibri" w:eastAsia="Times New Roman" w:hAnsi="Calibri"/>
              <w:color w:val="404040"/>
              <w:szCs w:val="20"/>
            </w:rPr>
          </w:pPr>
          <w:r>
            <w:rPr>
              <w:rFonts w:ascii="Calibri" w:eastAsia="Times New Roman" w:hAnsi="Calibri"/>
              <w:color w:val="404040"/>
              <w:szCs w:val="20"/>
            </w:rPr>
            <w:t>20%</w:t>
          </w:r>
        </w:p>
      </w:tc>
      <w:tc>
        <w:tcPr>
          <w:tcW w:w="1740" w:type="dxa"/>
          <w:tcBorders>
            <w:top w:val="nil"/>
            <w:left w:val="nil"/>
            <w:bottom w:val="single" w:sz="4" w:space="0" w:color="auto"/>
            <w:right w:val="single" w:sz="4" w:space="0" w:color="auto"/>
          </w:tcBorders>
          <w:shd w:val="clear" w:color="auto" w:fill="auto"/>
          <w:noWrap/>
          <w:vAlign w:val="bottom"/>
          <w:hideMark/>
        </w:tcPr>
        <w:p w14:paraId="47274028" w14:textId="77777777" w:rsidR="005F3FCF" w:rsidRPr="009729F1" w:rsidRDefault="005F3FCF" w:rsidP="00816745">
          <w:pPr>
            <w:jc w:val="center"/>
            <w:rPr>
              <w:rFonts w:ascii="Calibri" w:eastAsia="Times New Roman" w:hAnsi="Calibri"/>
              <w:color w:val="404040"/>
              <w:szCs w:val="20"/>
              <w:highlight w:val="yellow"/>
            </w:rPr>
          </w:pPr>
          <w:r>
            <w:rPr>
              <w:rFonts w:ascii="Calibri" w:eastAsia="Times New Roman" w:hAnsi="Calibri"/>
              <w:color w:val="404040"/>
              <w:szCs w:val="20"/>
            </w:rPr>
            <w:t>34</w:t>
          </w:r>
          <w:r w:rsidRPr="008C584D">
            <w:rPr>
              <w:rFonts w:ascii="Calibri" w:eastAsia="Times New Roman" w:hAnsi="Calibri"/>
              <w:color w:val="404040"/>
              <w:szCs w:val="20"/>
            </w:rPr>
            <w:t>%</w:t>
          </w:r>
        </w:p>
      </w:tc>
      <w:tc>
        <w:tcPr>
          <w:tcW w:w="4770" w:type="dxa"/>
          <w:tcBorders>
            <w:top w:val="nil"/>
            <w:left w:val="nil"/>
            <w:bottom w:val="single" w:sz="4" w:space="0" w:color="auto"/>
            <w:right w:val="single" w:sz="4" w:space="0" w:color="auto"/>
          </w:tcBorders>
          <w:shd w:val="clear" w:color="auto" w:fill="auto"/>
          <w:vAlign w:val="bottom"/>
          <w:hideMark/>
        </w:tcPr>
        <w:p w14:paraId="47D527F5" w14:textId="77777777" w:rsidR="005F3FCF" w:rsidRPr="002C4B57" w:rsidRDefault="005F3FCF" w:rsidP="00816745">
          <w:pPr>
            <w:rPr>
              <w:rFonts w:ascii="Calibri" w:eastAsia="Times New Roman" w:hAnsi="Calibri"/>
              <w:color w:val="404040"/>
              <w:szCs w:val="20"/>
            </w:rPr>
          </w:pPr>
          <w:r w:rsidRPr="002C4B57">
            <w:rPr>
              <w:rFonts w:ascii="Calibri" w:eastAsia="Times New Roman" w:hAnsi="Calibri"/>
              <w:color w:val="404040"/>
              <w:szCs w:val="20"/>
            </w:rPr>
            <w:t xml:space="preserve">Projects include: Green space improvements, street infrastructure improvements, </w:t>
          </w:r>
          <w:r>
            <w:rPr>
              <w:rFonts w:ascii="Calibri" w:eastAsia="Times New Roman" w:hAnsi="Calibri"/>
              <w:color w:val="404040"/>
              <w:szCs w:val="20"/>
            </w:rPr>
            <w:t xml:space="preserve">and </w:t>
          </w:r>
          <w:r w:rsidRPr="002C4B57">
            <w:rPr>
              <w:rFonts w:ascii="Calibri" w:eastAsia="Times New Roman" w:hAnsi="Calibri"/>
              <w:color w:val="404040"/>
              <w:szCs w:val="20"/>
            </w:rPr>
            <w:t>economic development activities</w:t>
          </w:r>
        </w:p>
      </w:tc>
    </w:tr>
  </w:tbl>
  <w:p w14:paraId="3239DBB9" w14:textId="77777777" w:rsidR="005F3FCF" w:rsidRPr="006723EF" w:rsidRDefault="005F3FCF" w:rsidP="00B10F1E">
    <w:pPr>
      <w:spacing w:line="276" w:lineRule="auto"/>
      <w:ind w:right="360"/>
      <w:rPr>
        <w:rFonts w:asciiTheme="minorHAnsi" w:hAnsiTheme="minorHAnsi" w:cstheme="minorHAnsi"/>
        <w:b/>
        <w:color w:val="FF0000"/>
        <w:szCs w:val="20"/>
      </w:rPr>
    </w:pPr>
  </w:p>
  <w:p w14:paraId="70AF17A1" w14:textId="77777777" w:rsidR="005F3FCF" w:rsidRDefault="005F3FCF" w:rsidP="00B10F1E">
    <w:pPr>
      <w:spacing w:line="276" w:lineRule="auto"/>
      <w:ind w:right="360"/>
      <w:rPr>
        <w:rFonts w:asciiTheme="minorHAnsi" w:hAnsiTheme="minorHAnsi" w:cstheme="minorHAnsi"/>
        <w:b/>
        <w:color w:val="FF0000"/>
        <w:szCs w:val="20"/>
      </w:rPr>
    </w:pPr>
  </w:p>
  <w:p w14:paraId="082A6A03" w14:textId="77777777" w:rsidR="005F3FCF" w:rsidRDefault="005F3FCF" w:rsidP="00B10F1E">
    <w:pPr>
      <w:overflowPunct w:val="0"/>
      <w:autoSpaceDE w:val="0"/>
      <w:autoSpaceDN w:val="0"/>
      <w:adjustRightInd w:val="0"/>
      <w:spacing w:line="336" w:lineRule="auto"/>
      <w:textAlignment w:val="baseline"/>
      <w:rPr>
        <w:rFonts w:asciiTheme="minorHAnsi" w:hAnsiTheme="minorHAnsi" w:cstheme="minorHAnsi"/>
        <w:color w:val="404040" w:themeColor="text1" w:themeTint="BF"/>
        <w:szCs w:val="20"/>
      </w:rPr>
    </w:pPr>
    <w:r>
      <w:rPr>
        <w:rFonts w:asciiTheme="minorHAnsi" w:hAnsiTheme="minorHAnsi" w:cstheme="minorHAnsi"/>
        <w:color w:val="404040" w:themeColor="text1" w:themeTint="BF"/>
        <w:szCs w:val="20"/>
      </w:rPr>
      <w:t xml:space="preserve">Salt Lake City allocated </w:t>
    </w:r>
    <w:r w:rsidRPr="002C4B57">
      <w:rPr>
        <w:rFonts w:asciiTheme="minorHAnsi" w:hAnsiTheme="minorHAnsi" w:cstheme="minorHAnsi"/>
        <w:color w:val="404040" w:themeColor="text1" w:themeTint="BF"/>
        <w:szCs w:val="20"/>
      </w:rPr>
      <w:t xml:space="preserve">a total of </w:t>
    </w:r>
    <w:r>
      <w:rPr>
        <w:rFonts w:asciiTheme="minorHAnsi" w:hAnsiTheme="minorHAnsi" w:cstheme="minorHAnsi"/>
        <w:color w:val="404040" w:themeColor="text1" w:themeTint="BF"/>
        <w:szCs w:val="20"/>
      </w:rPr>
      <w:t>38.6</w:t>
    </w:r>
    <w:r w:rsidRPr="009069EF">
      <w:rPr>
        <w:rFonts w:asciiTheme="minorHAnsi" w:hAnsiTheme="minorHAnsi" w:cstheme="minorHAnsi"/>
        <w:color w:val="404040" w:themeColor="text1" w:themeTint="BF"/>
        <w:szCs w:val="20"/>
      </w:rPr>
      <w:t>%</w:t>
    </w:r>
    <w:r w:rsidRPr="002C4B57">
      <w:rPr>
        <w:rFonts w:asciiTheme="minorHAnsi" w:hAnsiTheme="minorHAnsi" w:cstheme="minorHAnsi"/>
        <w:color w:val="404040" w:themeColor="text1" w:themeTint="BF"/>
        <w:szCs w:val="20"/>
      </w:rPr>
      <w:t xml:space="preserve"> of</w:t>
    </w:r>
    <w:r>
      <w:rPr>
        <w:rFonts w:asciiTheme="minorHAnsi" w:hAnsiTheme="minorHAnsi" w:cstheme="minorHAnsi"/>
        <w:color w:val="404040" w:themeColor="text1" w:themeTint="BF"/>
        <w:szCs w:val="20"/>
      </w:rPr>
      <w:t xml:space="preserve"> CDBG funds available to the Central City &amp; Poplar Grove neighborhoods. These funds were allocated to improve street infrastructure, including addressing accessibility needs; improving green space infrastructure; and economic development façade programs. The City also supported affordable housing efforts within this area, however these programs were available throughout the City to income eligible residents and not just isolated to these two target areas. Because of the City’s Westside Masterplan, more of the allocated money was directed towards the Poplar Grove area.  </w:t>
    </w:r>
  </w:p>
  <w:p w14:paraId="5E31A591" w14:textId="77777777" w:rsidR="005F3FCF" w:rsidRDefault="005F3FCF" w:rsidP="00B10F1E">
    <w:pPr>
      <w:overflowPunct w:val="0"/>
      <w:autoSpaceDE w:val="0"/>
      <w:autoSpaceDN w:val="0"/>
      <w:adjustRightInd w:val="0"/>
      <w:spacing w:line="336" w:lineRule="auto"/>
      <w:textAlignment w:val="baseline"/>
      <w:rPr>
        <w:rFonts w:asciiTheme="minorHAnsi" w:hAnsiTheme="minorHAnsi" w:cstheme="minorHAnsi"/>
        <w:color w:val="404040" w:themeColor="text1" w:themeTint="BF"/>
        <w:szCs w:val="20"/>
      </w:rPr>
    </w:pPr>
  </w:p>
  <w:p w14:paraId="31A99986" w14:textId="77777777" w:rsidR="005F3FCF" w:rsidRDefault="005F3FCF" w:rsidP="00B10F1E">
    <w:pPr>
      <w:overflowPunct w:val="0"/>
      <w:autoSpaceDE w:val="0"/>
      <w:autoSpaceDN w:val="0"/>
      <w:adjustRightInd w:val="0"/>
      <w:spacing w:line="336" w:lineRule="auto"/>
      <w:textAlignment w:val="baseline"/>
      <w:rPr>
        <w:rFonts w:asciiTheme="minorHAnsi" w:hAnsiTheme="minorHAnsi" w:cstheme="minorHAnsi"/>
        <w:color w:val="404040" w:themeColor="text1" w:themeTint="BF"/>
        <w:szCs w:val="20"/>
      </w:rPr>
    </w:pPr>
    <w:r w:rsidRPr="00A76C19">
      <w:rPr>
        <w:rFonts w:asciiTheme="minorHAnsi" w:hAnsiTheme="minorHAnsi" w:cstheme="minorHAnsi"/>
        <w:color w:val="404040" w:themeColor="text1" w:themeTint="BF"/>
        <w:szCs w:val="20"/>
      </w:rPr>
      <w:t>The CDBG program’s primary objective is to promote the development of viable urban communities by providing decent housing, suitable living environments and expanded economic actives to persons of low and moderate income. To support the CDBG program’s primary objectives, Salt Lake City</w:t>
    </w:r>
    <w:r>
      <w:rPr>
        <w:rFonts w:asciiTheme="minorHAnsi" w:hAnsiTheme="minorHAnsi" w:cstheme="minorHAnsi"/>
        <w:color w:val="404040" w:themeColor="text1" w:themeTint="BF"/>
        <w:szCs w:val="20"/>
      </w:rPr>
      <w:t xml:space="preserve"> has directed funding to local target areas to build capacity and expand resources within concentrated areas of poverty.</w:t>
    </w:r>
  </w:p>
  <w:p w14:paraId="52736818" w14:textId="77777777" w:rsidR="005F3FCF" w:rsidRDefault="005F3FCF" w:rsidP="00B10F1E">
    <w:pPr>
      <w:overflowPunct w:val="0"/>
      <w:autoSpaceDE w:val="0"/>
      <w:autoSpaceDN w:val="0"/>
      <w:adjustRightInd w:val="0"/>
      <w:spacing w:line="336" w:lineRule="auto"/>
      <w:textAlignment w:val="baseline"/>
      <w:rPr>
        <w:rFonts w:asciiTheme="minorHAnsi" w:hAnsiTheme="minorHAnsi" w:cstheme="minorHAnsi"/>
        <w:color w:val="404040" w:themeColor="text1" w:themeTint="BF"/>
        <w:szCs w:val="20"/>
      </w:rPr>
    </w:pPr>
    <w:r>
      <w:rPr>
        <w:rFonts w:asciiTheme="minorHAnsi" w:hAnsiTheme="minorHAnsi" w:cstheme="minorHAnsi"/>
        <w:color w:val="404040" w:themeColor="text1" w:themeTint="BF"/>
        <w:szCs w:val="20"/>
      </w:rPr>
      <w:t xml:space="preserve"> </w:t>
    </w:r>
  </w:p>
  <w:p w14:paraId="306D4653" w14:textId="77777777" w:rsidR="005F3FCF" w:rsidRPr="00A76C19" w:rsidRDefault="005F3FCF" w:rsidP="00B10F1E">
    <w:pPr>
      <w:spacing w:line="336" w:lineRule="auto"/>
      <w:rPr>
        <w:rFonts w:asciiTheme="minorHAnsi" w:hAnsiTheme="minorHAnsi"/>
        <w:color w:val="404040" w:themeColor="text1" w:themeTint="BF"/>
        <w:szCs w:val="20"/>
      </w:rPr>
    </w:pPr>
    <w:r w:rsidRPr="00A76C19">
      <w:rPr>
        <w:rFonts w:asciiTheme="minorHAnsi" w:hAnsiTheme="minorHAnsi"/>
        <w:color w:val="404040" w:themeColor="text1" w:themeTint="BF"/>
        <w:szCs w:val="20"/>
      </w:rPr>
      <w:t xml:space="preserve">Salt Lake City’s Division of Housing and Neighborhood Development, along with internal and community stakeholders, identified the Central City/Central Ninth and Poplar Grove target areas through an extensive process that included data analysis, identification of opportunities/barriers, and an evaluation of potential resources. Through this process, the Central City and Poplar Grove neighborhoods were identified as areas where a concentration of resources would make significant impacts within the community. </w:t>
    </w:r>
  </w:p>
  <w:p w14:paraId="6B2F9D51" w14:textId="77777777" w:rsidR="005F3FCF" w:rsidRPr="00A76C19" w:rsidRDefault="005F3FCF" w:rsidP="00B10F1E">
    <w:pPr>
      <w:spacing w:line="336" w:lineRule="auto"/>
      <w:rPr>
        <w:rFonts w:asciiTheme="minorHAnsi" w:hAnsiTheme="minorHAnsi"/>
        <w:color w:val="404040" w:themeColor="text1" w:themeTint="BF"/>
        <w:szCs w:val="20"/>
      </w:rPr>
    </w:pPr>
  </w:p>
  <w:p w14:paraId="1CB30AFD" w14:textId="77777777" w:rsidR="005F3FCF" w:rsidRPr="00A76C19" w:rsidRDefault="005F3FCF" w:rsidP="00B10F1E">
    <w:pPr>
      <w:spacing w:line="336" w:lineRule="auto"/>
      <w:rPr>
        <w:rFonts w:asciiTheme="minorHAnsi" w:hAnsiTheme="minorHAnsi"/>
        <w:color w:val="404040" w:themeColor="text1" w:themeTint="BF"/>
        <w:szCs w:val="20"/>
      </w:rPr>
    </w:pPr>
    <w:r w:rsidRPr="00A76C19">
      <w:rPr>
        <w:rFonts w:asciiTheme="minorHAnsi" w:hAnsiTheme="minorHAnsi"/>
        <w:color w:val="404040" w:themeColor="text1" w:themeTint="BF"/>
        <w:szCs w:val="20"/>
      </w:rPr>
      <w:t>Of particular importance is to direct resources to expand opportunity within racial/ethnic concentrated areas of poverty. According to HUD, neighborhoods of concentrated poverty isolate residents from the resources and networks needed to reach their potential. The concentration of poverty can influence outcomes relating to crime, delinquency, education, physiological distress, and various health problems. Salt Lake City intends to expand opportunity within the target areas to limit intergenerational poverty and increase access to community assets.</w:t>
    </w:r>
  </w:p>
  <w:p w14:paraId="1BB94861" w14:textId="77777777" w:rsidR="005F3FCF" w:rsidRDefault="005F3FCF" w:rsidP="00B10F1E">
    <w:pPr>
      <w:spacing w:line="276" w:lineRule="auto"/>
      <w:ind w:right="360"/>
      <w:rPr>
        <w:rFonts w:asciiTheme="minorHAnsi" w:hAnsiTheme="minorHAnsi" w:cstheme="minorHAnsi"/>
        <w:b/>
        <w:color w:val="FF0000"/>
        <w:szCs w:val="20"/>
      </w:rPr>
    </w:pPr>
  </w:p>
  <w:p w14:paraId="2E1A7B1E" w14:textId="77777777" w:rsidR="005F3FCF" w:rsidRPr="009161F7" w:rsidRDefault="005F3FCF" w:rsidP="00B10F1E">
    <w:pPr>
      <w:spacing w:line="276" w:lineRule="auto"/>
      <w:ind w:right="360"/>
      <w:rPr>
        <w:rFonts w:asciiTheme="minorHAnsi" w:hAnsiTheme="minorHAnsi" w:cstheme="minorHAnsi"/>
        <w:b/>
        <w:color w:val="404040" w:themeColor="text1" w:themeTint="BF"/>
        <w:szCs w:val="20"/>
      </w:rPr>
    </w:pPr>
    <w:r w:rsidRPr="009161F7">
      <w:rPr>
        <w:rFonts w:asciiTheme="minorHAnsi" w:hAnsiTheme="minorHAnsi" w:cstheme="minorHAnsi"/>
        <w:b/>
        <w:color w:val="404040" w:themeColor="text1" w:themeTint="BF"/>
        <w:szCs w:val="20"/>
      </w:rPr>
      <w:t>LEVERAGING</w:t>
    </w:r>
  </w:p>
  <w:p w14:paraId="48F20B7C" w14:textId="77777777" w:rsidR="005F3FCF" w:rsidRPr="009161F7" w:rsidRDefault="005F3FCF" w:rsidP="00B10F1E">
    <w:pPr>
      <w:spacing w:line="276" w:lineRule="auto"/>
      <w:ind w:right="360"/>
      <w:rPr>
        <w:rFonts w:asciiTheme="minorHAnsi" w:hAnsiTheme="minorHAnsi" w:cstheme="minorHAnsi"/>
        <w:i/>
        <w:color w:val="404040" w:themeColor="text1" w:themeTint="BF"/>
        <w:szCs w:val="20"/>
      </w:rPr>
    </w:pPr>
    <w:r w:rsidRPr="009161F7">
      <w:rPr>
        <w:rFonts w:asciiTheme="minorHAnsi" w:hAnsiTheme="minorHAnsi" w:cstheme="minorHAnsi"/>
        <w:i/>
        <w:color w:val="404040" w:themeColor="text1" w:themeTint="BF"/>
        <w:szCs w:val="20"/>
      </w:rPr>
      <w:t>Explain how federal funds leveraged additional resources (private, state, and local funds), including a description of how matching requirements were satisfied, as well as how any publicly owned land or property located within the jurisdiction that were used to address the needs identified in the plan.</w:t>
    </w:r>
  </w:p>
  <w:p w14:paraId="08AF68DF" w14:textId="77777777" w:rsidR="005F3FCF" w:rsidRPr="009161F7" w:rsidRDefault="005F3FCF" w:rsidP="00B10F1E">
    <w:pPr>
      <w:spacing w:line="360" w:lineRule="auto"/>
      <w:ind w:right="360"/>
      <w:rPr>
        <w:rFonts w:asciiTheme="minorHAnsi" w:hAnsiTheme="minorHAnsi" w:cstheme="minorHAnsi"/>
        <w:b/>
        <w:color w:val="404040" w:themeColor="text1" w:themeTint="BF"/>
        <w:szCs w:val="20"/>
      </w:rPr>
    </w:pPr>
  </w:p>
  <w:p w14:paraId="4C56D7CD" w14:textId="77777777" w:rsidR="005F3FCF" w:rsidRPr="009161F7" w:rsidRDefault="005F3FCF" w:rsidP="00B10F1E">
    <w:pPr>
      <w:autoSpaceDE w:val="0"/>
      <w:autoSpaceDN w:val="0"/>
      <w:adjustRightInd w:val="0"/>
      <w:spacing w:line="360" w:lineRule="auto"/>
      <w:rPr>
        <w:rFonts w:asciiTheme="minorHAnsi" w:hAnsiTheme="minorHAnsi" w:cs="Candara"/>
        <w:color w:val="404040" w:themeColor="text1" w:themeTint="BF"/>
        <w:szCs w:val="20"/>
        <w:u w:val="single"/>
      </w:rPr>
    </w:pPr>
    <w:r w:rsidRPr="009161F7">
      <w:rPr>
        <w:rFonts w:asciiTheme="minorHAnsi" w:hAnsiTheme="minorHAnsi" w:cs="Candara"/>
        <w:color w:val="404040" w:themeColor="text1" w:themeTint="BF"/>
        <w:szCs w:val="20"/>
        <w:u w:val="single"/>
      </w:rPr>
      <w:t>Match Requirements</w:t>
    </w:r>
  </w:p>
  <w:p w14:paraId="3AA1B46E" w14:textId="77777777" w:rsidR="005F3FCF" w:rsidRPr="009161F7" w:rsidRDefault="005F3FCF" w:rsidP="00B10F1E">
    <w:pPr>
      <w:autoSpaceDE w:val="0"/>
      <w:autoSpaceDN w:val="0"/>
      <w:adjustRightInd w:val="0"/>
      <w:spacing w:line="360" w:lineRule="auto"/>
      <w:rPr>
        <w:rFonts w:asciiTheme="minorHAnsi" w:hAnsiTheme="minorHAnsi" w:cs="Candara"/>
        <w:color w:val="404040" w:themeColor="text1" w:themeTint="BF"/>
        <w:szCs w:val="20"/>
      </w:rPr>
    </w:pPr>
    <w:r w:rsidRPr="009161F7">
      <w:rPr>
        <w:rFonts w:asciiTheme="minorHAnsi" w:hAnsiTheme="minorHAnsi" w:cs="Candara"/>
        <w:color w:val="404040" w:themeColor="text1" w:themeTint="BF"/>
        <w:szCs w:val="20"/>
      </w:rPr>
      <w:t xml:space="preserve">HUD, like many other federal agencies, encourages the recipients of federal monies to demonstrate that efforts are being made to strategically leverage additional funds in order to achieve greater results. Leverage is also a way to increase project efficiencies and benefit from economies of scale that often come with combining sources of funding for similar or expanded scopes. </w:t>
    </w:r>
  </w:p>
  <w:p w14:paraId="6893BB72" w14:textId="77777777" w:rsidR="005F3FCF" w:rsidRPr="009161F7" w:rsidRDefault="005F3FCF" w:rsidP="00B10F1E">
    <w:pPr>
      <w:pStyle w:val="ListParagraph"/>
      <w:numPr>
        <w:ilvl w:val="0"/>
        <w:numId w:val="20"/>
      </w:numPr>
      <w:autoSpaceDE w:val="0"/>
      <w:autoSpaceDN w:val="0"/>
      <w:adjustRightInd w:val="0"/>
      <w:spacing w:line="360" w:lineRule="auto"/>
      <w:ind w:left="720"/>
      <w:rPr>
        <w:rFonts w:asciiTheme="minorHAnsi" w:hAnsiTheme="minorHAnsi" w:cs="Candara"/>
        <w:color w:val="404040" w:themeColor="text1" w:themeTint="BF"/>
        <w:szCs w:val="20"/>
      </w:rPr>
    </w:pPr>
    <w:r w:rsidRPr="009161F7">
      <w:rPr>
        <w:rFonts w:asciiTheme="minorHAnsi" w:hAnsiTheme="minorHAnsi" w:cs="Candara"/>
        <w:color w:val="404040" w:themeColor="text1" w:themeTint="BF"/>
        <w:szCs w:val="20"/>
      </w:rPr>
      <w:t>HOME Investment Partnership Program – 25% Match Requirement</w:t>
    </w:r>
  </w:p>
  <w:p w14:paraId="068AFC4E" w14:textId="77777777" w:rsidR="005F3FCF" w:rsidRPr="009161F7" w:rsidRDefault="005F3FCF" w:rsidP="00B10F1E">
    <w:pPr>
      <w:autoSpaceDE w:val="0"/>
      <w:autoSpaceDN w:val="0"/>
      <w:adjustRightInd w:val="0"/>
      <w:spacing w:line="360" w:lineRule="auto"/>
      <w:ind w:left="720"/>
      <w:rPr>
        <w:rFonts w:asciiTheme="minorHAnsi" w:hAnsiTheme="minorHAnsi" w:cs="Candara"/>
        <w:color w:val="FF0000"/>
        <w:szCs w:val="20"/>
      </w:rPr>
    </w:pPr>
    <w:r w:rsidRPr="009161F7">
      <w:rPr>
        <w:rFonts w:asciiTheme="minorHAnsi" w:hAnsiTheme="minorHAnsi" w:cs="Candara"/>
        <w:color w:val="404040" w:themeColor="text1" w:themeTint="BF"/>
        <w:szCs w:val="20"/>
      </w:rPr>
      <w:t>Salt Lak</w:t>
    </w:r>
    <w:r w:rsidRPr="004A36EE">
      <w:rPr>
        <w:rFonts w:asciiTheme="minorHAnsi" w:hAnsiTheme="minorHAnsi" w:cs="Candara"/>
        <w:color w:val="404040" w:themeColor="text1" w:themeTint="BF"/>
        <w:szCs w:val="20"/>
      </w:rPr>
      <w:t xml:space="preserve">e City ensures that HOME match requirements are met by utilizing the leveraging capacity of its subrecipients.  Funding sources used to meet the HOME match requirements include waived impact fees. </w:t>
    </w:r>
    <w:r w:rsidRPr="004A36EE">
      <w:rPr>
        <w:rFonts w:asciiTheme="minorHAnsi" w:hAnsiTheme="minorHAnsi"/>
        <w:color w:val="404040" w:themeColor="text1" w:themeTint="BF"/>
        <w:shd w:val="clear" w:color="auto" w:fill="FFFFFF"/>
      </w:rPr>
      <w:t>Impact fees are payments required by the City of new development for the purpose of providing new or expanded public capital facilities required to serve that development. In an effort to encourage affordable housing development, the City waives these fees on a case by case basis</w:t>
    </w:r>
    <w:r>
      <w:rPr>
        <w:rFonts w:asciiTheme="minorHAnsi" w:hAnsiTheme="minorHAnsi"/>
        <w:color w:val="404040" w:themeColor="text1" w:themeTint="BF"/>
        <w:shd w:val="clear" w:color="auto" w:fill="FFFFFF"/>
      </w:rPr>
      <w:t>, contingent upon the number of affordable units being provided in the development project</w:t>
    </w:r>
    <w:r w:rsidRPr="004A36EE">
      <w:rPr>
        <w:rFonts w:asciiTheme="minorHAnsi" w:hAnsiTheme="minorHAnsi"/>
        <w:color w:val="404040" w:themeColor="text1" w:themeTint="BF"/>
        <w:shd w:val="clear" w:color="auto" w:fill="FFFFFF"/>
      </w:rPr>
      <w:t xml:space="preserve">. </w:t>
    </w:r>
  </w:p>
  <w:p w14:paraId="1CFDE16E" w14:textId="77777777" w:rsidR="005F3FCF" w:rsidRPr="009161F7" w:rsidRDefault="005F3FCF" w:rsidP="00B10F1E">
    <w:pPr>
      <w:autoSpaceDE w:val="0"/>
      <w:autoSpaceDN w:val="0"/>
      <w:adjustRightInd w:val="0"/>
      <w:spacing w:line="360" w:lineRule="auto"/>
      <w:rPr>
        <w:rFonts w:asciiTheme="minorHAnsi" w:hAnsiTheme="minorHAnsi" w:cs="Candara"/>
        <w:color w:val="404040" w:themeColor="text1" w:themeTint="BF"/>
        <w:szCs w:val="20"/>
      </w:rPr>
    </w:pPr>
  </w:p>
  <w:p w14:paraId="52BDE910" w14:textId="77777777" w:rsidR="005F3FCF" w:rsidRPr="009161F7" w:rsidRDefault="005F3FCF" w:rsidP="00B10F1E">
    <w:pPr>
      <w:pStyle w:val="ListParagraph"/>
      <w:numPr>
        <w:ilvl w:val="0"/>
        <w:numId w:val="20"/>
      </w:numPr>
      <w:autoSpaceDE w:val="0"/>
      <w:autoSpaceDN w:val="0"/>
      <w:adjustRightInd w:val="0"/>
      <w:spacing w:line="360" w:lineRule="auto"/>
      <w:ind w:left="720"/>
      <w:rPr>
        <w:rFonts w:asciiTheme="minorHAnsi" w:hAnsiTheme="minorHAnsi" w:cs="Candara"/>
        <w:color w:val="404040" w:themeColor="text1" w:themeTint="BF"/>
        <w:szCs w:val="20"/>
      </w:rPr>
    </w:pPr>
    <w:r w:rsidRPr="009161F7">
      <w:rPr>
        <w:rFonts w:asciiTheme="minorHAnsi" w:hAnsiTheme="minorHAnsi" w:cs="Candara"/>
        <w:color w:val="404040" w:themeColor="text1" w:themeTint="BF"/>
        <w:szCs w:val="20"/>
      </w:rPr>
      <w:t>Emergency Solutions Grant – 100% Match Requirement</w:t>
    </w:r>
  </w:p>
  <w:p w14:paraId="5AA2FC2D" w14:textId="77777777" w:rsidR="005F3FCF" w:rsidRPr="005F3CE2" w:rsidRDefault="005F3FCF" w:rsidP="00B10F1E">
    <w:pPr>
      <w:pStyle w:val="ListParagraph"/>
      <w:autoSpaceDE w:val="0"/>
      <w:autoSpaceDN w:val="0"/>
      <w:adjustRightInd w:val="0"/>
      <w:spacing w:line="360" w:lineRule="auto"/>
      <w:rPr>
        <w:rFonts w:asciiTheme="minorHAnsi" w:hAnsiTheme="minorHAnsi" w:cs="Candara"/>
        <w:color w:val="262626" w:themeColor="text1" w:themeTint="D9"/>
        <w:szCs w:val="20"/>
      </w:rPr>
    </w:pPr>
    <w:r w:rsidRPr="009161F7">
      <w:rPr>
        <w:rFonts w:asciiTheme="minorHAnsi" w:hAnsiTheme="minorHAnsi" w:cs="Candara"/>
        <w:color w:val="404040" w:themeColor="text1" w:themeTint="BF"/>
        <w:szCs w:val="20"/>
      </w:rPr>
      <w:t>Salt Lake City ensures that ESG match requirements are met by utilizing the leveraging capacity of its subgrantees.  Funding sources used to meet the ESG match requirements inclu</w:t>
    </w:r>
    <w:r w:rsidRPr="005F3FCF">
      <w:rPr>
        <w:rFonts w:asciiTheme="minorHAnsi" w:hAnsiTheme="minorHAnsi" w:cs="Candara"/>
        <w:color w:val="404040" w:themeColor="text1" w:themeTint="BF"/>
        <w:szCs w:val="20"/>
      </w:rPr>
      <w:t>de</w:t>
    </w:r>
    <w:r w:rsidRPr="005F3CE2">
      <w:rPr>
        <w:rFonts w:asciiTheme="minorHAnsi" w:hAnsiTheme="minorHAnsi" w:cs="Candara"/>
        <w:color w:val="262626" w:themeColor="text1" w:themeTint="D9"/>
        <w:szCs w:val="20"/>
      </w:rPr>
      <w:t xml:space="preserve"> federal, state</w:t>
    </w:r>
    <w:r>
      <w:rPr>
        <w:rFonts w:asciiTheme="minorHAnsi" w:hAnsiTheme="minorHAnsi" w:cs="Candara"/>
        <w:color w:val="262626" w:themeColor="text1" w:themeTint="D9"/>
        <w:szCs w:val="20"/>
      </w:rPr>
      <w:t>,</w:t>
    </w:r>
    <w:r w:rsidRPr="005F3CE2">
      <w:rPr>
        <w:rFonts w:asciiTheme="minorHAnsi" w:hAnsiTheme="minorHAnsi" w:cs="Candara"/>
        <w:color w:val="262626" w:themeColor="text1" w:themeTint="D9"/>
        <w:szCs w:val="20"/>
      </w:rPr>
      <w:t xml:space="preserve"> and local grants; private contributions; private foundations; United Way; Continuum of Care funding; City General Fund; in-kind match and unrestricted donations.</w:t>
    </w:r>
  </w:p>
  <w:p w14:paraId="39B143BB" w14:textId="77777777" w:rsidR="005F3FCF" w:rsidRDefault="005F3FCF" w:rsidP="00B10F1E">
    <w:pPr>
      <w:autoSpaceDE w:val="0"/>
      <w:autoSpaceDN w:val="0"/>
      <w:adjustRightInd w:val="0"/>
      <w:spacing w:line="360" w:lineRule="auto"/>
      <w:rPr>
        <w:rFonts w:asciiTheme="minorHAnsi" w:hAnsiTheme="minorHAnsi" w:cs="Candara"/>
        <w:color w:val="404040" w:themeColor="text1" w:themeTint="BF"/>
        <w:szCs w:val="20"/>
        <w:u w:val="single"/>
      </w:rPr>
    </w:pPr>
  </w:p>
  <w:p w14:paraId="608040A9" w14:textId="77777777" w:rsidR="005F3FCF" w:rsidRDefault="005F3FCF" w:rsidP="00B10F1E">
    <w:pPr>
      <w:autoSpaceDE w:val="0"/>
      <w:autoSpaceDN w:val="0"/>
      <w:adjustRightInd w:val="0"/>
      <w:spacing w:line="360" w:lineRule="auto"/>
      <w:rPr>
        <w:rFonts w:asciiTheme="minorHAnsi" w:hAnsiTheme="minorHAnsi" w:cs="Candara"/>
        <w:color w:val="404040" w:themeColor="text1" w:themeTint="BF"/>
        <w:szCs w:val="20"/>
        <w:u w:val="single"/>
      </w:rPr>
    </w:pPr>
  </w:p>
  <w:p w14:paraId="333D8A88" w14:textId="77777777" w:rsidR="005F3FCF" w:rsidRDefault="005F3FCF" w:rsidP="00B10F1E">
    <w:pPr>
      <w:autoSpaceDE w:val="0"/>
      <w:autoSpaceDN w:val="0"/>
      <w:adjustRightInd w:val="0"/>
      <w:spacing w:line="360" w:lineRule="auto"/>
      <w:rPr>
        <w:rFonts w:asciiTheme="minorHAnsi" w:hAnsiTheme="minorHAnsi" w:cs="Candara"/>
        <w:color w:val="404040" w:themeColor="text1" w:themeTint="BF"/>
        <w:szCs w:val="20"/>
        <w:u w:val="single"/>
      </w:rPr>
    </w:pPr>
  </w:p>
  <w:p w14:paraId="5AF855E7" w14:textId="77777777" w:rsidR="005F3FCF" w:rsidRPr="009161F7" w:rsidRDefault="005F3FCF" w:rsidP="00B10F1E">
    <w:pPr>
      <w:autoSpaceDE w:val="0"/>
      <w:autoSpaceDN w:val="0"/>
      <w:adjustRightInd w:val="0"/>
      <w:spacing w:line="360" w:lineRule="auto"/>
      <w:rPr>
        <w:rFonts w:asciiTheme="minorHAnsi" w:hAnsiTheme="minorHAnsi" w:cs="Candara"/>
        <w:color w:val="404040" w:themeColor="text1" w:themeTint="BF"/>
        <w:szCs w:val="20"/>
        <w:u w:val="single"/>
      </w:rPr>
    </w:pPr>
    <w:r w:rsidRPr="009161F7">
      <w:rPr>
        <w:rFonts w:asciiTheme="minorHAnsi" w:hAnsiTheme="minorHAnsi" w:cs="Candara"/>
        <w:color w:val="404040" w:themeColor="text1" w:themeTint="BF"/>
        <w:szCs w:val="20"/>
        <w:u w:val="single"/>
      </w:rPr>
      <w:t>Fund Leveraging</w:t>
    </w:r>
  </w:p>
  <w:p w14:paraId="0404583D" w14:textId="77777777" w:rsidR="005F3FCF" w:rsidRPr="009161F7" w:rsidRDefault="005F3FCF" w:rsidP="00B10F1E">
    <w:pPr>
      <w:autoSpaceDE w:val="0"/>
      <w:autoSpaceDN w:val="0"/>
      <w:adjustRightInd w:val="0"/>
      <w:spacing w:line="360" w:lineRule="auto"/>
      <w:rPr>
        <w:rFonts w:asciiTheme="minorHAnsi" w:hAnsiTheme="minorHAnsi" w:cs="Candara"/>
        <w:color w:val="404040" w:themeColor="text1" w:themeTint="BF"/>
        <w:szCs w:val="20"/>
      </w:rPr>
    </w:pPr>
    <w:r w:rsidRPr="009161F7">
      <w:rPr>
        <w:rFonts w:asciiTheme="minorHAnsi" w:hAnsiTheme="minorHAnsi" w:cs="Candara"/>
        <w:color w:val="404040" w:themeColor="text1" w:themeTint="BF"/>
        <w:szCs w:val="20"/>
      </w:rPr>
      <w:t>Leverage, in the context of the City’s four HUD Programs, means bringing other local, state, and federal financial resources in order to maximize the reach and impact of the City’s HUD Programs. Resources for leverage include the following:</w:t>
    </w:r>
  </w:p>
  <w:p w14:paraId="35B9BD0E" w14:textId="77777777" w:rsidR="005F3FCF" w:rsidRPr="009161F7" w:rsidRDefault="005F3FCF" w:rsidP="00B10F1E">
    <w:pPr>
      <w:pStyle w:val="ListParagraph"/>
      <w:numPr>
        <w:ilvl w:val="0"/>
        <w:numId w:val="19"/>
      </w:numPr>
      <w:spacing w:line="360" w:lineRule="auto"/>
      <w:rPr>
        <w:rFonts w:asciiTheme="minorHAnsi" w:hAnsiTheme="minorHAnsi"/>
        <w:color w:val="404040" w:themeColor="text1" w:themeTint="BF"/>
        <w:szCs w:val="20"/>
      </w:rPr>
    </w:pPr>
    <w:r w:rsidRPr="009161F7">
      <w:rPr>
        <w:rFonts w:asciiTheme="minorHAnsi" w:hAnsiTheme="minorHAnsi"/>
        <w:color w:val="404040" w:themeColor="text1" w:themeTint="BF"/>
        <w:szCs w:val="20"/>
      </w:rPr>
      <w:t>Housing Choice Section 8 Vouchers</w:t>
    </w:r>
  </w:p>
  <w:p w14:paraId="319691F6" w14:textId="77777777" w:rsidR="005F3FCF" w:rsidRPr="009161F7" w:rsidRDefault="005F3FCF" w:rsidP="00B10F1E">
    <w:pPr>
      <w:spacing w:line="360" w:lineRule="auto"/>
      <w:ind w:left="720"/>
      <w:rPr>
        <w:rFonts w:asciiTheme="minorHAnsi" w:hAnsiTheme="minorHAnsi"/>
        <w:color w:val="404040" w:themeColor="text1" w:themeTint="BF"/>
        <w:szCs w:val="20"/>
      </w:rPr>
    </w:pPr>
    <w:r w:rsidRPr="009161F7">
      <w:rPr>
        <w:rFonts w:asciiTheme="minorHAnsi" w:hAnsiTheme="minorHAnsi"/>
        <w:color w:val="404040" w:themeColor="text1" w:themeTint="BF"/>
        <w:szCs w:val="20"/>
      </w:rPr>
      <w:t>The Housing Authority of Salt Lake City and The Housing Authority of the County of Salt Lake currently administer Housi</w:t>
    </w:r>
    <w:r>
      <w:rPr>
        <w:rFonts w:asciiTheme="minorHAnsi" w:hAnsiTheme="minorHAnsi"/>
        <w:color w:val="404040" w:themeColor="text1" w:themeTint="BF"/>
        <w:szCs w:val="20"/>
      </w:rPr>
      <w:t>ng Choice (Section 8) vouchers.</w:t>
    </w:r>
    <w:r w:rsidRPr="009161F7">
      <w:rPr>
        <w:rFonts w:asciiTheme="minorHAnsi" w:hAnsiTheme="minorHAnsi"/>
        <w:color w:val="404040" w:themeColor="text1" w:themeTint="BF"/>
        <w:szCs w:val="20"/>
      </w:rPr>
      <w:t xml:space="preserve"> Many of the clients receiving assistance though other HUD funded programs, are utilizing this housing assistance to stabilize and maintain housing. Currently, both housing authorities have closed waiting lists due to the disparity of the volume of those needing assistance vs. available funding.</w:t>
    </w:r>
  </w:p>
  <w:p w14:paraId="786A55F7" w14:textId="77777777" w:rsidR="005F3FCF" w:rsidRPr="009161F7" w:rsidRDefault="005F3FCF" w:rsidP="00B10F1E">
    <w:pPr>
      <w:spacing w:line="360" w:lineRule="auto"/>
      <w:rPr>
        <w:rFonts w:asciiTheme="minorHAnsi" w:hAnsiTheme="minorHAnsi"/>
        <w:b/>
        <w:color w:val="404040" w:themeColor="text1" w:themeTint="BF"/>
        <w:szCs w:val="20"/>
      </w:rPr>
    </w:pPr>
  </w:p>
  <w:p w14:paraId="2270EF80" w14:textId="77777777" w:rsidR="005F3FCF" w:rsidRPr="009161F7" w:rsidRDefault="005F3FCF" w:rsidP="00B10F1E">
    <w:pPr>
      <w:pStyle w:val="ListParagraph"/>
      <w:numPr>
        <w:ilvl w:val="0"/>
        <w:numId w:val="19"/>
      </w:numPr>
      <w:spacing w:line="360" w:lineRule="auto"/>
      <w:rPr>
        <w:rFonts w:asciiTheme="minorHAnsi" w:hAnsiTheme="minorHAnsi"/>
        <w:color w:val="404040" w:themeColor="text1" w:themeTint="BF"/>
        <w:szCs w:val="20"/>
      </w:rPr>
    </w:pPr>
    <w:r w:rsidRPr="009161F7">
      <w:rPr>
        <w:rFonts w:asciiTheme="minorHAnsi" w:hAnsiTheme="minorHAnsi"/>
        <w:color w:val="404040" w:themeColor="text1" w:themeTint="BF"/>
        <w:szCs w:val="20"/>
      </w:rPr>
      <w:t xml:space="preserve">Low Income Housing Tax Credits </w:t>
    </w:r>
  </w:p>
  <w:p w14:paraId="61A0C442" w14:textId="77777777" w:rsidR="005F3FCF" w:rsidRPr="009161F7" w:rsidRDefault="005F3FCF" w:rsidP="00B10F1E">
    <w:pPr>
      <w:spacing w:line="360" w:lineRule="auto"/>
      <w:ind w:left="720"/>
      <w:rPr>
        <w:rFonts w:asciiTheme="minorHAnsi" w:hAnsiTheme="minorHAnsi"/>
        <w:b/>
        <w:color w:val="404040" w:themeColor="text1" w:themeTint="BF"/>
        <w:szCs w:val="20"/>
      </w:rPr>
    </w:pPr>
    <w:r w:rsidRPr="00185912">
      <w:rPr>
        <w:rFonts w:asciiTheme="minorHAnsi" w:hAnsiTheme="minorHAnsi"/>
        <w:color w:val="404040" w:themeColor="text1" w:themeTint="BF"/>
        <w:szCs w:val="20"/>
      </w:rPr>
      <w:t>Federal 4% and 9%</w:t>
    </w:r>
    <w:r w:rsidRPr="009161F7">
      <w:rPr>
        <w:rFonts w:asciiTheme="minorHAnsi" w:hAnsiTheme="minorHAnsi"/>
        <w:color w:val="404040" w:themeColor="text1" w:themeTint="BF"/>
        <w:szCs w:val="20"/>
      </w:rPr>
      <w:t xml:space="preserve"> tax credits are a major funding source of capital for the construction and rehabilitation of affordable rental homes. In 201</w:t>
    </w:r>
    <w:r>
      <w:rPr>
        <w:rFonts w:asciiTheme="minorHAnsi" w:hAnsiTheme="minorHAnsi"/>
        <w:color w:val="404040" w:themeColor="text1" w:themeTint="BF"/>
        <w:szCs w:val="20"/>
      </w:rPr>
      <w:t>6</w:t>
    </w:r>
    <w:r w:rsidRPr="009161F7">
      <w:rPr>
        <w:rFonts w:asciiTheme="minorHAnsi" w:hAnsiTheme="minorHAnsi"/>
        <w:color w:val="404040" w:themeColor="text1" w:themeTint="BF"/>
        <w:szCs w:val="20"/>
      </w:rPr>
      <w:t xml:space="preserve">, </w:t>
    </w:r>
    <w:r>
      <w:rPr>
        <w:rFonts w:asciiTheme="minorHAnsi" w:hAnsiTheme="minorHAnsi"/>
        <w:color w:val="404040" w:themeColor="text1" w:themeTint="BF"/>
        <w:szCs w:val="20"/>
      </w:rPr>
      <w:t xml:space="preserve">Salt Lake City </w:t>
    </w:r>
    <w:r w:rsidRPr="00185912">
      <w:rPr>
        <w:rFonts w:asciiTheme="minorHAnsi" w:hAnsiTheme="minorHAnsi"/>
        <w:color w:val="404040" w:themeColor="text1" w:themeTint="BF"/>
        <w:szCs w:val="20"/>
      </w:rPr>
      <w:t>did</w:t>
    </w:r>
    <w:r>
      <w:rPr>
        <w:rFonts w:asciiTheme="minorHAnsi" w:hAnsiTheme="minorHAnsi"/>
        <w:color w:val="404040" w:themeColor="text1" w:themeTint="BF"/>
        <w:szCs w:val="20"/>
      </w:rPr>
      <w:t xml:space="preserve"> not receive much-needed </w:t>
    </w:r>
    <w:r w:rsidRPr="00185912">
      <w:rPr>
        <w:rFonts w:asciiTheme="minorHAnsi" w:hAnsiTheme="minorHAnsi"/>
        <w:color w:val="404040" w:themeColor="text1" w:themeTint="BF"/>
        <w:szCs w:val="20"/>
      </w:rPr>
      <w:t>4%</w:t>
    </w:r>
    <w:r>
      <w:rPr>
        <w:rFonts w:asciiTheme="minorHAnsi" w:hAnsiTheme="minorHAnsi"/>
        <w:color w:val="404040" w:themeColor="text1" w:themeTint="BF"/>
        <w:szCs w:val="20"/>
      </w:rPr>
      <w:t xml:space="preserve"> tax credits to fund a critical permanent supportive housing project in Central City. However, with the help of HAND staff, this project was able to secure the tax credits in 2017 and the project is now underway. </w:t>
    </w:r>
  </w:p>
  <w:p w14:paraId="6F96121B" w14:textId="77777777" w:rsidR="005F3FCF" w:rsidRPr="009161F7" w:rsidRDefault="005F3FCF" w:rsidP="00B10F1E">
    <w:pPr>
      <w:spacing w:line="360" w:lineRule="auto"/>
      <w:rPr>
        <w:rFonts w:asciiTheme="minorHAnsi" w:hAnsiTheme="minorHAnsi"/>
        <w:color w:val="404040" w:themeColor="text1" w:themeTint="BF"/>
        <w:szCs w:val="20"/>
        <w:u w:val="single"/>
      </w:rPr>
    </w:pPr>
  </w:p>
  <w:p w14:paraId="6B4198DB" w14:textId="77777777" w:rsidR="005F3FCF" w:rsidRPr="009161F7" w:rsidRDefault="005F3FCF" w:rsidP="00B10F1E">
    <w:pPr>
      <w:pStyle w:val="ListParagraph"/>
      <w:numPr>
        <w:ilvl w:val="0"/>
        <w:numId w:val="19"/>
      </w:numPr>
      <w:spacing w:line="360" w:lineRule="auto"/>
      <w:rPr>
        <w:rFonts w:asciiTheme="minorHAnsi" w:hAnsiTheme="minorHAnsi"/>
        <w:color w:val="404040" w:themeColor="text1" w:themeTint="BF"/>
        <w:szCs w:val="20"/>
      </w:rPr>
    </w:pPr>
    <w:r w:rsidRPr="009161F7">
      <w:rPr>
        <w:rFonts w:asciiTheme="minorHAnsi" w:hAnsiTheme="minorHAnsi"/>
        <w:color w:val="404040" w:themeColor="text1" w:themeTint="BF"/>
        <w:szCs w:val="20"/>
      </w:rPr>
      <w:t xml:space="preserve">New Market Tax Credits </w:t>
    </w:r>
  </w:p>
  <w:p w14:paraId="4E91FDEC" w14:textId="77777777" w:rsidR="005F3FCF" w:rsidRPr="009161F7" w:rsidRDefault="005F3FCF" w:rsidP="00B10F1E">
    <w:pPr>
      <w:spacing w:line="360" w:lineRule="auto"/>
      <w:ind w:left="720"/>
      <w:rPr>
        <w:rFonts w:asciiTheme="minorHAnsi" w:hAnsiTheme="minorHAnsi"/>
        <w:color w:val="404040" w:themeColor="text1" w:themeTint="BF"/>
        <w:szCs w:val="20"/>
      </w:rPr>
    </w:pPr>
    <w:r w:rsidRPr="009161F7">
      <w:rPr>
        <w:rFonts w:asciiTheme="minorHAnsi" w:hAnsiTheme="minorHAnsi"/>
        <w:color w:val="404040" w:themeColor="text1" w:themeTint="BF"/>
        <w:szCs w:val="20"/>
      </w:rPr>
      <w:t xml:space="preserve">New Market Tax Credits are an additional tool utilized to attract private capital investment in areas in need of job growth and economic development. </w:t>
    </w:r>
  </w:p>
  <w:p w14:paraId="51C72405" w14:textId="77777777" w:rsidR="005F3FCF" w:rsidRPr="009161F7" w:rsidRDefault="005F3FCF" w:rsidP="00B10F1E">
    <w:pPr>
      <w:spacing w:line="360" w:lineRule="auto"/>
      <w:rPr>
        <w:rFonts w:asciiTheme="minorHAnsi" w:hAnsiTheme="minorHAnsi"/>
        <w:b/>
        <w:color w:val="404040" w:themeColor="text1" w:themeTint="BF"/>
        <w:szCs w:val="20"/>
      </w:rPr>
    </w:pPr>
  </w:p>
  <w:p w14:paraId="5FBDB320" w14:textId="77777777" w:rsidR="005F3FCF" w:rsidRPr="009161F7" w:rsidRDefault="005F3FCF" w:rsidP="00B10F1E">
    <w:pPr>
      <w:pStyle w:val="ListParagraph"/>
      <w:numPr>
        <w:ilvl w:val="0"/>
        <w:numId w:val="19"/>
      </w:numPr>
      <w:spacing w:line="360" w:lineRule="auto"/>
      <w:rPr>
        <w:rFonts w:asciiTheme="minorHAnsi" w:hAnsiTheme="minorHAnsi"/>
        <w:color w:val="404040" w:themeColor="text1" w:themeTint="BF"/>
        <w:szCs w:val="20"/>
      </w:rPr>
    </w:pPr>
    <w:r w:rsidRPr="009161F7">
      <w:rPr>
        <w:rFonts w:asciiTheme="minorHAnsi" w:hAnsiTheme="minorHAnsi"/>
        <w:color w:val="404040" w:themeColor="text1" w:themeTint="BF"/>
        <w:szCs w:val="20"/>
      </w:rPr>
      <w:t xml:space="preserve">RDA Development Funding </w:t>
    </w:r>
  </w:p>
  <w:p w14:paraId="0B8DAE44" w14:textId="77777777" w:rsidR="005F3FCF" w:rsidRPr="009161F7" w:rsidRDefault="005F3FCF" w:rsidP="00B10F1E">
    <w:pPr>
      <w:spacing w:line="360" w:lineRule="auto"/>
      <w:ind w:left="720"/>
      <w:rPr>
        <w:rFonts w:asciiTheme="minorHAnsi" w:hAnsiTheme="minorHAnsi"/>
        <w:color w:val="404040" w:themeColor="text1" w:themeTint="BF"/>
        <w:szCs w:val="20"/>
      </w:rPr>
    </w:pPr>
    <w:r w:rsidRPr="009161F7">
      <w:rPr>
        <w:rFonts w:asciiTheme="minorHAnsi" w:hAnsiTheme="minorHAnsi"/>
        <w:color w:val="404040" w:themeColor="text1" w:themeTint="BF"/>
        <w:szCs w:val="20"/>
      </w:rPr>
      <w:t xml:space="preserve">The RDA has </w:t>
    </w:r>
    <w:r>
      <w:rPr>
        <w:rFonts w:asciiTheme="minorHAnsi" w:hAnsiTheme="minorHAnsi"/>
        <w:color w:val="404040" w:themeColor="text1" w:themeTint="BF"/>
        <w:szCs w:val="20"/>
      </w:rPr>
      <w:t xml:space="preserve">thirteen </w:t>
    </w:r>
    <w:r w:rsidRPr="009161F7">
      <w:rPr>
        <w:rFonts w:asciiTheme="minorHAnsi" w:hAnsiTheme="minorHAnsi"/>
        <w:color w:val="404040" w:themeColor="text1" w:themeTint="BF"/>
        <w:szCs w:val="20"/>
      </w:rPr>
      <w:t>project areas where tax increment funds are reinvested back into the same area to contribute to the overall health and vitality of the City, by reversing the negative effects of blight, while increasing the tax base from which the taxing entities draw their funds. The RDA will allocate some of these funds back to the Salt Lake City Housing Trust Fund so the funds can strategically be leveraged to provide affordable housing in new development projects throughout the City.</w:t>
    </w:r>
  </w:p>
  <w:p w14:paraId="55631FCC" w14:textId="77777777" w:rsidR="005F3FCF" w:rsidRPr="009161F7" w:rsidRDefault="005F3FCF" w:rsidP="00B10F1E">
    <w:pPr>
      <w:spacing w:line="360" w:lineRule="auto"/>
      <w:rPr>
        <w:rFonts w:asciiTheme="minorHAnsi" w:hAnsiTheme="minorHAnsi"/>
        <w:b/>
        <w:color w:val="404040" w:themeColor="text1" w:themeTint="BF"/>
        <w:szCs w:val="20"/>
      </w:rPr>
    </w:pPr>
  </w:p>
  <w:p w14:paraId="56C7BEAF" w14:textId="77777777" w:rsidR="005F3FCF" w:rsidRPr="009161F7" w:rsidRDefault="005F3FCF" w:rsidP="00B10F1E">
    <w:pPr>
      <w:pStyle w:val="ListParagraph"/>
      <w:numPr>
        <w:ilvl w:val="0"/>
        <w:numId w:val="19"/>
      </w:numPr>
      <w:spacing w:line="360" w:lineRule="auto"/>
      <w:rPr>
        <w:rFonts w:asciiTheme="minorHAnsi" w:hAnsiTheme="minorHAnsi"/>
        <w:color w:val="404040" w:themeColor="text1" w:themeTint="BF"/>
        <w:szCs w:val="20"/>
      </w:rPr>
    </w:pPr>
    <w:r w:rsidRPr="009161F7">
      <w:rPr>
        <w:rFonts w:asciiTheme="minorHAnsi" w:hAnsiTheme="minorHAnsi"/>
        <w:color w:val="404040" w:themeColor="text1" w:themeTint="BF"/>
        <w:szCs w:val="20"/>
      </w:rPr>
      <w:t>Salt Lake City Housing Trust Fund</w:t>
    </w:r>
  </w:p>
  <w:p w14:paraId="47EB16CA" w14:textId="77777777" w:rsidR="005F3FCF" w:rsidRPr="009161F7" w:rsidRDefault="005F3FCF" w:rsidP="00B10F1E">
    <w:pPr>
      <w:spacing w:line="360" w:lineRule="auto"/>
      <w:ind w:left="720"/>
      <w:rPr>
        <w:rFonts w:asciiTheme="minorHAnsi" w:hAnsiTheme="minorHAnsi"/>
        <w:color w:val="404040" w:themeColor="text1" w:themeTint="BF"/>
        <w:szCs w:val="20"/>
      </w:rPr>
    </w:pPr>
    <w:r w:rsidRPr="009161F7">
      <w:rPr>
        <w:rFonts w:asciiTheme="minorHAnsi" w:hAnsiTheme="minorHAnsi"/>
        <w:color w:val="404040" w:themeColor="text1" w:themeTint="BF"/>
        <w:szCs w:val="20"/>
      </w:rPr>
      <w:t xml:space="preserve">Salt Lake City’s Housing Trust Fund (HTF) strives to address the health, safety and welfare of the City’s citizen by providing assistance for affordable and special needs housing within the City. The Trust Fund </w:t>
    </w:r>
    <w:r>
      <w:rPr>
        <w:rFonts w:asciiTheme="minorHAnsi" w:hAnsiTheme="minorHAnsi"/>
        <w:color w:val="404040" w:themeColor="text1" w:themeTint="BF"/>
        <w:szCs w:val="20"/>
      </w:rPr>
      <w:t>was able to close 3</w:t>
    </w:r>
    <w:r w:rsidRPr="00D44435">
      <w:rPr>
        <w:rFonts w:asciiTheme="minorHAnsi" w:hAnsiTheme="minorHAnsi"/>
        <w:color w:val="404040" w:themeColor="text1" w:themeTint="BF"/>
        <w:szCs w:val="20"/>
        <w:highlight w:val="yellow"/>
      </w:rPr>
      <w:t xml:space="preserve"> </w:t>
    </w:r>
    <w:r w:rsidRPr="003C364D">
      <w:rPr>
        <w:rFonts w:asciiTheme="minorHAnsi" w:hAnsiTheme="minorHAnsi"/>
        <w:color w:val="404040" w:themeColor="text1" w:themeTint="BF"/>
        <w:szCs w:val="20"/>
      </w:rPr>
      <w:t>loans</w:t>
    </w:r>
    <w:r w:rsidRPr="009161F7">
      <w:rPr>
        <w:rFonts w:asciiTheme="minorHAnsi" w:hAnsiTheme="minorHAnsi"/>
        <w:color w:val="404040" w:themeColor="text1" w:themeTint="BF"/>
        <w:szCs w:val="20"/>
      </w:rPr>
      <w:t xml:space="preserve"> during the program year providing </w:t>
    </w:r>
    <w:r w:rsidRPr="003C364D">
      <w:rPr>
        <w:rFonts w:asciiTheme="minorHAnsi" w:hAnsiTheme="minorHAnsi"/>
        <w:color w:val="404040" w:themeColor="text1" w:themeTint="BF"/>
        <w:szCs w:val="20"/>
      </w:rPr>
      <w:t>$1.95m</w:t>
    </w:r>
    <w:r w:rsidRPr="009161F7">
      <w:rPr>
        <w:rFonts w:asciiTheme="minorHAnsi" w:hAnsiTheme="minorHAnsi"/>
        <w:color w:val="404040" w:themeColor="text1" w:themeTint="BF"/>
        <w:szCs w:val="20"/>
      </w:rPr>
      <w:t xml:space="preserve"> in leveraged capital. This leveraged capital secured</w:t>
    </w:r>
    <w:r>
      <w:rPr>
        <w:rFonts w:asciiTheme="minorHAnsi" w:hAnsiTheme="minorHAnsi"/>
        <w:color w:val="404040" w:themeColor="text1" w:themeTint="BF"/>
        <w:szCs w:val="20"/>
      </w:rPr>
      <w:t xml:space="preserve"> long term affordability of 443</w:t>
    </w:r>
    <w:r w:rsidRPr="009161F7">
      <w:rPr>
        <w:rFonts w:asciiTheme="minorHAnsi" w:hAnsiTheme="minorHAnsi"/>
        <w:color w:val="404040" w:themeColor="text1" w:themeTint="BF"/>
        <w:szCs w:val="20"/>
      </w:rPr>
      <w:t xml:space="preserve"> housing units in the City. </w:t>
    </w:r>
    <w:r>
      <w:rPr>
        <w:rFonts w:asciiTheme="minorHAnsi" w:hAnsiTheme="minorHAnsi"/>
        <w:color w:val="404040" w:themeColor="text1" w:themeTint="BF"/>
        <w:szCs w:val="20"/>
      </w:rPr>
      <w:t>Three other loans have been approved by the board but have not yet been funded as of June 30</w:t>
    </w:r>
    <w:r w:rsidRPr="005F3FCF">
      <w:rPr>
        <w:rFonts w:asciiTheme="minorHAnsi" w:hAnsiTheme="minorHAnsi"/>
        <w:color w:val="404040" w:themeColor="text1" w:themeTint="BF"/>
        <w:szCs w:val="20"/>
      </w:rPr>
      <w:t>th</w:t>
    </w:r>
    <w:r>
      <w:rPr>
        <w:rFonts w:asciiTheme="minorHAnsi" w:hAnsiTheme="minorHAnsi"/>
        <w:color w:val="404040" w:themeColor="text1" w:themeTint="BF"/>
        <w:szCs w:val="20"/>
      </w:rPr>
      <w:t xml:space="preserve">, 2018. </w:t>
    </w:r>
  </w:p>
  <w:p w14:paraId="20D62DB5" w14:textId="77777777" w:rsidR="005F3FCF" w:rsidRDefault="005F3FCF" w:rsidP="00B10F1E">
    <w:pPr>
      <w:spacing w:line="360" w:lineRule="auto"/>
      <w:rPr>
        <w:rFonts w:asciiTheme="minorHAnsi" w:hAnsiTheme="minorHAnsi"/>
        <w:color w:val="404040" w:themeColor="text1" w:themeTint="BF"/>
        <w:szCs w:val="20"/>
        <w:u w:val="single"/>
      </w:rPr>
    </w:pPr>
  </w:p>
  <w:p w14:paraId="53A448ED" w14:textId="77777777" w:rsidR="005F3FCF" w:rsidRDefault="005F3FCF" w:rsidP="00B10F1E">
    <w:pPr>
      <w:spacing w:line="360" w:lineRule="auto"/>
      <w:rPr>
        <w:rFonts w:asciiTheme="minorHAnsi" w:hAnsiTheme="minorHAnsi"/>
        <w:color w:val="404040" w:themeColor="text1" w:themeTint="BF"/>
        <w:szCs w:val="20"/>
        <w:u w:val="single"/>
      </w:rPr>
    </w:pPr>
  </w:p>
  <w:p w14:paraId="608E9392" w14:textId="77777777" w:rsidR="005F3FCF" w:rsidRPr="009161F7" w:rsidRDefault="005F3FCF" w:rsidP="00B10F1E">
    <w:pPr>
      <w:spacing w:line="360" w:lineRule="auto"/>
      <w:rPr>
        <w:rFonts w:asciiTheme="minorHAnsi" w:hAnsiTheme="minorHAnsi"/>
        <w:color w:val="404040" w:themeColor="text1" w:themeTint="BF"/>
        <w:szCs w:val="20"/>
        <w:u w:val="single"/>
      </w:rPr>
    </w:pPr>
  </w:p>
  <w:p w14:paraId="58C04252" w14:textId="77777777" w:rsidR="005F3FCF" w:rsidRPr="009161F7" w:rsidRDefault="005F3FCF" w:rsidP="00B10F1E">
    <w:pPr>
      <w:pStyle w:val="ListParagraph"/>
      <w:numPr>
        <w:ilvl w:val="0"/>
        <w:numId w:val="19"/>
      </w:numPr>
      <w:spacing w:line="360" w:lineRule="auto"/>
      <w:rPr>
        <w:rFonts w:asciiTheme="minorHAnsi" w:hAnsiTheme="minorHAnsi"/>
        <w:color w:val="404040" w:themeColor="text1" w:themeTint="BF"/>
        <w:szCs w:val="20"/>
      </w:rPr>
    </w:pPr>
    <w:r w:rsidRPr="009161F7">
      <w:rPr>
        <w:rFonts w:asciiTheme="minorHAnsi" w:hAnsiTheme="minorHAnsi"/>
        <w:color w:val="404040" w:themeColor="text1" w:themeTint="BF"/>
        <w:szCs w:val="20"/>
      </w:rPr>
      <w:t>Salt Lake City Economic Development Loan Fund (EDLF)</w:t>
    </w:r>
  </w:p>
  <w:p w14:paraId="62BD2E69" w14:textId="77777777" w:rsidR="005F3FCF" w:rsidRPr="009161F7" w:rsidRDefault="005F3FCF" w:rsidP="00B10F1E">
    <w:pPr>
      <w:spacing w:line="360" w:lineRule="auto"/>
      <w:ind w:left="720"/>
      <w:rPr>
        <w:rFonts w:asciiTheme="minorHAnsi" w:hAnsiTheme="minorHAnsi"/>
        <w:color w:val="404040" w:themeColor="text1" w:themeTint="BF"/>
        <w:szCs w:val="20"/>
      </w:rPr>
    </w:pPr>
    <w:r w:rsidRPr="009161F7">
      <w:rPr>
        <w:rFonts w:asciiTheme="minorHAnsi" w:hAnsiTheme="minorHAnsi"/>
        <w:color w:val="404040" w:themeColor="text1" w:themeTint="BF"/>
        <w:szCs w:val="20"/>
      </w:rPr>
      <w:t>The City administers the Economic Development Loan Fund which makes loans to small businesses located in the City for the purpose of stimulating economic development and commercial and industrial diversity by enhancing business opportunities, provide employment and promoting n</w:t>
    </w:r>
    <w:r w:rsidRPr="005F3CE2">
      <w:rPr>
        <w:rFonts w:asciiTheme="minorHAnsi" w:hAnsiTheme="minorHAnsi"/>
        <w:color w:val="404040" w:themeColor="text1" w:themeTint="BF"/>
        <w:szCs w:val="20"/>
      </w:rPr>
      <w:t xml:space="preserve">eighborhood revitalization. This fund closed </w:t>
    </w:r>
    <w:r w:rsidRPr="008C584D">
      <w:rPr>
        <w:rFonts w:asciiTheme="minorHAnsi" w:hAnsiTheme="minorHAnsi"/>
        <w:color w:val="404040" w:themeColor="text1" w:themeTint="BF"/>
        <w:szCs w:val="20"/>
      </w:rPr>
      <w:t>16 loans</w:t>
    </w:r>
    <w:r w:rsidRPr="005F3CE2">
      <w:rPr>
        <w:rFonts w:asciiTheme="minorHAnsi" w:hAnsiTheme="minorHAnsi"/>
        <w:color w:val="404040" w:themeColor="text1" w:themeTint="BF"/>
        <w:szCs w:val="20"/>
      </w:rPr>
      <w:t xml:space="preserve"> for a total </w:t>
    </w:r>
    <w:r w:rsidRPr="008C584D">
      <w:rPr>
        <w:rFonts w:asciiTheme="minorHAnsi" w:hAnsiTheme="minorHAnsi"/>
        <w:color w:val="404040" w:themeColor="text1" w:themeTint="BF"/>
        <w:szCs w:val="20"/>
      </w:rPr>
      <w:t>of $1.8m</w:t>
    </w:r>
    <w:r w:rsidRPr="005F3CE2">
      <w:rPr>
        <w:rFonts w:asciiTheme="minorHAnsi" w:hAnsiTheme="minorHAnsi"/>
        <w:color w:val="404040" w:themeColor="text1" w:themeTint="BF"/>
        <w:szCs w:val="20"/>
      </w:rPr>
      <w:t xml:space="preserve">. Of these loans, </w:t>
    </w:r>
    <w:r>
      <w:rPr>
        <w:rFonts w:asciiTheme="minorHAnsi" w:hAnsiTheme="minorHAnsi"/>
        <w:color w:val="404040" w:themeColor="text1" w:themeTint="BF"/>
        <w:szCs w:val="20"/>
      </w:rPr>
      <w:t xml:space="preserve">over </w:t>
    </w:r>
    <w:r w:rsidRPr="008C584D">
      <w:rPr>
        <w:rFonts w:asciiTheme="minorHAnsi" w:hAnsiTheme="minorHAnsi"/>
        <w:color w:val="404040" w:themeColor="text1" w:themeTint="BF"/>
        <w:szCs w:val="20"/>
      </w:rPr>
      <w:t>31%</w:t>
    </w:r>
    <w:r w:rsidRPr="005F3CE2">
      <w:rPr>
        <w:rFonts w:asciiTheme="minorHAnsi" w:hAnsiTheme="minorHAnsi"/>
        <w:color w:val="404040" w:themeColor="text1" w:themeTint="BF"/>
        <w:szCs w:val="20"/>
      </w:rPr>
      <w:t xml:space="preserve"> were provided to Women and/or Minority Owned Businesses</w:t>
    </w:r>
    <w:r>
      <w:rPr>
        <w:rFonts w:asciiTheme="minorHAnsi" w:hAnsiTheme="minorHAnsi"/>
        <w:color w:val="404040" w:themeColor="text1" w:themeTint="BF"/>
        <w:szCs w:val="20"/>
      </w:rPr>
      <w:t xml:space="preserve">. A </w:t>
    </w:r>
    <w:r w:rsidRPr="008C584D">
      <w:rPr>
        <w:rFonts w:asciiTheme="minorHAnsi" w:hAnsiTheme="minorHAnsi"/>
        <w:color w:val="404040" w:themeColor="text1" w:themeTint="BF"/>
        <w:szCs w:val="20"/>
      </w:rPr>
      <w:t>quarter of the loans</w:t>
    </w:r>
    <w:r>
      <w:rPr>
        <w:rFonts w:asciiTheme="minorHAnsi" w:hAnsiTheme="minorHAnsi"/>
        <w:color w:val="404040" w:themeColor="text1" w:themeTint="BF"/>
        <w:szCs w:val="20"/>
      </w:rPr>
      <w:t xml:space="preserve"> went to </w:t>
    </w:r>
    <w:r w:rsidRPr="005F3CE2">
      <w:rPr>
        <w:rFonts w:asciiTheme="minorHAnsi" w:hAnsiTheme="minorHAnsi"/>
        <w:color w:val="404040" w:themeColor="text1" w:themeTint="BF"/>
        <w:szCs w:val="20"/>
      </w:rPr>
      <w:t xml:space="preserve">low income business owners.  </w:t>
    </w:r>
  </w:p>
  <w:p w14:paraId="0EAA5E32" w14:textId="77777777" w:rsidR="005F3FCF" w:rsidRPr="009161F7" w:rsidRDefault="005F3FCF" w:rsidP="00B10F1E">
    <w:pPr>
      <w:spacing w:line="360" w:lineRule="auto"/>
      <w:rPr>
        <w:rFonts w:asciiTheme="minorHAnsi" w:hAnsiTheme="minorHAnsi"/>
        <w:b/>
        <w:color w:val="404040" w:themeColor="text1" w:themeTint="BF"/>
        <w:szCs w:val="20"/>
      </w:rPr>
    </w:pPr>
  </w:p>
  <w:p w14:paraId="38EC54CB" w14:textId="77777777" w:rsidR="005F3FCF" w:rsidRPr="009161F7" w:rsidRDefault="005F3FCF" w:rsidP="00B10F1E">
    <w:pPr>
      <w:pStyle w:val="ListParagraph"/>
      <w:numPr>
        <w:ilvl w:val="0"/>
        <w:numId w:val="19"/>
      </w:numPr>
      <w:spacing w:line="360" w:lineRule="auto"/>
      <w:rPr>
        <w:rFonts w:asciiTheme="minorHAnsi" w:hAnsiTheme="minorHAnsi"/>
        <w:color w:val="404040" w:themeColor="text1" w:themeTint="BF"/>
        <w:szCs w:val="20"/>
      </w:rPr>
    </w:pPr>
    <w:r w:rsidRPr="009161F7">
      <w:rPr>
        <w:rFonts w:asciiTheme="minorHAnsi" w:hAnsiTheme="minorHAnsi"/>
        <w:color w:val="404040" w:themeColor="text1" w:themeTint="BF"/>
        <w:szCs w:val="20"/>
      </w:rPr>
      <w:t>Olene Walker Housing Loan Fund</w:t>
    </w:r>
  </w:p>
  <w:p w14:paraId="5D7DC52A" w14:textId="77777777" w:rsidR="005F3FCF" w:rsidRPr="009161F7" w:rsidRDefault="005F3FCF" w:rsidP="00B10F1E">
    <w:pPr>
      <w:spacing w:line="360" w:lineRule="auto"/>
      <w:ind w:left="720"/>
      <w:rPr>
        <w:rFonts w:asciiTheme="minorHAnsi" w:hAnsiTheme="minorHAnsi"/>
        <w:color w:val="404040" w:themeColor="text1" w:themeTint="BF"/>
        <w:szCs w:val="20"/>
      </w:rPr>
    </w:pPr>
    <w:r w:rsidRPr="009161F7">
      <w:rPr>
        <w:rFonts w:asciiTheme="minorHAnsi" w:hAnsiTheme="minorHAnsi"/>
        <w:color w:val="404040" w:themeColor="text1" w:themeTint="BF"/>
        <w:szCs w:val="20"/>
      </w:rPr>
      <w:t xml:space="preserve">Utah State’s Olene Walker Housing Loan Fund is one of the largest affordable housing loan funding tools for affordable housing developers working in Salt Lake City. The loan fund is largely funded with State HOME funds </w:t>
    </w:r>
    <w:r w:rsidRPr="00266F1B">
      <w:rPr>
        <w:rFonts w:asciiTheme="minorHAnsi" w:hAnsiTheme="minorHAnsi"/>
        <w:color w:val="404040" w:themeColor="text1" w:themeTint="BF"/>
        <w:szCs w:val="20"/>
      </w:rPr>
      <w:t>($3m/yr), and State Legislative funding ($2.2m/yr).</w:t>
    </w:r>
    <w:r w:rsidRPr="009161F7">
      <w:rPr>
        <w:rFonts w:asciiTheme="minorHAnsi" w:hAnsiTheme="minorHAnsi"/>
        <w:color w:val="404040" w:themeColor="text1" w:themeTint="BF"/>
        <w:szCs w:val="20"/>
      </w:rPr>
      <w:t xml:space="preserve"> </w:t>
    </w:r>
  </w:p>
  <w:p w14:paraId="3D01B8CB" w14:textId="77777777" w:rsidR="005F3FCF" w:rsidRPr="009161F7" w:rsidRDefault="005F3FCF" w:rsidP="00B10F1E">
    <w:pPr>
      <w:spacing w:line="360" w:lineRule="auto"/>
      <w:rPr>
        <w:rFonts w:asciiTheme="minorHAnsi" w:hAnsiTheme="minorHAnsi"/>
        <w:b/>
        <w:color w:val="404040" w:themeColor="text1" w:themeTint="BF"/>
        <w:szCs w:val="20"/>
      </w:rPr>
    </w:pPr>
  </w:p>
  <w:p w14:paraId="061B2A1A" w14:textId="77777777" w:rsidR="005F3FCF" w:rsidRPr="009161F7" w:rsidRDefault="005F3FCF" w:rsidP="00B10F1E">
    <w:pPr>
      <w:pStyle w:val="ListParagraph"/>
      <w:numPr>
        <w:ilvl w:val="0"/>
        <w:numId w:val="19"/>
      </w:numPr>
      <w:spacing w:line="360" w:lineRule="auto"/>
      <w:rPr>
        <w:rFonts w:asciiTheme="minorHAnsi" w:hAnsiTheme="minorHAnsi"/>
        <w:color w:val="404040" w:themeColor="text1" w:themeTint="BF"/>
        <w:szCs w:val="20"/>
      </w:rPr>
    </w:pPr>
    <w:r w:rsidRPr="009161F7">
      <w:rPr>
        <w:rFonts w:asciiTheme="minorHAnsi" w:hAnsiTheme="minorHAnsi"/>
        <w:color w:val="404040" w:themeColor="text1" w:themeTint="BF"/>
        <w:szCs w:val="20"/>
      </w:rPr>
      <w:t>Industrial &amp; Commercial Bank Funding</w:t>
    </w:r>
  </w:p>
  <w:p w14:paraId="5B2ADF91" w14:textId="77777777" w:rsidR="005F3FCF" w:rsidRPr="009161F7" w:rsidRDefault="005F3FCF" w:rsidP="00B10F1E">
    <w:pPr>
      <w:spacing w:line="360" w:lineRule="auto"/>
      <w:ind w:left="720"/>
      <w:rPr>
        <w:rFonts w:asciiTheme="minorHAnsi" w:hAnsiTheme="minorHAnsi"/>
        <w:color w:val="404040" w:themeColor="text1" w:themeTint="BF"/>
        <w:szCs w:val="20"/>
      </w:rPr>
    </w:pPr>
    <w:r w:rsidRPr="009161F7">
      <w:rPr>
        <w:rFonts w:asciiTheme="minorHAnsi" w:hAnsiTheme="minorHAnsi"/>
        <w:color w:val="404040" w:themeColor="text1" w:themeTint="BF"/>
        <w:szCs w:val="20"/>
      </w:rPr>
      <w:t xml:space="preserve">Although we cannot estimate how much Community Reinvestment Act funding was made available locally, there are a large number of industrial and commercial banks that reside in Salt Lake City. </w:t>
    </w:r>
  </w:p>
  <w:p w14:paraId="16CF9964" w14:textId="77777777" w:rsidR="005F3FCF" w:rsidRPr="009161F7" w:rsidRDefault="005F3FCF" w:rsidP="00B10F1E">
    <w:pPr>
      <w:spacing w:line="360" w:lineRule="auto"/>
      <w:rPr>
        <w:rFonts w:asciiTheme="minorHAnsi" w:hAnsiTheme="minorHAnsi"/>
        <w:b/>
        <w:color w:val="404040" w:themeColor="text1" w:themeTint="BF"/>
        <w:szCs w:val="20"/>
      </w:rPr>
    </w:pPr>
  </w:p>
  <w:p w14:paraId="353C5165" w14:textId="77777777" w:rsidR="005F3FCF" w:rsidRPr="009161F7" w:rsidRDefault="005F3FCF" w:rsidP="00B10F1E">
    <w:pPr>
      <w:pStyle w:val="ListParagraph"/>
      <w:numPr>
        <w:ilvl w:val="0"/>
        <w:numId w:val="19"/>
      </w:numPr>
      <w:spacing w:line="360" w:lineRule="auto"/>
      <w:rPr>
        <w:rFonts w:asciiTheme="minorHAnsi" w:hAnsiTheme="minorHAnsi"/>
        <w:color w:val="404040" w:themeColor="text1" w:themeTint="BF"/>
        <w:szCs w:val="20"/>
      </w:rPr>
    </w:pPr>
    <w:r w:rsidRPr="009161F7">
      <w:rPr>
        <w:rFonts w:asciiTheme="minorHAnsi" w:hAnsiTheme="minorHAnsi"/>
        <w:color w:val="404040" w:themeColor="text1" w:themeTint="BF"/>
        <w:szCs w:val="20"/>
      </w:rPr>
      <w:t>Continuum of Care Funding</w:t>
    </w:r>
  </w:p>
  <w:p w14:paraId="660B4EC7" w14:textId="77777777" w:rsidR="005F3FCF" w:rsidRPr="009161F7" w:rsidRDefault="005F3FCF" w:rsidP="00B10F1E">
    <w:pPr>
      <w:pStyle w:val="ListParagraph"/>
      <w:spacing w:line="360" w:lineRule="auto"/>
      <w:rPr>
        <w:rFonts w:asciiTheme="minorHAnsi" w:hAnsiTheme="minorHAnsi"/>
        <w:color w:val="404040" w:themeColor="text1" w:themeTint="BF"/>
        <w:szCs w:val="20"/>
      </w:rPr>
    </w:pPr>
    <w:r w:rsidRPr="009161F7">
      <w:rPr>
        <w:rFonts w:asciiTheme="minorHAnsi" w:hAnsiTheme="minorHAnsi" w:cs="Arial"/>
        <w:color w:val="333333"/>
        <w:szCs w:val="20"/>
        <w:shd w:val="clear" w:color="auto" w:fill="FFFFFF"/>
      </w:rPr>
      <w:t>Salt Lake County is responsible for coordinating the</w:t>
    </w:r>
    <w:r w:rsidRPr="005F3FCF">
      <w:t> </w:t>
    </w:r>
    <w:r w:rsidRPr="005F3FCF">
      <w:rPr>
        <w:rFonts w:asciiTheme="minorHAnsi" w:hAnsiTheme="minorHAnsi" w:cs="Arial"/>
        <w:color w:val="333333"/>
        <w:szCs w:val="20"/>
        <w:shd w:val="clear" w:color="auto" w:fill="FFFFFF"/>
      </w:rPr>
      <w:t>HUD</w:t>
    </w:r>
    <w:r w:rsidRPr="009161F7">
      <w:rPr>
        <w:rFonts w:asciiTheme="minorHAnsi" w:hAnsiTheme="minorHAnsi" w:cs="Arial"/>
        <w:bCs/>
        <w:color w:val="333333"/>
        <w:szCs w:val="20"/>
        <w:shd w:val="clear" w:color="auto" w:fill="FFFFFF"/>
      </w:rPr>
      <w:t xml:space="preserve"> CoC Grant Application</w:t>
    </w:r>
    <w:r w:rsidRPr="005F3FCF">
      <w:rPr>
        <w:rFonts w:asciiTheme="minorHAnsi" w:hAnsiTheme="minorHAnsi" w:cs="Arial"/>
        <w:bCs/>
        <w:color w:val="333333"/>
        <w:szCs w:val="20"/>
        <w:shd w:val="clear" w:color="auto" w:fill="FFFFFF"/>
      </w:rPr>
      <w:t> for</w:t>
    </w:r>
    <w:r w:rsidRPr="009161F7">
      <w:rPr>
        <w:rFonts w:asciiTheme="minorHAnsi" w:hAnsiTheme="minorHAnsi" w:cs="Arial"/>
        <w:color w:val="333333"/>
        <w:szCs w:val="20"/>
        <w:shd w:val="clear" w:color="auto" w:fill="FFFFFF"/>
      </w:rPr>
      <w:t xml:space="preserve"> the Salt Lake Coun</w:t>
    </w:r>
    <w:r>
      <w:rPr>
        <w:rFonts w:asciiTheme="minorHAnsi" w:hAnsiTheme="minorHAnsi" w:cs="Arial"/>
        <w:color w:val="333333"/>
        <w:szCs w:val="20"/>
        <w:shd w:val="clear" w:color="auto" w:fill="FFFFFF"/>
      </w:rPr>
      <w:t>ty Continuum of Care (UT-500). </w:t>
    </w:r>
    <w:r w:rsidRPr="009161F7">
      <w:rPr>
        <w:rFonts w:asciiTheme="minorHAnsi" w:hAnsiTheme="minorHAnsi" w:cs="Arial"/>
        <w:color w:val="333333"/>
        <w:szCs w:val="20"/>
        <w:shd w:val="clear" w:color="auto" w:fill="FFFFFF"/>
      </w:rPr>
      <w:t xml:space="preserve">This application provides </w:t>
    </w:r>
    <w:r w:rsidRPr="00266F1B">
      <w:rPr>
        <w:rFonts w:asciiTheme="minorHAnsi" w:hAnsiTheme="minorHAnsi" w:cs="Arial"/>
        <w:color w:val="333333"/>
        <w:szCs w:val="20"/>
        <w:shd w:val="clear" w:color="auto" w:fill="FFFFFF"/>
      </w:rPr>
      <w:t>approximately $7.4 million</w:t>
    </w:r>
    <w:r w:rsidRPr="009161F7">
      <w:rPr>
        <w:rFonts w:asciiTheme="minorHAnsi" w:hAnsiTheme="minorHAnsi" w:cs="Arial"/>
        <w:color w:val="333333"/>
        <w:szCs w:val="20"/>
        <w:shd w:val="clear" w:color="auto" w:fill="FFFFFF"/>
      </w:rPr>
      <w:t xml:space="preserve"> of annual funding for local homeless housing and service programs.  </w:t>
    </w:r>
  </w:p>
  <w:p w14:paraId="5ADA263F" w14:textId="77777777" w:rsidR="005F3FCF" w:rsidRPr="009161F7" w:rsidRDefault="005F3FCF" w:rsidP="00B10F1E">
    <w:pPr>
      <w:spacing w:line="360" w:lineRule="auto"/>
      <w:rPr>
        <w:rFonts w:asciiTheme="minorHAnsi" w:hAnsiTheme="minorHAnsi"/>
        <w:b/>
        <w:color w:val="404040" w:themeColor="text1" w:themeTint="BF"/>
        <w:szCs w:val="20"/>
      </w:rPr>
    </w:pPr>
  </w:p>
  <w:p w14:paraId="7DFA25AF" w14:textId="77777777" w:rsidR="005F3FCF" w:rsidRPr="009161F7" w:rsidRDefault="005F3FCF" w:rsidP="00B10F1E">
    <w:pPr>
      <w:pStyle w:val="ListParagraph"/>
      <w:numPr>
        <w:ilvl w:val="0"/>
        <w:numId w:val="19"/>
      </w:numPr>
      <w:spacing w:line="360" w:lineRule="auto"/>
      <w:rPr>
        <w:rFonts w:asciiTheme="minorHAnsi" w:hAnsiTheme="minorHAnsi"/>
        <w:color w:val="404040" w:themeColor="text1" w:themeTint="BF"/>
        <w:szCs w:val="20"/>
      </w:rPr>
    </w:pPr>
    <w:r w:rsidRPr="009161F7">
      <w:rPr>
        <w:rFonts w:asciiTheme="minorHAnsi" w:hAnsiTheme="minorHAnsi"/>
        <w:color w:val="404040" w:themeColor="text1" w:themeTint="BF"/>
        <w:szCs w:val="20"/>
      </w:rPr>
      <w:t xml:space="preserve">Foundations &amp; Other Philanthropic Partners </w:t>
    </w:r>
  </w:p>
  <w:p w14:paraId="0084B2DF" w14:textId="77777777" w:rsidR="005F3FCF" w:rsidRPr="009161F7" w:rsidRDefault="005F3FCF" w:rsidP="00B10F1E">
    <w:pPr>
      <w:pStyle w:val="ListParagraph"/>
      <w:spacing w:line="360" w:lineRule="auto"/>
      <w:rPr>
        <w:rFonts w:asciiTheme="minorHAnsi" w:hAnsiTheme="minorHAnsi"/>
        <w:b/>
        <w:color w:val="404040" w:themeColor="text1" w:themeTint="BF"/>
        <w:szCs w:val="20"/>
      </w:rPr>
    </w:pPr>
    <w:r w:rsidRPr="009161F7">
      <w:rPr>
        <w:rFonts w:asciiTheme="minorHAnsi" w:hAnsiTheme="minorHAnsi"/>
        <w:color w:val="404040" w:themeColor="text1" w:themeTint="BF"/>
        <w:szCs w:val="20"/>
      </w:rPr>
      <w:t xml:space="preserve">Eleemosynary establishments and philanthropic partners make up a critical part of the funding stream used in the State of Utah. It is estimated that during the </w:t>
    </w:r>
    <w:r>
      <w:rPr>
        <w:rFonts w:asciiTheme="minorHAnsi" w:hAnsiTheme="minorHAnsi"/>
        <w:color w:val="404040" w:themeColor="text1" w:themeTint="BF"/>
        <w:szCs w:val="20"/>
      </w:rPr>
      <w:t>2017-18</w:t>
    </w:r>
    <w:r w:rsidRPr="009161F7">
      <w:rPr>
        <w:rFonts w:asciiTheme="minorHAnsi" w:hAnsiTheme="minorHAnsi"/>
        <w:color w:val="404040" w:themeColor="text1" w:themeTint="BF"/>
        <w:szCs w:val="20"/>
      </w:rPr>
      <w:t xml:space="preserve"> program year, over $2</w:t>
    </w:r>
    <w:r>
      <w:rPr>
        <w:rFonts w:asciiTheme="minorHAnsi" w:hAnsiTheme="minorHAnsi"/>
        <w:color w:val="404040" w:themeColor="text1" w:themeTint="BF"/>
        <w:szCs w:val="20"/>
      </w:rPr>
      <w:t>5</w:t>
    </w:r>
    <w:r w:rsidRPr="009161F7">
      <w:rPr>
        <w:rFonts w:asciiTheme="minorHAnsi" w:hAnsiTheme="minorHAnsi"/>
        <w:color w:val="404040" w:themeColor="text1" w:themeTint="BF"/>
        <w:szCs w:val="20"/>
      </w:rPr>
      <w:t>m was used to support low and moderate-income residents, with a considerable amount of the funding being used in Salt Lake City.</w:t>
    </w:r>
  </w:p>
  <w:p w14:paraId="7DCED812" w14:textId="77777777" w:rsidR="005F3FCF" w:rsidRPr="006723EF" w:rsidRDefault="005F3FCF" w:rsidP="00B10F1E">
    <w:pPr>
      <w:spacing w:line="336" w:lineRule="auto"/>
      <w:rPr>
        <w:rFonts w:ascii="Gotham Book" w:eastAsiaTheme="majorEastAsia" w:hAnsi="Gotham Book" w:cstheme="majorBidi"/>
        <w:color w:val="404040" w:themeColor="text1" w:themeTint="BF"/>
        <w:spacing w:val="5"/>
        <w:kern w:val="28"/>
        <w:szCs w:val="20"/>
      </w:rPr>
    </w:pPr>
  </w:p>
  <w:p w14:paraId="03441A30" w14:textId="77777777" w:rsidR="005F3FCF" w:rsidRPr="006723EF" w:rsidRDefault="005F3FCF" w:rsidP="00B10F1E">
    <w:pPr>
      <w:spacing w:line="276" w:lineRule="auto"/>
      <w:ind w:right="360"/>
      <w:rPr>
        <w:rFonts w:asciiTheme="minorHAnsi" w:hAnsiTheme="minorHAnsi" w:cstheme="minorHAnsi"/>
        <w:b/>
        <w:color w:val="404040" w:themeColor="text1" w:themeTint="BF"/>
        <w:szCs w:val="20"/>
      </w:rPr>
    </w:pPr>
    <w:r w:rsidRPr="006723EF">
      <w:rPr>
        <w:rFonts w:asciiTheme="minorHAnsi" w:hAnsiTheme="minorHAnsi" w:cstheme="minorHAnsi"/>
        <w:b/>
        <w:color w:val="404040" w:themeColor="text1" w:themeTint="BF"/>
        <w:szCs w:val="20"/>
      </w:rPr>
      <w:t xml:space="preserve">Table 5 – Fiscal Year Summary – HOME Match Report </w:t>
    </w:r>
  </w:p>
  <w:tbl>
    <w:tblPr>
      <w:tblW w:w="8510" w:type="dxa"/>
      <w:tblInd w:w="-5" w:type="dxa"/>
      <w:tblLook w:val="04A0" w:firstRow="1" w:lastRow="0" w:firstColumn="1" w:lastColumn="0" w:noHBand="0" w:noVBand="1"/>
    </w:tblPr>
    <w:tblGrid>
      <w:gridCol w:w="630"/>
      <w:gridCol w:w="4950"/>
      <w:gridCol w:w="1530"/>
      <w:gridCol w:w="1400"/>
    </w:tblGrid>
    <w:tr w:rsidR="005F3FCF" w:rsidRPr="006723EF" w14:paraId="229BA44E" w14:textId="77777777" w:rsidTr="005F3FCF">
      <w:trPr>
        <w:trHeight w:val="288"/>
      </w:trPr>
      <w:tc>
        <w:tcPr>
          <w:tcW w:w="851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66AD54D0" w14:textId="77777777" w:rsidR="005F3FCF" w:rsidRPr="006723EF" w:rsidRDefault="005F3FCF" w:rsidP="00816745">
          <w:pPr>
            <w:jc w:val="center"/>
            <w:rPr>
              <w:rFonts w:ascii="Calibri" w:eastAsia="Times New Roman" w:hAnsi="Calibri"/>
              <w:b/>
              <w:bCs/>
              <w:color w:val="404040"/>
              <w:szCs w:val="20"/>
            </w:rPr>
          </w:pPr>
          <w:r w:rsidRPr="006723EF">
            <w:rPr>
              <w:rFonts w:ascii="Calibri" w:eastAsia="Times New Roman" w:hAnsi="Calibri"/>
              <w:b/>
              <w:bCs/>
              <w:color w:val="404040"/>
              <w:szCs w:val="20"/>
            </w:rPr>
            <w:t>Fiscal Year Summary - HOME Match</w:t>
          </w:r>
        </w:p>
      </w:tc>
    </w:tr>
    <w:tr w:rsidR="005F3FCF" w:rsidRPr="006723EF" w14:paraId="258DE722" w14:textId="77777777" w:rsidTr="005F3FCF">
      <w:trPr>
        <w:trHeight w:val="288"/>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47FB0EAA" w14:textId="77777777" w:rsidR="005F3FCF" w:rsidRPr="006723EF" w:rsidRDefault="005F3FCF" w:rsidP="00816745">
          <w:pPr>
            <w:rPr>
              <w:rFonts w:ascii="Calibri" w:eastAsia="Times New Roman" w:hAnsi="Calibri"/>
              <w:color w:val="404040"/>
              <w:szCs w:val="20"/>
            </w:rPr>
          </w:pPr>
          <w:r w:rsidRPr="006723EF">
            <w:rPr>
              <w:rFonts w:ascii="Calibri" w:eastAsia="Times New Roman" w:hAnsi="Calibri"/>
              <w:color w:val="404040"/>
              <w:szCs w:val="20"/>
            </w:rPr>
            <w:t>1</w:t>
          </w:r>
        </w:p>
      </w:tc>
      <w:tc>
        <w:tcPr>
          <w:tcW w:w="4950" w:type="dxa"/>
          <w:tcBorders>
            <w:top w:val="nil"/>
            <w:left w:val="nil"/>
            <w:bottom w:val="single" w:sz="4" w:space="0" w:color="auto"/>
            <w:right w:val="single" w:sz="4" w:space="0" w:color="auto"/>
          </w:tcBorders>
          <w:shd w:val="clear" w:color="auto" w:fill="auto"/>
          <w:noWrap/>
          <w:vAlign w:val="bottom"/>
          <w:hideMark/>
        </w:tcPr>
        <w:p w14:paraId="056E70CB" w14:textId="77777777" w:rsidR="005F3FCF" w:rsidRPr="006723EF" w:rsidRDefault="005F3FCF" w:rsidP="00816745">
          <w:pPr>
            <w:rPr>
              <w:rFonts w:ascii="Calibri" w:eastAsia="Times New Roman" w:hAnsi="Calibri"/>
              <w:color w:val="404040"/>
              <w:szCs w:val="20"/>
            </w:rPr>
          </w:pPr>
          <w:r w:rsidRPr="006723EF">
            <w:rPr>
              <w:rFonts w:ascii="Calibri" w:eastAsia="Times New Roman" w:hAnsi="Calibri"/>
              <w:color w:val="404040"/>
              <w:szCs w:val="20"/>
            </w:rPr>
            <w:t>Excess match from prior Federal fiscal year</w:t>
          </w:r>
        </w:p>
      </w:tc>
      <w:tc>
        <w:tcPr>
          <w:tcW w:w="1530" w:type="dxa"/>
          <w:tcBorders>
            <w:top w:val="nil"/>
            <w:left w:val="nil"/>
            <w:bottom w:val="single" w:sz="4" w:space="0" w:color="auto"/>
            <w:right w:val="single" w:sz="4" w:space="0" w:color="auto"/>
          </w:tcBorders>
          <w:shd w:val="clear" w:color="auto" w:fill="auto"/>
          <w:noWrap/>
          <w:vAlign w:val="bottom"/>
          <w:hideMark/>
        </w:tcPr>
        <w:p w14:paraId="78E9D7D6" w14:textId="77777777" w:rsidR="005F3FCF" w:rsidRPr="0058335F" w:rsidRDefault="005F3FCF" w:rsidP="00816745">
          <w:pPr>
            <w:rPr>
              <w:rFonts w:ascii="Calibri" w:eastAsia="Times New Roman" w:hAnsi="Calibri"/>
              <w:color w:val="404040"/>
              <w:szCs w:val="20"/>
              <w:highlight w:val="yellow"/>
            </w:rPr>
          </w:pPr>
          <w:r w:rsidRPr="00DA7248">
            <w:rPr>
              <w:rFonts w:ascii="Calibri" w:eastAsia="Times New Roman" w:hAnsi="Calibri"/>
              <w:color w:val="404040"/>
              <w:szCs w:val="20"/>
            </w:rPr>
            <w:t xml:space="preserve"> $   47,328</w:t>
          </w:r>
        </w:p>
      </w:tc>
      <w:tc>
        <w:tcPr>
          <w:tcW w:w="1400" w:type="dxa"/>
          <w:tcBorders>
            <w:top w:val="nil"/>
            <w:left w:val="nil"/>
            <w:bottom w:val="single" w:sz="4" w:space="0" w:color="auto"/>
            <w:right w:val="single" w:sz="4" w:space="0" w:color="auto"/>
          </w:tcBorders>
          <w:shd w:val="clear" w:color="000000" w:fill="D9D9D9"/>
          <w:noWrap/>
          <w:vAlign w:val="bottom"/>
          <w:hideMark/>
        </w:tcPr>
        <w:p w14:paraId="3E0A2082" w14:textId="77777777" w:rsidR="005F3FCF" w:rsidRPr="006723EF" w:rsidRDefault="005F3FCF" w:rsidP="00816745">
          <w:pPr>
            <w:rPr>
              <w:rFonts w:ascii="Calibri" w:eastAsia="Times New Roman" w:hAnsi="Calibri"/>
              <w:color w:val="404040"/>
              <w:szCs w:val="20"/>
            </w:rPr>
          </w:pPr>
          <w:r>
            <w:rPr>
              <w:rFonts w:ascii="Calibri" w:eastAsia="Times New Roman" w:hAnsi="Calibri"/>
              <w:color w:val="404040"/>
              <w:szCs w:val="20"/>
            </w:rPr>
            <w:t> </w:t>
          </w:r>
        </w:p>
      </w:tc>
    </w:tr>
    <w:tr w:rsidR="005F3FCF" w:rsidRPr="006723EF" w14:paraId="2A01B526" w14:textId="77777777" w:rsidTr="005F3FCF">
      <w:trPr>
        <w:trHeight w:val="288"/>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4FE8B6E7" w14:textId="77777777" w:rsidR="005F3FCF" w:rsidRPr="006723EF" w:rsidRDefault="005F3FCF" w:rsidP="00816745">
          <w:pPr>
            <w:rPr>
              <w:rFonts w:ascii="Calibri" w:eastAsia="Times New Roman" w:hAnsi="Calibri"/>
              <w:color w:val="404040"/>
              <w:szCs w:val="20"/>
            </w:rPr>
          </w:pPr>
          <w:r w:rsidRPr="006723EF">
            <w:rPr>
              <w:rFonts w:ascii="Calibri" w:eastAsia="Times New Roman" w:hAnsi="Calibri"/>
              <w:color w:val="404040"/>
              <w:szCs w:val="20"/>
            </w:rPr>
            <w:t>2</w:t>
          </w:r>
        </w:p>
      </w:tc>
      <w:tc>
        <w:tcPr>
          <w:tcW w:w="4950" w:type="dxa"/>
          <w:tcBorders>
            <w:top w:val="nil"/>
            <w:left w:val="nil"/>
            <w:bottom w:val="single" w:sz="4" w:space="0" w:color="auto"/>
            <w:right w:val="single" w:sz="4" w:space="0" w:color="auto"/>
          </w:tcBorders>
          <w:shd w:val="clear" w:color="auto" w:fill="auto"/>
          <w:noWrap/>
          <w:vAlign w:val="bottom"/>
          <w:hideMark/>
        </w:tcPr>
        <w:p w14:paraId="2DBD948F" w14:textId="77777777" w:rsidR="005F3FCF" w:rsidRPr="006723EF" w:rsidRDefault="005F3FCF" w:rsidP="00816745">
          <w:pPr>
            <w:rPr>
              <w:rFonts w:ascii="Calibri" w:eastAsia="Times New Roman" w:hAnsi="Calibri"/>
              <w:color w:val="404040"/>
              <w:szCs w:val="20"/>
            </w:rPr>
          </w:pPr>
          <w:r w:rsidRPr="006723EF">
            <w:rPr>
              <w:rFonts w:ascii="Calibri" w:eastAsia="Times New Roman" w:hAnsi="Calibri"/>
              <w:color w:val="404040"/>
              <w:szCs w:val="20"/>
            </w:rPr>
            <w:t>Match contributed during current Federal fiscal year</w:t>
          </w:r>
        </w:p>
      </w:tc>
      <w:tc>
        <w:tcPr>
          <w:tcW w:w="1530" w:type="dxa"/>
          <w:tcBorders>
            <w:top w:val="nil"/>
            <w:left w:val="nil"/>
            <w:bottom w:val="single" w:sz="4" w:space="0" w:color="auto"/>
            <w:right w:val="single" w:sz="4" w:space="0" w:color="auto"/>
          </w:tcBorders>
          <w:shd w:val="clear" w:color="auto" w:fill="auto"/>
          <w:noWrap/>
          <w:vAlign w:val="bottom"/>
          <w:hideMark/>
        </w:tcPr>
        <w:p w14:paraId="5CF90737" w14:textId="77777777" w:rsidR="005F3FCF" w:rsidRPr="001A7496" w:rsidRDefault="005F3FCF" w:rsidP="001A7496">
          <w:pPr>
            <w:rPr>
              <w:rFonts w:ascii="Calibri" w:eastAsia="Times New Roman" w:hAnsi="Calibri"/>
              <w:color w:val="404040"/>
              <w:szCs w:val="20"/>
            </w:rPr>
          </w:pPr>
          <w:r w:rsidRPr="001A7496">
            <w:rPr>
              <w:rFonts w:ascii="Calibri" w:eastAsia="Times New Roman" w:hAnsi="Calibri"/>
              <w:color w:val="404040"/>
              <w:szCs w:val="20"/>
            </w:rPr>
            <w:t xml:space="preserve"> $  </w:t>
          </w:r>
          <w:r>
            <w:rPr>
              <w:rFonts w:ascii="Calibri" w:eastAsia="Times New Roman" w:hAnsi="Calibri"/>
              <w:color w:val="404040"/>
              <w:szCs w:val="20"/>
            </w:rPr>
            <w:t>550</w:t>
          </w:r>
          <w:r w:rsidRPr="001A7496">
            <w:rPr>
              <w:rFonts w:ascii="Calibri" w:eastAsia="Times New Roman" w:hAnsi="Calibri"/>
              <w:color w:val="404040"/>
              <w:szCs w:val="20"/>
            </w:rPr>
            <w:t>,000</w:t>
          </w:r>
        </w:p>
      </w:tc>
      <w:tc>
        <w:tcPr>
          <w:tcW w:w="1400" w:type="dxa"/>
          <w:tcBorders>
            <w:top w:val="nil"/>
            <w:left w:val="nil"/>
            <w:bottom w:val="single" w:sz="4" w:space="0" w:color="auto"/>
            <w:right w:val="single" w:sz="4" w:space="0" w:color="auto"/>
          </w:tcBorders>
          <w:shd w:val="clear" w:color="000000" w:fill="D9D9D9"/>
          <w:noWrap/>
          <w:vAlign w:val="bottom"/>
          <w:hideMark/>
        </w:tcPr>
        <w:p w14:paraId="5896BDF1" w14:textId="77777777" w:rsidR="005F3FCF" w:rsidRPr="001A7496" w:rsidRDefault="005F3FCF" w:rsidP="00816745">
          <w:pPr>
            <w:rPr>
              <w:rFonts w:ascii="Calibri" w:eastAsia="Times New Roman" w:hAnsi="Calibri"/>
              <w:color w:val="404040"/>
              <w:szCs w:val="20"/>
            </w:rPr>
          </w:pPr>
          <w:r w:rsidRPr="001A7496">
            <w:rPr>
              <w:rFonts w:ascii="Calibri" w:eastAsia="Times New Roman" w:hAnsi="Calibri"/>
              <w:color w:val="404040"/>
              <w:szCs w:val="20"/>
            </w:rPr>
            <w:t> </w:t>
          </w:r>
        </w:p>
      </w:tc>
    </w:tr>
    <w:tr w:rsidR="005F3FCF" w:rsidRPr="006723EF" w14:paraId="3148268A" w14:textId="77777777" w:rsidTr="005F3FCF">
      <w:trPr>
        <w:trHeight w:val="288"/>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1E8F2A2E" w14:textId="77777777" w:rsidR="005F3FCF" w:rsidRPr="006723EF" w:rsidRDefault="005F3FCF" w:rsidP="00816745">
          <w:pPr>
            <w:rPr>
              <w:rFonts w:ascii="Calibri" w:eastAsia="Times New Roman" w:hAnsi="Calibri"/>
              <w:color w:val="404040"/>
              <w:szCs w:val="20"/>
            </w:rPr>
          </w:pPr>
          <w:r w:rsidRPr="006723EF">
            <w:rPr>
              <w:rFonts w:ascii="Calibri" w:eastAsia="Times New Roman" w:hAnsi="Calibri"/>
              <w:color w:val="404040"/>
              <w:szCs w:val="20"/>
            </w:rPr>
            <w:t>3</w:t>
          </w:r>
        </w:p>
      </w:tc>
      <w:tc>
        <w:tcPr>
          <w:tcW w:w="4950" w:type="dxa"/>
          <w:tcBorders>
            <w:top w:val="nil"/>
            <w:left w:val="nil"/>
            <w:bottom w:val="single" w:sz="4" w:space="0" w:color="auto"/>
            <w:right w:val="single" w:sz="4" w:space="0" w:color="auto"/>
          </w:tcBorders>
          <w:shd w:val="clear" w:color="auto" w:fill="auto"/>
          <w:noWrap/>
          <w:vAlign w:val="bottom"/>
          <w:hideMark/>
        </w:tcPr>
        <w:p w14:paraId="7551E31A" w14:textId="77777777" w:rsidR="005F3FCF" w:rsidRPr="006723EF" w:rsidRDefault="005F3FCF" w:rsidP="00816745">
          <w:pPr>
            <w:rPr>
              <w:rFonts w:ascii="Calibri" w:eastAsia="Times New Roman" w:hAnsi="Calibri"/>
              <w:color w:val="404040"/>
              <w:szCs w:val="20"/>
            </w:rPr>
          </w:pPr>
          <w:r w:rsidRPr="006723EF">
            <w:rPr>
              <w:rFonts w:ascii="Calibri" w:eastAsia="Times New Roman" w:hAnsi="Calibri"/>
              <w:color w:val="404040"/>
              <w:szCs w:val="20"/>
            </w:rPr>
            <w:t>Total match available for current Federal fiscal year (Line 1 plus Line 2)</w:t>
          </w:r>
        </w:p>
      </w:tc>
      <w:tc>
        <w:tcPr>
          <w:tcW w:w="1530" w:type="dxa"/>
          <w:tcBorders>
            <w:top w:val="nil"/>
            <w:left w:val="nil"/>
            <w:bottom w:val="single" w:sz="4" w:space="0" w:color="auto"/>
            <w:right w:val="single" w:sz="4" w:space="0" w:color="auto"/>
          </w:tcBorders>
          <w:shd w:val="clear" w:color="000000" w:fill="D9D9D9"/>
          <w:noWrap/>
          <w:vAlign w:val="bottom"/>
          <w:hideMark/>
        </w:tcPr>
        <w:p w14:paraId="618245B8" w14:textId="77777777" w:rsidR="005F3FCF" w:rsidRPr="001A7496" w:rsidRDefault="005F3FCF" w:rsidP="00816745">
          <w:pPr>
            <w:rPr>
              <w:rFonts w:ascii="Calibri" w:eastAsia="Times New Roman" w:hAnsi="Calibri"/>
              <w:color w:val="404040"/>
              <w:szCs w:val="20"/>
            </w:rPr>
          </w:pPr>
          <w:r w:rsidRPr="001A7496">
            <w:rPr>
              <w:rFonts w:ascii="Calibri" w:eastAsia="Times New Roman" w:hAnsi="Calibri"/>
              <w:color w:val="404040"/>
              <w:szCs w:val="20"/>
            </w:rPr>
            <w:t> </w:t>
          </w:r>
        </w:p>
      </w:tc>
      <w:tc>
        <w:tcPr>
          <w:tcW w:w="1400" w:type="dxa"/>
          <w:tcBorders>
            <w:top w:val="nil"/>
            <w:left w:val="nil"/>
            <w:bottom w:val="single" w:sz="4" w:space="0" w:color="auto"/>
            <w:right w:val="single" w:sz="4" w:space="0" w:color="auto"/>
          </w:tcBorders>
          <w:shd w:val="clear" w:color="auto" w:fill="auto"/>
          <w:noWrap/>
          <w:vAlign w:val="bottom"/>
          <w:hideMark/>
        </w:tcPr>
        <w:p w14:paraId="5DB985A0" w14:textId="77777777" w:rsidR="005F3FCF" w:rsidRPr="001A7496" w:rsidRDefault="005F3FCF" w:rsidP="001A7496">
          <w:pPr>
            <w:rPr>
              <w:rFonts w:ascii="Calibri" w:eastAsia="Times New Roman" w:hAnsi="Calibri"/>
              <w:color w:val="404040"/>
              <w:szCs w:val="20"/>
            </w:rPr>
          </w:pPr>
          <w:r w:rsidRPr="001A7496">
            <w:rPr>
              <w:rFonts w:ascii="Calibri" w:eastAsia="Times New Roman" w:hAnsi="Calibri"/>
              <w:color w:val="404040"/>
              <w:szCs w:val="20"/>
            </w:rPr>
            <w:t xml:space="preserve"> $ </w:t>
          </w:r>
          <w:r>
            <w:rPr>
              <w:rFonts w:ascii="Calibri" w:eastAsia="Times New Roman" w:hAnsi="Calibri"/>
              <w:color w:val="404040"/>
              <w:szCs w:val="20"/>
            </w:rPr>
            <w:t>597,328</w:t>
          </w:r>
          <w:r w:rsidRPr="001A7496">
            <w:rPr>
              <w:rFonts w:ascii="Calibri" w:eastAsia="Times New Roman" w:hAnsi="Calibri"/>
              <w:color w:val="404040"/>
              <w:szCs w:val="20"/>
            </w:rPr>
            <w:t xml:space="preserve"> </w:t>
          </w:r>
        </w:p>
      </w:tc>
    </w:tr>
    <w:tr w:rsidR="005F3FCF" w:rsidRPr="006723EF" w14:paraId="3F910EB5" w14:textId="77777777" w:rsidTr="005F3FCF">
      <w:trPr>
        <w:trHeight w:val="288"/>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37FB46B0" w14:textId="77777777" w:rsidR="005F3FCF" w:rsidRPr="006723EF" w:rsidRDefault="005F3FCF" w:rsidP="00816745">
          <w:pPr>
            <w:rPr>
              <w:rFonts w:ascii="Calibri" w:eastAsia="Times New Roman" w:hAnsi="Calibri"/>
              <w:color w:val="404040"/>
              <w:szCs w:val="20"/>
            </w:rPr>
          </w:pPr>
          <w:r w:rsidRPr="006723EF">
            <w:rPr>
              <w:rFonts w:ascii="Calibri" w:eastAsia="Times New Roman" w:hAnsi="Calibri"/>
              <w:color w:val="404040"/>
              <w:szCs w:val="20"/>
            </w:rPr>
            <w:t>4</w:t>
          </w:r>
        </w:p>
      </w:tc>
      <w:tc>
        <w:tcPr>
          <w:tcW w:w="4950" w:type="dxa"/>
          <w:tcBorders>
            <w:top w:val="nil"/>
            <w:left w:val="nil"/>
            <w:bottom w:val="single" w:sz="4" w:space="0" w:color="auto"/>
            <w:right w:val="single" w:sz="4" w:space="0" w:color="auto"/>
          </w:tcBorders>
          <w:shd w:val="clear" w:color="auto" w:fill="auto"/>
          <w:noWrap/>
          <w:vAlign w:val="bottom"/>
          <w:hideMark/>
        </w:tcPr>
        <w:p w14:paraId="3DD39D83" w14:textId="77777777" w:rsidR="005F3FCF" w:rsidRPr="006723EF" w:rsidRDefault="005F3FCF" w:rsidP="00816745">
          <w:pPr>
            <w:rPr>
              <w:rFonts w:ascii="Calibri" w:eastAsia="Times New Roman" w:hAnsi="Calibri"/>
              <w:color w:val="404040"/>
              <w:szCs w:val="20"/>
            </w:rPr>
          </w:pPr>
          <w:r w:rsidRPr="006723EF">
            <w:rPr>
              <w:rFonts w:ascii="Calibri" w:eastAsia="Times New Roman" w:hAnsi="Calibri"/>
              <w:color w:val="404040"/>
              <w:szCs w:val="20"/>
            </w:rPr>
            <w:t>Match liability for current Federal fiscal year</w:t>
          </w:r>
        </w:p>
      </w:tc>
      <w:tc>
        <w:tcPr>
          <w:tcW w:w="1530" w:type="dxa"/>
          <w:tcBorders>
            <w:top w:val="nil"/>
            <w:left w:val="nil"/>
            <w:bottom w:val="single" w:sz="4" w:space="0" w:color="auto"/>
            <w:right w:val="single" w:sz="4" w:space="0" w:color="auto"/>
          </w:tcBorders>
          <w:shd w:val="clear" w:color="000000" w:fill="D9D9D9"/>
          <w:noWrap/>
          <w:vAlign w:val="bottom"/>
          <w:hideMark/>
        </w:tcPr>
        <w:p w14:paraId="7A4E80AE" w14:textId="77777777" w:rsidR="005F3FCF" w:rsidRPr="001A7496" w:rsidRDefault="005F3FCF" w:rsidP="00816745">
          <w:pPr>
            <w:rPr>
              <w:rFonts w:ascii="Calibri" w:eastAsia="Times New Roman" w:hAnsi="Calibri"/>
              <w:color w:val="404040"/>
              <w:szCs w:val="20"/>
            </w:rPr>
          </w:pPr>
          <w:r w:rsidRPr="001A7496">
            <w:rPr>
              <w:rFonts w:ascii="Calibri" w:eastAsia="Times New Roman" w:hAnsi="Calibri"/>
              <w:color w:val="404040"/>
              <w:szCs w:val="20"/>
            </w:rPr>
            <w:t> </w:t>
          </w:r>
        </w:p>
      </w:tc>
      <w:tc>
        <w:tcPr>
          <w:tcW w:w="1400" w:type="dxa"/>
          <w:tcBorders>
            <w:top w:val="nil"/>
            <w:left w:val="nil"/>
            <w:bottom w:val="single" w:sz="4" w:space="0" w:color="auto"/>
            <w:right w:val="single" w:sz="4" w:space="0" w:color="auto"/>
          </w:tcBorders>
          <w:shd w:val="clear" w:color="auto" w:fill="auto"/>
          <w:noWrap/>
          <w:vAlign w:val="bottom"/>
          <w:hideMark/>
        </w:tcPr>
        <w:p w14:paraId="30AB881A" w14:textId="77777777" w:rsidR="005F3FCF" w:rsidRPr="001A7496" w:rsidRDefault="005F3FCF" w:rsidP="00816745">
          <w:pPr>
            <w:rPr>
              <w:rFonts w:ascii="Calibri" w:eastAsia="Times New Roman" w:hAnsi="Calibri"/>
              <w:color w:val="404040"/>
              <w:szCs w:val="20"/>
            </w:rPr>
          </w:pPr>
          <w:r w:rsidRPr="001A7496">
            <w:rPr>
              <w:rFonts w:ascii="Calibri" w:eastAsia="Times New Roman" w:hAnsi="Calibri"/>
              <w:color w:val="404040"/>
              <w:szCs w:val="20"/>
            </w:rPr>
            <w:t xml:space="preserve"> $ 58,523</w:t>
          </w:r>
        </w:p>
      </w:tc>
    </w:tr>
    <w:tr w:rsidR="005F3FCF" w:rsidRPr="006723EF" w14:paraId="492F3646" w14:textId="77777777" w:rsidTr="005F3FCF">
      <w:trPr>
        <w:trHeight w:val="288"/>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3AEE179C" w14:textId="77777777" w:rsidR="005F3FCF" w:rsidRPr="006723EF" w:rsidRDefault="005F3FCF" w:rsidP="00816745">
          <w:pPr>
            <w:rPr>
              <w:rFonts w:ascii="Calibri" w:eastAsia="Times New Roman" w:hAnsi="Calibri"/>
              <w:color w:val="404040"/>
              <w:szCs w:val="20"/>
            </w:rPr>
          </w:pPr>
          <w:r w:rsidRPr="006723EF">
            <w:rPr>
              <w:rFonts w:ascii="Calibri" w:eastAsia="Times New Roman" w:hAnsi="Calibri"/>
              <w:color w:val="404040"/>
              <w:szCs w:val="20"/>
            </w:rPr>
            <w:t>5</w:t>
          </w:r>
        </w:p>
      </w:tc>
      <w:tc>
        <w:tcPr>
          <w:tcW w:w="4950" w:type="dxa"/>
          <w:tcBorders>
            <w:top w:val="nil"/>
            <w:left w:val="nil"/>
            <w:bottom w:val="single" w:sz="4" w:space="0" w:color="auto"/>
            <w:right w:val="single" w:sz="4" w:space="0" w:color="auto"/>
          </w:tcBorders>
          <w:shd w:val="clear" w:color="auto" w:fill="auto"/>
          <w:noWrap/>
          <w:vAlign w:val="bottom"/>
          <w:hideMark/>
        </w:tcPr>
        <w:p w14:paraId="5B0C9E0D" w14:textId="77777777" w:rsidR="005F3FCF" w:rsidRPr="006723EF" w:rsidRDefault="005F3FCF" w:rsidP="00816745">
          <w:pPr>
            <w:rPr>
              <w:rFonts w:ascii="Calibri" w:eastAsia="Times New Roman" w:hAnsi="Calibri"/>
              <w:color w:val="404040"/>
              <w:szCs w:val="20"/>
            </w:rPr>
          </w:pPr>
          <w:r w:rsidRPr="006723EF">
            <w:rPr>
              <w:rFonts w:ascii="Calibri" w:eastAsia="Times New Roman" w:hAnsi="Calibri"/>
              <w:color w:val="404040"/>
              <w:szCs w:val="20"/>
            </w:rPr>
            <w:t>Excess match carried over to next Federal fiscal year (Line 3 minus Line 4)</w:t>
          </w:r>
        </w:p>
      </w:tc>
      <w:tc>
        <w:tcPr>
          <w:tcW w:w="1530" w:type="dxa"/>
          <w:tcBorders>
            <w:top w:val="nil"/>
            <w:left w:val="nil"/>
            <w:bottom w:val="single" w:sz="4" w:space="0" w:color="auto"/>
            <w:right w:val="single" w:sz="4" w:space="0" w:color="auto"/>
          </w:tcBorders>
          <w:shd w:val="clear" w:color="000000" w:fill="D9D9D9"/>
          <w:noWrap/>
          <w:vAlign w:val="bottom"/>
          <w:hideMark/>
        </w:tcPr>
        <w:p w14:paraId="0E184586" w14:textId="77777777" w:rsidR="005F3FCF" w:rsidRPr="001A7496" w:rsidRDefault="005F3FCF" w:rsidP="00816745">
          <w:pPr>
            <w:rPr>
              <w:rFonts w:ascii="Calibri" w:eastAsia="Times New Roman" w:hAnsi="Calibri"/>
              <w:color w:val="404040"/>
              <w:szCs w:val="20"/>
            </w:rPr>
          </w:pPr>
          <w:r w:rsidRPr="001A7496">
            <w:rPr>
              <w:rFonts w:ascii="Calibri" w:eastAsia="Times New Roman" w:hAnsi="Calibri"/>
              <w:color w:val="404040"/>
              <w:szCs w:val="20"/>
            </w:rPr>
            <w:t> </w:t>
          </w:r>
        </w:p>
      </w:tc>
      <w:tc>
        <w:tcPr>
          <w:tcW w:w="1400" w:type="dxa"/>
          <w:tcBorders>
            <w:top w:val="nil"/>
            <w:left w:val="nil"/>
            <w:bottom w:val="single" w:sz="4" w:space="0" w:color="auto"/>
            <w:right w:val="single" w:sz="4" w:space="0" w:color="auto"/>
          </w:tcBorders>
          <w:shd w:val="clear" w:color="auto" w:fill="auto"/>
          <w:noWrap/>
          <w:vAlign w:val="bottom"/>
          <w:hideMark/>
        </w:tcPr>
        <w:p w14:paraId="542FCF44" w14:textId="77777777" w:rsidR="005F3FCF" w:rsidRPr="001A7496" w:rsidRDefault="005F3FCF" w:rsidP="001A7496">
          <w:pPr>
            <w:rPr>
              <w:rFonts w:ascii="Calibri" w:eastAsia="Times New Roman" w:hAnsi="Calibri"/>
              <w:color w:val="404040"/>
              <w:szCs w:val="20"/>
            </w:rPr>
          </w:pPr>
          <w:r w:rsidRPr="001A7496">
            <w:rPr>
              <w:rFonts w:ascii="Calibri" w:eastAsia="Times New Roman" w:hAnsi="Calibri"/>
              <w:color w:val="404040"/>
              <w:szCs w:val="20"/>
            </w:rPr>
            <w:t xml:space="preserve"> $ </w:t>
          </w:r>
          <w:r>
            <w:rPr>
              <w:rFonts w:ascii="Calibri" w:eastAsia="Times New Roman" w:hAnsi="Calibri"/>
              <w:color w:val="404040"/>
              <w:szCs w:val="20"/>
            </w:rPr>
            <w:t>538,805</w:t>
          </w:r>
        </w:p>
      </w:tc>
    </w:tr>
  </w:tbl>
  <w:p w14:paraId="3341FBB7" w14:textId="77777777" w:rsidR="005F3FCF" w:rsidRDefault="005F3FCF" w:rsidP="00B10F1E">
    <w:pPr>
      <w:spacing w:line="276" w:lineRule="auto"/>
      <w:ind w:right="360"/>
      <w:rPr>
        <w:rFonts w:asciiTheme="minorHAnsi" w:hAnsiTheme="minorHAnsi" w:cstheme="minorHAnsi"/>
        <w:b/>
        <w:color w:val="404040" w:themeColor="text1" w:themeTint="BF"/>
        <w:szCs w:val="20"/>
      </w:rPr>
    </w:pPr>
  </w:p>
  <w:p w14:paraId="05625E9F" w14:textId="77777777" w:rsidR="005F3FCF" w:rsidRDefault="005F3FCF" w:rsidP="00B10F1E">
    <w:pPr>
      <w:spacing w:line="276" w:lineRule="auto"/>
      <w:ind w:right="360"/>
      <w:rPr>
        <w:rFonts w:asciiTheme="minorHAnsi" w:hAnsiTheme="minorHAnsi" w:cstheme="minorHAnsi"/>
        <w:b/>
        <w:color w:val="404040" w:themeColor="text1" w:themeTint="BF"/>
        <w:szCs w:val="20"/>
      </w:rPr>
    </w:pPr>
  </w:p>
  <w:p w14:paraId="29D4A3A6" w14:textId="77777777" w:rsidR="005F3FCF" w:rsidRDefault="005F3FCF" w:rsidP="00B10F1E">
    <w:pPr>
      <w:spacing w:line="276" w:lineRule="auto"/>
      <w:ind w:right="360"/>
      <w:rPr>
        <w:rFonts w:asciiTheme="minorHAnsi" w:hAnsiTheme="minorHAnsi" w:cstheme="minorHAnsi"/>
        <w:b/>
        <w:color w:val="404040" w:themeColor="text1" w:themeTint="BF"/>
        <w:szCs w:val="20"/>
      </w:rPr>
    </w:pPr>
  </w:p>
  <w:p w14:paraId="5D96DF62" w14:textId="77777777" w:rsidR="005F3FCF" w:rsidRPr="00DF5513" w:rsidRDefault="005F3FCF" w:rsidP="00B10F1E">
    <w:pPr>
      <w:spacing w:line="276" w:lineRule="auto"/>
      <w:ind w:right="360"/>
      <w:rPr>
        <w:rFonts w:asciiTheme="minorHAnsi" w:hAnsiTheme="minorHAnsi" w:cstheme="minorHAnsi"/>
        <w:b/>
        <w:color w:val="404040" w:themeColor="text1" w:themeTint="BF"/>
        <w:szCs w:val="20"/>
      </w:rPr>
    </w:pPr>
    <w:r w:rsidRPr="00DF5513">
      <w:rPr>
        <w:rFonts w:asciiTheme="minorHAnsi" w:hAnsiTheme="minorHAnsi" w:cstheme="minorHAnsi"/>
        <w:b/>
        <w:color w:val="404040" w:themeColor="text1" w:themeTint="BF"/>
        <w:szCs w:val="20"/>
      </w:rPr>
      <w:t xml:space="preserve">Table 6 – Match Contribution for the Federal Fiscal Year </w:t>
    </w:r>
  </w:p>
  <w:tbl>
    <w:tblPr>
      <w:tblW w:w="8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610"/>
    </w:tblGrid>
    <w:tr w:rsidR="005F3FCF" w:rsidRPr="006723EF" w14:paraId="4DCB2BD6" w14:textId="77777777" w:rsidTr="005F3FCF">
      <w:trPr>
        <w:trHeight w:val="288"/>
      </w:trPr>
      <w:tc>
        <w:tcPr>
          <w:tcW w:w="8280" w:type="dxa"/>
          <w:gridSpan w:val="2"/>
          <w:shd w:val="clear" w:color="auto" w:fill="C6D9F1" w:themeFill="text2" w:themeFillTint="33"/>
          <w:noWrap/>
          <w:vAlign w:val="bottom"/>
          <w:hideMark/>
        </w:tcPr>
        <w:p w14:paraId="0004A8C5" w14:textId="77777777" w:rsidR="005F3FCF" w:rsidRPr="006723EF" w:rsidRDefault="005F3FCF" w:rsidP="00816745">
          <w:pPr>
            <w:jc w:val="center"/>
            <w:rPr>
              <w:rFonts w:ascii="Calibri" w:eastAsia="Times New Roman" w:hAnsi="Calibri"/>
              <w:b/>
              <w:bCs/>
              <w:color w:val="404040"/>
              <w:szCs w:val="20"/>
            </w:rPr>
          </w:pPr>
          <w:r w:rsidRPr="006723EF">
            <w:rPr>
              <w:rFonts w:ascii="Calibri" w:eastAsia="Times New Roman" w:hAnsi="Calibri"/>
              <w:b/>
              <w:bCs/>
              <w:color w:val="404040"/>
              <w:szCs w:val="20"/>
            </w:rPr>
            <w:t>Match Contribution</w:t>
          </w:r>
        </w:p>
      </w:tc>
    </w:tr>
    <w:tr w:rsidR="005F3FCF" w:rsidRPr="006723EF" w14:paraId="22BE3782" w14:textId="77777777" w:rsidTr="005F3FCF">
      <w:trPr>
        <w:trHeight w:val="288"/>
      </w:trPr>
      <w:tc>
        <w:tcPr>
          <w:tcW w:w="5670" w:type="dxa"/>
          <w:shd w:val="clear" w:color="auto" w:fill="auto"/>
          <w:vAlign w:val="bottom"/>
          <w:hideMark/>
        </w:tcPr>
        <w:p w14:paraId="065D9946" w14:textId="77777777" w:rsidR="005F3FCF" w:rsidRPr="006723EF" w:rsidRDefault="005F3FCF" w:rsidP="00816745">
          <w:pPr>
            <w:rPr>
              <w:rFonts w:ascii="Calibri" w:eastAsia="Times New Roman" w:hAnsi="Calibri"/>
              <w:color w:val="404040"/>
              <w:szCs w:val="20"/>
            </w:rPr>
          </w:pPr>
          <w:r w:rsidRPr="006723EF">
            <w:rPr>
              <w:rFonts w:ascii="Calibri" w:eastAsia="Times New Roman" w:hAnsi="Calibri"/>
              <w:color w:val="404040"/>
              <w:szCs w:val="20"/>
            </w:rPr>
            <w:t>Project No. or Other ID</w:t>
          </w:r>
        </w:p>
      </w:tc>
      <w:tc>
        <w:tcPr>
          <w:tcW w:w="2610" w:type="dxa"/>
          <w:shd w:val="clear" w:color="auto" w:fill="auto"/>
          <w:vAlign w:val="bottom"/>
          <w:hideMark/>
        </w:tcPr>
        <w:p w14:paraId="4FCDBC50" w14:textId="77777777" w:rsidR="005F3FCF" w:rsidRPr="006723EF" w:rsidRDefault="005F3FCF" w:rsidP="00816745">
          <w:pPr>
            <w:jc w:val="center"/>
            <w:rPr>
              <w:rFonts w:ascii="Calibri" w:eastAsia="Times New Roman" w:hAnsi="Calibri"/>
              <w:color w:val="404040"/>
              <w:szCs w:val="20"/>
            </w:rPr>
          </w:pPr>
          <w:r w:rsidRPr="006723EF">
            <w:rPr>
              <w:rFonts w:ascii="Calibri" w:eastAsia="Times New Roman" w:hAnsi="Calibri"/>
              <w:color w:val="404040"/>
              <w:szCs w:val="20"/>
            </w:rPr>
            <w:t>Waived Impact Fees</w:t>
          </w:r>
        </w:p>
      </w:tc>
    </w:tr>
    <w:tr w:rsidR="005F3FCF" w:rsidRPr="006723EF" w14:paraId="328789E0" w14:textId="77777777" w:rsidTr="005F3FCF">
      <w:trPr>
        <w:trHeight w:val="288"/>
      </w:trPr>
      <w:tc>
        <w:tcPr>
          <w:tcW w:w="5670" w:type="dxa"/>
          <w:shd w:val="clear" w:color="auto" w:fill="auto"/>
          <w:vAlign w:val="bottom"/>
          <w:hideMark/>
        </w:tcPr>
        <w:p w14:paraId="76644606" w14:textId="77777777" w:rsidR="005F3FCF" w:rsidRPr="006723EF" w:rsidRDefault="005F3FCF" w:rsidP="00816745">
          <w:pPr>
            <w:rPr>
              <w:rFonts w:ascii="Calibri" w:eastAsia="Times New Roman" w:hAnsi="Calibri"/>
              <w:color w:val="404040"/>
              <w:szCs w:val="20"/>
            </w:rPr>
          </w:pPr>
          <w:r w:rsidRPr="006723EF">
            <w:rPr>
              <w:rFonts w:ascii="Calibri" w:eastAsia="Times New Roman" w:hAnsi="Calibri"/>
              <w:color w:val="404040"/>
              <w:szCs w:val="20"/>
            </w:rPr>
            <w:t>Date of Contribution</w:t>
          </w:r>
        </w:p>
      </w:tc>
      <w:tc>
        <w:tcPr>
          <w:tcW w:w="2610" w:type="dxa"/>
          <w:shd w:val="clear" w:color="auto" w:fill="auto"/>
          <w:noWrap/>
          <w:vAlign w:val="bottom"/>
          <w:hideMark/>
        </w:tcPr>
        <w:p w14:paraId="7FDF3F2C" w14:textId="77777777" w:rsidR="005F3FCF" w:rsidRPr="006723EF" w:rsidRDefault="005F3FCF" w:rsidP="00816745">
          <w:pPr>
            <w:jc w:val="center"/>
            <w:rPr>
              <w:rFonts w:ascii="Calibri" w:eastAsia="Times New Roman" w:hAnsi="Calibri"/>
              <w:color w:val="404040"/>
              <w:szCs w:val="20"/>
            </w:rPr>
          </w:pPr>
          <w:r>
            <w:rPr>
              <w:rFonts w:ascii="Calibri" w:eastAsia="Times New Roman" w:hAnsi="Calibri"/>
              <w:color w:val="404040"/>
              <w:szCs w:val="20"/>
            </w:rPr>
            <w:t>N/A</w:t>
          </w:r>
        </w:p>
      </w:tc>
    </w:tr>
    <w:tr w:rsidR="005F3FCF" w:rsidRPr="006723EF" w14:paraId="6853F52B" w14:textId="77777777" w:rsidTr="005F3FCF">
      <w:trPr>
        <w:trHeight w:val="288"/>
      </w:trPr>
      <w:tc>
        <w:tcPr>
          <w:tcW w:w="5670" w:type="dxa"/>
          <w:shd w:val="clear" w:color="auto" w:fill="auto"/>
          <w:vAlign w:val="bottom"/>
          <w:hideMark/>
        </w:tcPr>
        <w:p w14:paraId="14C118D7" w14:textId="77777777" w:rsidR="005F3FCF" w:rsidRPr="006723EF" w:rsidRDefault="005F3FCF" w:rsidP="00816745">
          <w:pPr>
            <w:rPr>
              <w:rFonts w:ascii="Calibri" w:eastAsia="Times New Roman" w:hAnsi="Calibri"/>
              <w:color w:val="404040"/>
              <w:szCs w:val="20"/>
            </w:rPr>
          </w:pPr>
          <w:r w:rsidRPr="006723EF">
            <w:rPr>
              <w:rFonts w:ascii="Calibri" w:eastAsia="Times New Roman" w:hAnsi="Calibri"/>
              <w:color w:val="404040"/>
              <w:szCs w:val="20"/>
            </w:rPr>
            <w:t>Cash (non-Federal sources)</w:t>
          </w:r>
        </w:p>
      </w:tc>
      <w:tc>
        <w:tcPr>
          <w:tcW w:w="2610" w:type="dxa"/>
          <w:shd w:val="clear" w:color="auto" w:fill="auto"/>
          <w:noWrap/>
          <w:vAlign w:val="bottom"/>
          <w:hideMark/>
        </w:tcPr>
        <w:p w14:paraId="4EE2A800" w14:textId="77777777" w:rsidR="005F3FCF" w:rsidRPr="006723EF" w:rsidRDefault="005F3FCF" w:rsidP="001A7496">
          <w:pPr>
            <w:rPr>
              <w:rFonts w:ascii="Calibri" w:eastAsia="Times New Roman" w:hAnsi="Calibri"/>
              <w:color w:val="404040"/>
              <w:szCs w:val="20"/>
            </w:rPr>
          </w:pPr>
          <w:r w:rsidRPr="006723EF">
            <w:rPr>
              <w:rFonts w:ascii="Calibri" w:eastAsia="Times New Roman" w:hAnsi="Calibri"/>
              <w:color w:val="404040"/>
              <w:szCs w:val="20"/>
            </w:rPr>
            <w:t xml:space="preserve"> $                    </w:t>
          </w:r>
          <w:r>
            <w:rPr>
              <w:rFonts w:ascii="Calibri" w:eastAsia="Times New Roman" w:hAnsi="Calibri"/>
              <w:color w:val="404040"/>
              <w:szCs w:val="20"/>
            </w:rPr>
            <w:t xml:space="preserve">550,000                </w:t>
          </w:r>
        </w:p>
      </w:tc>
    </w:tr>
    <w:tr w:rsidR="005F3FCF" w:rsidRPr="006723EF" w14:paraId="735E712F" w14:textId="77777777" w:rsidTr="005F3FCF">
      <w:trPr>
        <w:trHeight w:val="288"/>
      </w:trPr>
      <w:tc>
        <w:tcPr>
          <w:tcW w:w="5670" w:type="dxa"/>
          <w:shd w:val="clear" w:color="auto" w:fill="auto"/>
          <w:vAlign w:val="bottom"/>
          <w:hideMark/>
        </w:tcPr>
        <w:p w14:paraId="77F16568" w14:textId="77777777" w:rsidR="005F3FCF" w:rsidRPr="006723EF" w:rsidRDefault="005F3FCF" w:rsidP="00816745">
          <w:pPr>
            <w:rPr>
              <w:rFonts w:ascii="Calibri" w:eastAsia="Times New Roman" w:hAnsi="Calibri"/>
              <w:color w:val="404040"/>
              <w:szCs w:val="20"/>
            </w:rPr>
          </w:pPr>
          <w:r w:rsidRPr="006723EF">
            <w:rPr>
              <w:rFonts w:ascii="Calibri" w:eastAsia="Times New Roman" w:hAnsi="Calibri"/>
              <w:color w:val="404040"/>
              <w:szCs w:val="20"/>
            </w:rPr>
            <w:t>Foregone Taxes, Fees, Charges</w:t>
          </w:r>
        </w:p>
      </w:tc>
      <w:tc>
        <w:tcPr>
          <w:tcW w:w="2610" w:type="dxa"/>
          <w:shd w:val="clear" w:color="auto" w:fill="auto"/>
          <w:noWrap/>
          <w:vAlign w:val="bottom"/>
          <w:hideMark/>
        </w:tcPr>
        <w:p w14:paraId="02CC517A" w14:textId="77777777" w:rsidR="005F3FCF" w:rsidRPr="006723EF" w:rsidRDefault="005F3FCF" w:rsidP="00816745">
          <w:pPr>
            <w:rPr>
              <w:rFonts w:ascii="Calibri" w:eastAsia="Times New Roman" w:hAnsi="Calibri"/>
              <w:color w:val="404040"/>
              <w:szCs w:val="20"/>
            </w:rPr>
          </w:pPr>
          <w:r w:rsidRPr="006723EF">
            <w:rPr>
              <w:rFonts w:ascii="Calibri" w:eastAsia="Times New Roman" w:hAnsi="Calibri"/>
              <w:color w:val="404040"/>
              <w:szCs w:val="20"/>
            </w:rPr>
            <w:t xml:space="preserve"> $                                       -   </w:t>
          </w:r>
        </w:p>
      </w:tc>
    </w:tr>
    <w:tr w:rsidR="005F3FCF" w:rsidRPr="006723EF" w14:paraId="3DE11676" w14:textId="77777777" w:rsidTr="005F3FCF">
      <w:trPr>
        <w:trHeight w:val="288"/>
      </w:trPr>
      <w:tc>
        <w:tcPr>
          <w:tcW w:w="5670" w:type="dxa"/>
          <w:shd w:val="clear" w:color="auto" w:fill="auto"/>
          <w:vAlign w:val="bottom"/>
          <w:hideMark/>
        </w:tcPr>
        <w:p w14:paraId="09291D4E" w14:textId="77777777" w:rsidR="005F3FCF" w:rsidRPr="006723EF" w:rsidRDefault="005F3FCF" w:rsidP="00816745">
          <w:pPr>
            <w:rPr>
              <w:rFonts w:ascii="Calibri" w:eastAsia="Times New Roman" w:hAnsi="Calibri"/>
              <w:color w:val="404040"/>
              <w:szCs w:val="20"/>
            </w:rPr>
          </w:pPr>
          <w:r w:rsidRPr="006723EF">
            <w:rPr>
              <w:rFonts w:ascii="Calibri" w:eastAsia="Times New Roman" w:hAnsi="Calibri"/>
              <w:color w:val="404040"/>
              <w:szCs w:val="20"/>
            </w:rPr>
            <w:t>Appraised Land/Real Property</w:t>
          </w:r>
        </w:p>
      </w:tc>
      <w:tc>
        <w:tcPr>
          <w:tcW w:w="2610" w:type="dxa"/>
          <w:shd w:val="clear" w:color="auto" w:fill="auto"/>
          <w:noWrap/>
          <w:vAlign w:val="bottom"/>
          <w:hideMark/>
        </w:tcPr>
        <w:p w14:paraId="0955DBE2" w14:textId="77777777" w:rsidR="005F3FCF" w:rsidRPr="006723EF" w:rsidRDefault="005F3FCF" w:rsidP="00816745">
          <w:pPr>
            <w:rPr>
              <w:rFonts w:ascii="Calibri" w:eastAsia="Times New Roman" w:hAnsi="Calibri"/>
              <w:color w:val="404040"/>
              <w:szCs w:val="20"/>
            </w:rPr>
          </w:pPr>
          <w:r w:rsidRPr="006723EF">
            <w:rPr>
              <w:rFonts w:ascii="Calibri" w:eastAsia="Times New Roman" w:hAnsi="Calibri"/>
              <w:color w:val="404040"/>
              <w:szCs w:val="20"/>
            </w:rPr>
            <w:t xml:space="preserve"> $                                       -   </w:t>
          </w:r>
        </w:p>
      </w:tc>
    </w:tr>
    <w:tr w:rsidR="005F3FCF" w:rsidRPr="006723EF" w14:paraId="79C43344" w14:textId="77777777" w:rsidTr="005F3FCF">
      <w:trPr>
        <w:trHeight w:val="288"/>
      </w:trPr>
      <w:tc>
        <w:tcPr>
          <w:tcW w:w="5670" w:type="dxa"/>
          <w:shd w:val="clear" w:color="auto" w:fill="auto"/>
          <w:vAlign w:val="bottom"/>
          <w:hideMark/>
        </w:tcPr>
        <w:p w14:paraId="7F2790E5" w14:textId="77777777" w:rsidR="005F3FCF" w:rsidRPr="006723EF" w:rsidRDefault="005F3FCF" w:rsidP="00816745">
          <w:pPr>
            <w:rPr>
              <w:rFonts w:ascii="Calibri" w:eastAsia="Times New Roman" w:hAnsi="Calibri"/>
              <w:color w:val="404040"/>
              <w:szCs w:val="20"/>
            </w:rPr>
          </w:pPr>
          <w:r w:rsidRPr="006723EF">
            <w:rPr>
              <w:rFonts w:ascii="Calibri" w:eastAsia="Times New Roman" w:hAnsi="Calibri"/>
              <w:color w:val="404040"/>
              <w:szCs w:val="20"/>
            </w:rPr>
            <w:t>Required Infrastructure</w:t>
          </w:r>
        </w:p>
      </w:tc>
      <w:tc>
        <w:tcPr>
          <w:tcW w:w="2610" w:type="dxa"/>
          <w:shd w:val="clear" w:color="auto" w:fill="auto"/>
          <w:noWrap/>
          <w:vAlign w:val="bottom"/>
          <w:hideMark/>
        </w:tcPr>
        <w:p w14:paraId="2BEE8DD7" w14:textId="77777777" w:rsidR="005F3FCF" w:rsidRPr="006723EF" w:rsidRDefault="005F3FCF" w:rsidP="00816745">
          <w:pPr>
            <w:rPr>
              <w:rFonts w:ascii="Calibri" w:eastAsia="Times New Roman" w:hAnsi="Calibri"/>
              <w:color w:val="404040"/>
              <w:szCs w:val="20"/>
            </w:rPr>
          </w:pPr>
          <w:r w:rsidRPr="006723EF">
            <w:rPr>
              <w:rFonts w:ascii="Calibri" w:eastAsia="Times New Roman" w:hAnsi="Calibri"/>
              <w:color w:val="404040"/>
              <w:szCs w:val="20"/>
            </w:rPr>
            <w:t xml:space="preserve"> $                                       -   </w:t>
          </w:r>
        </w:p>
      </w:tc>
    </w:tr>
    <w:tr w:rsidR="005F3FCF" w:rsidRPr="006723EF" w14:paraId="1CD88212" w14:textId="77777777" w:rsidTr="005F3FCF">
      <w:trPr>
        <w:trHeight w:val="179"/>
      </w:trPr>
      <w:tc>
        <w:tcPr>
          <w:tcW w:w="5670" w:type="dxa"/>
          <w:shd w:val="clear" w:color="auto" w:fill="auto"/>
          <w:vAlign w:val="bottom"/>
          <w:hideMark/>
        </w:tcPr>
        <w:p w14:paraId="76EFA073" w14:textId="77777777" w:rsidR="005F3FCF" w:rsidRPr="006723EF" w:rsidRDefault="005F3FCF" w:rsidP="00816745">
          <w:pPr>
            <w:rPr>
              <w:rFonts w:ascii="Calibri" w:eastAsia="Times New Roman" w:hAnsi="Calibri"/>
              <w:color w:val="404040"/>
              <w:szCs w:val="20"/>
            </w:rPr>
          </w:pPr>
          <w:r w:rsidRPr="006723EF">
            <w:rPr>
              <w:rFonts w:ascii="Calibri" w:eastAsia="Times New Roman" w:hAnsi="Calibri"/>
              <w:color w:val="404040"/>
              <w:szCs w:val="20"/>
            </w:rPr>
            <w:t>Site Preparation, Construction Materials, Donated Labor</w:t>
          </w:r>
        </w:p>
      </w:tc>
      <w:tc>
        <w:tcPr>
          <w:tcW w:w="2610" w:type="dxa"/>
          <w:shd w:val="clear" w:color="auto" w:fill="auto"/>
          <w:noWrap/>
          <w:vAlign w:val="bottom"/>
          <w:hideMark/>
        </w:tcPr>
        <w:p w14:paraId="61EB5995" w14:textId="77777777" w:rsidR="005F3FCF" w:rsidRPr="006723EF" w:rsidRDefault="005F3FCF" w:rsidP="00816745">
          <w:pPr>
            <w:rPr>
              <w:rFonts w:ascii="Calibri" w:eastAsia="Times New Roman" w:hAnsi="Calibri"/>
              <w:color w:val="404040"/>
              <w:szCs w:val="20"/>
            </w:rPr>
          </w:pPr>
          <w:r w:rsidRPr="006723EF">
            <w:rPr>
              <w:rFonts w:ascii="Calibri" w:eastAsia="Times New Roman" w:hAnsi="Calibri"/>
              <w:color w:val="404040"/>
              <w:szCs w:val="20"/>
            </w:rPr>
            <w:t xml:space="preserve"> $                                       -   </w:t>
          </w:r>
        </w:p>
      </w:tc>
    </w:tr>
    <w:tr w:rsidR="005F3FCF" w:rsidRPr="006723EF" w14:paraId="778DC802" w14:textId="77777777" w:rsidTr="005F3FCF">
      <w:trPr>
        <w:trHeight w:val="288"/>
      </w:trPr>
      <w:tc>
        <w:tcPr>
          <w:tcW w:w="5670" w:type="dxa"/>
          <w:shd w:val="clear" w:color="auto" w:fill="auto"/>
          <w:vAlign w:val="bottom"/>
          <w:hideMark/>
        </w:tcPr>
        <w:p w14:paraId="3902B751" w14:textId="77777777" w:rsidR="005F3FCF" w:rsidRPr="006723EF" w:rsidRDefault="005F3FCF" w:rsidP="00816745">
          <w:pPr>
            <w:rPr>
              <w:rFonts w:ascii="Calibri" w:eastAsia="Times New Roman" w:hAnsi="Calibri"/>
              <w:color w:val="404040"/>
              <w:szCs w:val="20"/>
            </w:rPr>
          </w:pPr>
          <w:r w:rsidRPr="006723EF">
            <w:rPr>
              <w:rFonts w:ascii="Calibri" w:eastAsia="Times New Roman" w:hAnsi="Calibri"/>
              <w:color w:val="404040"/>
              <w:szCs w:val="20"/>
            </w:rPr>
            <w:t>Bond Financing</w:t>
          </w:r>
        </w:p>
      </w:tc>
      <w:tc>
        <w:tcPr>
          <w:tcW w:w="2610" w:type="dxa"/>
          <w:shd w:val="clear" w:color="auto" w:fill="auto"/>
          <w:noWrap/>
          <w:vAlign w:val="bottom"/>
          <w:hideMark/>
        </w:tcPr>
        <w:p w14:paraId="383F82E8" w14:textId="77777777" w:rsidR="005F3FCF" w:rsidRPr="006723EF" w:rsidRDefault="005F3FCF" w:rsidP="00816745">
          <w:pPr>
            <w:rPr>
              <w:rFonts w:ascii="Calibri" w:eastAsia="Times New Roman" w:hAnsi="Calibri"/>
              <w:color w:val="404040"/>
              <w:szCs w:val="20"/>
            </w:rPr>
          </w:pPr>
          <w:r w:rsidRPr="006723EF">
            <w:rPr>
              <w:rFonts w:ascii="Calibri" w:eastAsia="Times New Roman" w:hAnsi="Calibri"/>
              <w:color w:val="404040"/>
              <w:szCs w:val="20"/>
            </w:rPr>
            <w:t xml:space="preserve"> $                                       -   </w:t>
          </w:r>
        </w:p>
      </w:tc>
    </w:tr>
    <w:tr w:rsidR="005F3FCF" w:rsidRPr="006723EF" w14:paraId="4D43307B" w14:textId="77777777" w:rsidTr="005F3FCF">
      <w:trPr>
        <w:trHeight w:val="288"/>
      </w:trPr>
      <w:tc>
        <w:tcPr>
          <w:tcW w:w="5670" w:type="dxa"/>
          <w:shd w:val="clear" w:color="000000" w:fill="D9D9D9"/>
          <w:vAlign w:val="bottom"/>
          <w:hideMark/>
        </w:tcPr>
        <w:p w14:paraId="153EEABE" w14:textId="77777777" w:rsidR="005F3FCF" w:rsidRPr="006723EF" w:rsidRDefault="005F3FCF" w:rsidP="00816745">
          <w:pPr>
            <w:rPr>
              <w:rFonts w:ascii="Calibri" w:eastAsia="Times New Roman" w:hAnsi="Calibri"/>
              <w:b/>
              <w:color w:val="404040"/>
              <w:szCs w:val="20"/>
            </w:rPr>
          </w:pPr>
          <w:r w:rsidRPr="006723EF">
            <w:rPr>
              <w:rFonts w:ascii="Calibri" w:eastAsia="Times New Roman" w:hAnsi="Calibri"/>
              <w:b/>
              <w:color w:val="404040"/>
              <w:szCs w:val="20"/>
            </w:rPr>
            <w:t>Total Match</w:t>
          </w:r>
        </w:p>
      </w:tc>
      <w:tc>
        <w:tcPr>
          <w:tcW w:w="2610" w:type="dxa"/>
          <w:shd w:val="clear" w:color="000000" w:fill="D9D9D9"/>
          <w:noWrap/>
          <w:vAlign w:val="bottom"/>
          <w:hideMark/>
        </w:tcPr>
        <w:p w14:paraId="29C031CC" w14:textId="77777777" w:rsidR="005F3FCF" w:rsidRPr="006723EF" w:rsidRDefault="005F3FCF" w:rsidP="00816745">
          <w:pPr>
            <w:rPr>
              <w:rFonts w:ascii="Calibri" w:eastAsia="Times New Roman" w:hAnsi="Calibri"/>
              <w:b/>
              <w:color w:val="404040"/>
              <w:szCs w:val="20"/>
            </w:rPr>
          </w:pPr>
          <w:r w:rsidRPr="006723EF">
            <w:rPr>
              <w:rFonts w:ascii="Calibri" w:eastAsia="Times New Roman" w:hAnsi="Calibri"/>
              <w:b/>
              <w:color w:val="404040"/>
              <w:szCs w:val="20"/>
            </w:rPr>
            <w:t xml:space="preserve"> $ </w:t>
          </w:r>
          <w:r>
            <w:rPr>
              <w:rFonts w:ascii="Calibri" w:eastAsia="Times New Roman" w:hAnsi="Calibri"/>
              <w:b/>
              <w:color w:val="404040"/>
              <w:szCs w:val="20"/>
            </w:rPr>
            <w:t xml:space="preserve">                          550,000</w:t>
          </w:r>
        </w:p>
      </w:tc>
    </w:tr>
  </w:tbl>
  <w:p w14:paraId="25A7C291" w14:textId="77777777" w:rsidR="005F3FCF" w:rsidRPr="006723EF" w:rsidRDefault="005F3FCF" w:rsidP="00B10F1E">
    <w:pPr>
      <w:spacing w:line="276" w:lineRule="auto"/>
      <w:ind w:right="360"/>
      <w:rPr>
        <w:rFonts w:asciiTheme="minorHAnsi" w:hAnsiTheme="minorHAnsi" w:cstheme="minorHAnsi"/>
        <w:b/>
        <w:color w:val="F79646" w:themeColor="accent6"/>
        <w:szCs w:val="20"/>
      </w:rPr>
    </w:pPr>
  </w:p>
  <w:p w14:paraId="2FDFED06" w14:textId="77777777" w:rsidR="005F3FCF" w:rsidRPr="006723EF" w:rsidRDefault="005F3FCF" w:rsidP="00B10F1E">
    <w:pPr>
      <w:spacing w:line="276" w:lineRule="auto"/>
      <w:ind w:right="360"/>
      <w:rPr>
        <w:rFonts w:asciiTheme="minorHAnsi" w:hAnsiTheme="minorHAnsi" w:cstheme="minorHAnsi"/>
        <w:b/>
        <w:color w:val="404040" w:themeColor="text1" w:themeTint="BF"/>
        <w:szCs w:val="20"/>
      </w:rPr>
    </w:pPr>
  </w:p>
  <w:p w14:paraId="3C94C96F" w14:textId="77777777" w:rsidR="005F3FCF" w:rsidRPr="006723EF" w:rsidRDefault="005F3FCF" w:rsidP="00B10F1E">
    <w:pPr>
      <w:spacing w:line="276" w:lineRule="auto"/>
      <w:ind w:right="360"/>
      <w:rPr>
        <w:rFonts w:asciiTheme="minorHAnsi" w:hAnsiTheme="minorHAnsi" w:cstheme="minorHAnsi"/>
        <w:b/>
        <w:color w:val="404040" w:themeColor="text1" w:themeTint="BF"/>
        <w:szCs w:val="20"/>
      </w:rPr>
    </w:pPr>
    <w:r w:rsidRPr="006723EF">
      <w:rPr>
        <w:rFonts w:asciiTheme="minorHAnsi" w:hAnsiTheme="minorHAnsi" w:cstheme="minorHAnsi"/>
        <w:b/>
        <w:color w:val="404040" w:themeColor="text1" w:themeTint="BF"/>
        <w:szCs w:val="20"/>
      </w:rPr>
      <w:t>HOME MBE/WBE REPORT</w:t>
    </w:r>
  </w:p>
  <w:p w14:paraId="33008164" w14:textId="77777777" w:rsidR="005F3FCF" w:rsidRPr="006723EF" w:rsidRDefault="005F3FCF" w:rsidP="00B10F1E">
    <w:pPr>
      <w:spacing w:line="276" w:lineRule="auto"/>
      <w:ind w:right="360"/>
      <w:rPr>
        <w:rFonts w:asciiTheme="minorHAnsi" w:hAnsiTheme="minorHAnsi" w:cstheme="minorHAnsi"/>
        <w:b/>
        <w:color w:val="404040" w:themeColor="text1" w:themeTint="BF"/>
        <w:szCs w:val="20"/>
      </w:rPr>
    </w:pPr>
  </w:p>
  <w:p w14:paraId="3570998B" w14:textId="77777777" w:rsidR="005F3FCF" w:rsidRPr="006723EF" w:rsidRDefault="005F3FCF" w:rsidP="00B10F1E">
    <w:pPr>
      <w:spacing w:line="276" w:lineRule="auto"/>
      <w:ind w:right="360"/>
      <w:rPr>
        <w:rFonts w:asciiTheme="minorHAnsi" w:hAnsiTheme="minorHAnsi" w:cstheme="minorHAnsi"/>
        <w:b/>
        <w:color w:val="404040" w:themeColor="text1" w:themeTint="BF"/>
        <w:szCs w:val="20"/>
      </w:rPr>
    </w:pPr>
    <w:r w:rsidRPr="006723EF">
      <w:rPr>
        <w:rFonts w:asciiTheme="minorHAnsi" w:hAnsiTheme="minorHAnsi" w:cstheme="minorHAnsi"/>
        <w:b/>
        <w:color w:val="404040" w:themeColor="text1" w:themeTint="BF"/>
        <w:szCs w:val="20"/>
      </w:rPr>
      <w:t xml:space="preserve">Table 7 – HOME Program Income </w:t>
    </w:r>
  </w:p>
  <w:tbl>
    <w:tblPr>
      <w:tblW w:w="9845" w:type="dxa"/>
      <w:tblLook w:val="04A0" w:firstRow="1" w:lastRow="0" w:firstColumn="1" w:lastColumn="0" w:noHBand="0" w:noVBand="1"/>
    </w:tblPr>
    <w:tblGrid>
      <w:gridCol w:w="1885"/>
      <w:gridCol w:w="2160"/>
      <w:gridCol w:w="2300"/>
      <w:gridCol w:w="1570"/>
      <w:gridCol w:w="1930"/>
    </w:tblGrid>
    <w:tr w:rsidR="005F3FCF" w:rsidRPr="006723EF" w14:paraId="6105C29E" w14:textId="77777777" w:rsidTr="00816745">
      <w:trPr>
        <w:trHeight w:val="576"/>
      </w:trPr>
      <w:tc>
        <w:tcPr>
          <w:tcW w:w="18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14:paraId="3BBF3686" w14:textId="77777777" w:rsidR="005F3FCF" w:rsidRPr="006723EF" w:rsidRDefault="005F3FCF"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Balance on hand at beginning of reporting period</w:t>
          </w:r>
        </w:p>
      </w:tc>
      <w:tc>
        <w:tcPr>
          <w:tcW w:w="2160" w:type="dxa"/>
          <w:tcBorders>
            <w:top w:val="single" w:sz="4" w:space="0" w:color="auto"/>
            <w:left w:val="nil"/>
            <w:bottom w:val="single" w:sz="4" w:space="0" w:color="auto"/>
            <w:right w:val="single" w:sz="4" w:space="0" w:color="auto"/>
          </w:tcBorders>
          <w:shd w:val="clear" w:color="auto" w:fill="C6D9F1" w:themeFill="text2" w:themeFillTint="33"/>
          <w:vAlign w:val="bottom"/>
          <w:hideMark/>
        </w:tcPr>
        <w:p w14:paraId="319B8208" w14:textId="77777777" w:rsidR="005F3FCF" w:rsidRPr="006723EF" w:rsidRDefault="005F3FCF"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Amount received during reporting period</w:t>
          </w:r>
        </w:p>
      </w:tc>
      <w:tc>
        <w:tcPr>
          <w:tcW w:w="2300" w:type="dxa"/>
          <w:tcBorders>
            <w:top w:val="single" w:sz="4" w:space="0" w:color="auto"/>
            <w:left w:val="nil"/>
            <w:bottom w:val="single" w:sz="4" w:space="0" w:color="auto"/>
            <w:right w:val="single" w:sz="4" w:space="0" w:color="auto"/>
          </w:tcBorders>
          <w:shd w:val="clear" w:color="auto" w:fill="C6D9F1" w:themeFill="text2" w:themeFillTint="33"/>
          <w:vAlign w:val="bottom"/>
          <w:hideMark/>
        </w:tcPr>
        <w:p w14:paraId="35D82E18" w14:textId="77777777" w:rsidR="005F3FCF" w:rsidRPr="006723EF" w:rsidRDefault="005F3FCF"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Total amount expended during reporting period</w:t>
          </w:r>
        </w:p>
      </w:tc>
      <w:tc>
        <w:tcPr>
          <w:tcW w:w="1570" w:type="dxa"/>
          <w:tcBorders>
            <w:top w:val="single" w:sz="4" w:space="0" w:color="auto"/>
            <w:left w:val="nil"/>
            <w:bottom w:val="single" w:sz="4" w:space="0" w:color="auto"/>
            <w:right w:val="single" w:sz="4" w:space="0" w:color="auto"/>
          </w:tcBorders>
          <w:shd w:val="clear" w:color="auto" w:fill="C6D9F1" w:themeFill="text2" w:themeFillTint="33"/>
          <w:vAlign w:val="bottom"/>
          <w:hideMark/>
        </w:tcPr>
        <w:p w14:paraId="416D299B" w14:textId="77777777" w:rsidR="005F3FCF" w:rsidRPr="006723EF" w:rsidRDefault="005F3FCF"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Amount expended for TBRA</w:t>
          </w:r>
        </w:p>
      </w:tc>
      <w:tc>
        <w:tcPr>
          <w:tcW w:w="1930" w:type="dxa"/>
          <w:tcBorders>
            <w:top w:val="single" w:sz="4" w:space="0" w:color="auto"/>
            <w:left w:val="nil"/>
            <w:bottom w:val="single" w:sz="4" w:space="0" w:color="auto"/>
            <w:right w:val="single" w:sz="4" w:space="0" w:color="auto"/>
          </w:tcBorders>
          <w:shd w:val="clear" w:color="auto" w:fill="C6D9F1" w:themeFill="text2" w:themeFillTint="33"/>
          <w:vAlign w:val="bottom"/>
          <w:hideMark/>
        </w:tcPr>
        <w:p w14:paraId="13E205D0" w14:textId="77777777" w:rsidR="005F3FCF" w:rsidRPr="006723EF" w:rsidRDefault="005F3FCF"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Balance on hand at end of reporting period</w:t>
          </w:r>
        </w:p>
      </w:tc>
    </w:tr>
    <w:tr w:rsidR="005F3FCF" w:rsidRPr="006723EF" w14:paraId="6DB85F66" w14:textId="77777777" w:rsidTr="00816745">
      <w:trPr>
        <w:trHeight w:val="288"/>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3508213C" w14:textId="77777777" w:rsidR="005F3FCF" w:rsidRPr="0058335F" w:rsidRDefault="005F3FCF" w:rsidP="00816745">
          <w:pPr>
            <w:rPr>
              <w:rFonts w:ascii="Calibri" w:eastAsia="Times New Roman" w:hAnsi="Calibri"/>
              <w:color w:val="404040" w:themeColor="text1" w:themeTint="BF"/>
              <w:szCs w:val="20"/>
              <w:highlight w:val="yellow"/>
            </w:rPr>
          </w:pPr>
          <w:r w:rsidRPr="00DA7248">
            <w:rPr>
              <w:rFonts w:ascii="Calibri" w:eastAsia="Times New Roman" w:hAnsi="Calibri"/>
              <w:color w:val="404040" w:themeColor="text1" w:themeTint="BF"/>
              <w:szCs w:val="20"/>
            </w:rPr>
            <w:t xml:space="preserve"> $          0                                       </w:t>
          </w:r>
        </w:p>
      </w:tc>
      <w:tc>
        <w:tcPr>
          <w:tcW w:w="2160" w:type="dxa"/>
          <w:tcBorders>
            <w:top w:val="nil"/>
            <w:left w:val="nil"/>
            <w:bottom w:val="single" w:sz="4" w:space="0" w:color="auto"/>
            <w:right w:val="single" w:sz="4" w:space="0" w:color="auto"/>
          </w:tcBorders>
          <w:shd w:val="clear" w:color="auto" w:fill="auto"/>
          <w:noWrap/>
          <w:vAlign w:val="bottom"/>
          <w:hideMark/>
        </w:tcPr>
        <w:p w14:paraId="13EFBB9D" w14:textId="77777777" w:rsidR="005F3FCF" w:rsidRPr="0058335F" w:rsidRDefault="005F3FCF" w:rsidP="00816745">
          <w:pPr>
            <w:jc w:val="center"/>
            <w:rPr>
              <w:rFonts w:ascii="Calibri" w:eastAsia="Times New Roman" w:hAnsi="Calibri"/>
              <w:color w:val="404040" w:themeColor="text1" w:themeTint="BF"/>
              <w:szCs w:val="20"/>
              <w:highlight w:val="yellow"/>
            </w:rPr>
          </w:pPr>
          <w:r w:rsidRPr="00760262">
            <w:rPr>
              <w:rFonts w:ascii="Calibri" w:eastAsia="Times New Roman" w:hAnsi="Calibri"/>
              <w:color w:val="404040" w:themeColor="text1" w:themeTint="BF"/>
              <w:szCs w:val="20"/>
            </w:rPr>
            <w:t>$   342,000</w:t>
          </w:r>
        </w:p>
      </w:tc>
      <w:tc>
        <w:tcPr>
          <w:tcW w:w="2300" w:type="dxa"/>
          <w:tcBorders>
            <w:top w:val="nil"/>
            <w:left w:val="nil"/>
            <w:bottom w:val="single" w:sz="4" w:space="0" w:color="auto"/>
            <w:right w:val="single" w:sz="4" w:space="0" w:color="auto"/>
          </w:tcBorders>
          <w:shd w:val="clear" w:color="auto" w:fill="auto"/>
          <w:noWrap/>
          <w:vAlign w:val="bottom"/>
          <w:hideMark/>
        </w:tcPr>
        <w:p w14:paraId="6EFD2E14" w14:textId="77777777" w:rsidR="005F3FCF" w:rsidRPr="0058335F" w:rsidRDefault="005F3FCF" w:rsidP="00816745">
          <w:pPr>
            <w:jc w:val="center"/>
            <w:rPr>
              <w:rFonts w:ascii="Calibri" w:eastAsia="Times New Roman" w:hAnsi="Calibri"/>
              <w:color w:val="404040" w:themeColor="text1" w:themeTint="BF"/>
              <w:szCs w:val="20"/>
            </w:rPr>
          </w:pPr>
          <w:r w:rsidRPr="0058335F">
            <w:rPr>
              <w:rFonts w:ascii="Calibri" w:eastAsia="Times New Roman" w:hAnsi="Calibri"/>
              <w:color w:val="404040" w:themeColor="text1" w:themeTint="BF"/>
              <w:szCs w:val="20"/>
            </w:rPr>
            <w:t xml:space="preserve">$   </w:t>
          </w:r>
          <w:r>
            <w:rPr>
              <w:rFonts w:ascii="Calibri" w:eastAsia="Times New Roman" w:hAnsi="Calibri"/>
              <w:color w:val="404040" w:themeColor="text1" w:themeTint="BF"/>
              <w:szCs w:val="20"/>
            </w:rPr>
            <w:t>342,000</w:t>
          </w:r>
        </w:p>
      </w:tc>
      <w:tc>
        <w:tcPr>
          <w:tcW w:w="1570" w:type="dxa"/>
          <w:tcBorders>
            <w:top w:val="nil"/>
            <w:left w:val="nil"/>
            <w:bottom w:val="single" w:sz="4" w:space="0" w:color="auto"/>
            <w:right w:val="single" w:sz="4" w:space="0" w:color="auto"/>
          </w:tcBorders>
          <w:shd w:val="clear" w:color="auto" w:fill="auto"/>
          <w:noWrap/>
          <w:vAlign w:val="bottom"/>
          <w:hideMark/>
        </w:tcPr>
        <w:p w14:paraId="01DDB060" w14:textId="77777777" w:rsidR="005F3FCF" w:rsidRPr="0058335F" w:rsidRDefault="005F3FCF" w:rsidP="00816745">
          <w:pPr>
            <w:jc w:val="center"/>
            <w:rPr>
              <w:rFonts w:ascii="Calibri" w:eastAsia="Times New Roman" w:hAnsi="Calibri"/>
              <w:color w:val="404040" w:themeColor="text1" w:themeTint="BF"/>
              <w:szCs w:val="20"/>
              <w:highlight w:val="yellow"/>
            </w:rPr>
          </w:pPr>
          <w:r w:rsidRPr="0058335F">
            <w:rPr>
              <w:rFonts w:ascii="Calibri" w:eastAsia="Times New Roman" w:hAnsi="Calibri"/>
              <w:color w:val="404040" w:themeColor="text1" w:themeTint="BF"/>
              <w:szCs w:val="20"/>
            </w:rPr>
            <w:t>$</w:t>
          </w:r>
          <w:r>
            <w:rPr>
              <w:rFonts w:ascii="Calibri" w:eastAsia="Times New Roman" w:hAnsi="Calibri"/>
              <w:color w:val="404040" w:themeColor="text1" w:themeTint="BF"/>
              <w:szCs w:val="20"/>
            </w:rPr>
            <w:t xml:space="preserve">   </w:t>
          </w:r>
          <w:r w:rsidRPr="0058335F">
            <w:rPr>
              <w:rFonts w:ascii="Calibri" w:eastAsia="Times New Roman" w:hAnsi="Calibri"/>
              <w:color w:val="404040" w:themeColor="text1" w:themeTint="BF"/>
              <w:szCs w:val="20"/>
            </w:rPr>
            <w:t>270,000</w:t>
          </w:r>
        </w:p>
      </w:tc>
      <w:tc>
        <w:tcPr>
          <w:tcW w:w="1930" w:type="dxa"/>
          <w:tcBorders>
            <w:top w:val="nil"/>
            <w:left w:val="nil"/>
            <w:bottom w:val="single" w:sz="4" w:space="0" w:color="auto"/>
            <w:right w:val="single" w:sz="4" w:space="0" w:color="auto"/>
          </w:tcBorders>
          <w:shd w:val="clear" w:color="auto" w:fill="auto"/>
          <w:noWrap/>
          <w:vAlign w:val="bottom"/>
          <w:hideMark/>
        </w:tcPr>
        <w:p w14:paraId="30C41723" w14:textId="77777777" w:rsidR="005F3FCF" w:rsidRPr="0058335F" w:rsidRDefault="005F3FCF" w:rsidP="00816745">
          <w:pPr>
            <w:jc w:val="center"/>
            <w:rPr>
              <w:rFonts w:ascii="Calibri" w:eastAsia="Times New Roman" w:hAnsi="Calibri"/>
              <w:color w:val="404040" w:themeColor="text1" w:themeTint="BF"/>
              <w:szCs w:val="20"/>
              <w:highlight w:val="yellow"/>
            </w:rPr>
          </w:pPr>
          <w:r w:rsidRPr="00760262">
            <w:rPr>
              <w:rFonts w:ascii="Calibri" w:eastAsia="Times New Roman" w:hAnsi="Calibri"/>
              <w:color w:val="404040" w:themeColor="text1" w:themeTint="BF"/>
              <w:szCs w:val="20"/>
            </w:rPr>
            <w:t>$  0</w:t>
          </w:r>
        </w:p>
      </w:tc>
    </w:tr>
  </w:tbl>
  <w:p w14:paraId="5530BA0C" w14:textId="77777777" w:rsidR="005F3FCF" w:rsidRPr="006723EF" w:rsidRDefault="005F3FCF" w:rsidP="00B10F1E">
    <w:pPr>
      <w:spacing w:line="276" w:lineRule="auto"/>
      <w:ind w:right="360"/>
      <w:rPr>
        <w:rFonts w:asciiTheme="minorHAnsi" w:hAnsiTheme="minorHAnsi" w:cstheme="minorHAnsi"/>
        <w:b/>
        <w:color w:val="404040" w:themeColor="text1" w:themeTint="BF"/>
        <w:szCs w:val="20"/>
      </w:rPr>
    </w:pPr>
  </w:p>
  <w:p w14:paraId="495E5113" w14:textId="77777777" w:rsidR="005F3FCF" w:rsidRPr="006723EF" w:rsidRDefault="005F3FCF" w:rsidP="00B10F1E">
    <w:pPr>
      <w:spacing w:line="276" w:lineRule="auto"/>
      <w:ind w:right="360"/>
      <w:rPr>
        <w:rFonts w:asciiTheme="minorHAnsi" w:hAnsiTheme="minorHAnsi" w:cstheme="minorHAnsi"/>
        <w:b/>
        <w:color w:val="404040" w:themeColor="text1" w:themeTint="BF"/>
        <w:szCs w:val="20"/>
      </w:rPr>
    </w:pPr>
  </w:p>
  <w:p w14:paraId="42592343" w14:textId="77777777" w:rsidR="005F3FCF" w:rsidRDefault="005F3FCF" w:rsidP="00B10F1E">
    <w:pPr>
      <w:spacing w:line="360" w:lineRule="auto"/>
      <w:ind w:right="360"/>
      <w:rPr>
        <w:rFonts w:asciiTheme="minorHAnsi" w:hAnsiTheme="minorHAnsi" w:cstheme="minorHAnsi"/>
        <w:color w:val="404040" w:themeColor="text1" w:themeTint="BF"/>
        <w:szCs w:val="20"/>
      </w:rPr>
    </w:pPr>
    <w:r>
      <w:rPr>
        <w:rFonts w:asciiTheme="minorHAnsi" w:hAnsiTheme="minorHAnsi" w:cstheme="minorHAnsi"/>
        <w:color w:val="404040" w:themeColor="text1" w:themeTint="BF"/>
        <w:szCs w:val="20"/>
      </w:rPr>
      <w:t xml:space="preserve">Salt Lake City generated </w:t>
    </w:r>
    <w:r w:rsidRPr="00DA7248">
      <w:rPr>
        <w:rFonts w:asciiTheme="minorHAnsi" w:hAnsiTheme="minorHAnsi" w:cstheme="minorHAnsi"/>
        <w:color w:val="404040" w:themeColor="text1" w:themeTint="BF"/>
        <w:szCs w:val="20"/>
      </w:rPr>
      <w:t>$3</w:t>
    </w:r>
    <w:r>
      <w:rPr>
        <w:rFonts w:asciiTheme="minorHAnsi" w:hAnsiTheme="minorHAnsi" w:cstheme="minorHAnsi"/>
        <w:color w:val="404040" w:themeColor="text1" w:themeTint="BF"/>
        <w:szCs w:val="20"/>
      </w:rPr>
      <w:t xml:space="preserve">42,000 in HOME program income during the year, and expended a total of </w:t>
    </w:r>
    <w:r w:rsidRPr="00DA7248">
      <w:rPr>
        <w:rFonts w:asciiTheme="minorHAnsi" w:hAnsiTheme="minorHAnsi" w:cstheme="minorHAnsi"/>
        <w:color w:val="404040" w:themeColor="text1" w:themeTint="BF"/>
        <w:szCs w:val="20"/>
      </w:rPr>
      <w:t>$</w:t>
    </w:r>
    <w:r>
      <w:rPr>
        <w:rFonts w:asciiTheme="minorHAnsi" w:hAnsiTheme="minorHAnsi" w:cstheme="minorHAnsi"/>
        <w:color w:val="404040" w:themeColor="text1" w:themeTint="BF"/>
        <w:szCs w:val="20"/>
      </w:rPr>
      <w:t>342,000 leaving a balance of $0.</w:t>
    </w:r>
  </w:p>
  <w:p w14:paraId="70AAA79D" w14:textId="77777777" w:rsidR="005F3FCF" w:rsidRPr="00BD266E" w:rsidRDefault="005F3FCF" w:rsidP="00B10F1E">
    <w:pPr>
      <w:spacing w:line="276" w:lineRule="auto"/>
      <w:ind w:right="360"/>
      <w:rPr>
        <w:rFonts w:asciiTheme="minorHAnsi" w:hAnsiTheme="minorHAnsi" w:cstheme="minorHAnsi"/>
        <w:b/>
        <w:color w:val="F79646" w:themeColor="accent6"/>
        <w:szCs w:val="20"/>
      </w:rPr>
    </w:pPr>
  </w:p>
  <w:p w14:paraId="5DED2FEA" w14:textId="77777777" w:rsidR="005F3FCF" w:rsidRPr="006723EF" w:rsidRDefault="005F3FCF" w:rsidP="00B10F1E">
    <w:pPr>
      <w:spacing w:line="276" w:lineRule="auto"/>
      <w:ind w:right="360"/>
      <w:rPr>
        <w:rFonts w:asciiTheme="minorHAnsi" w:hAnsiTheme="minorHAnsi" w:cstheme="minorHAnsi"/>
        <w:b/>
        <w:color w:val="404040" w:themeColor="text1" w:themeTint="BF"/>
        <w:szCs w:val="20"/>
      </w:rPr>
    </w:pPr>
    <w:r w:rsidRPr="006723EF">
      <w:rPr>
        <w:rFonts w:asciiTheme="minorHAnsi" w:hAnsiTheme="minorHAnsi" w:cstheme="minorHAnsi"/>
        <w:b/>
        <w:color w:val="404040" w:themeColor="text1" w:themeTint="BF"/>
        <w:szCs w:val="20"/>
      </w:rPr>
      <w:t xml:space="preserve">Table 8 - Minority Business and Women Business Enterprises </w:t>
    </w:r>
  </w:p>
  <w:tbl>
    <w:tblPr>
      <w:tblW w:w="7944" w:type="dxa"/>
      <w:tblLook w:val="04A0" w:firstRow="1" w:lastRow="0" w:firstColumn="1" w:lastColumn="0" w:noHBand="0" w:noVBand="1"/>
    </w:tblPr>
    <w:tblGrid>
      <w:gridCol w:w="1700"/>
      <w:gridCol w:w="1000"/>
      <w:gridCol w:w="1244"/>
      <w:gridCol w:w="1000"/>
      <w:gridCol w:w="1000"/>
      <w:gridCol w:w="1000"/>
      <w:gridCol w:w="1000"/>
    </w:tblGrid>
    <w:tr w:rsidR="005F3FCF" w:rsidRPr="006723EF" w14:paraId="3D78FD29" w14:textId="77777777" w:rsidTr="00816745">
      <w:trPr>
        <w:cantSplit/>
        <w:trHeight w:val="294"/>
      </w:trPr>
      <w:tc>
        <w:tcPr>
          <w:tcW w:w="170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14:paraId="6F5403D7" w14:textId="77777777" w:rsidR="005F3FCF" w:rsidRPr="006723EF" w:rsidRDefault="005F3FCF" w:rsidP="00816745">
          <w:pPr>
            <w:rPr>
              <w:rFonts w:asciiTheme="minorHAnsi" w:eastAsia="Times New Roman" w:hAnsiTheme="minorHAnsi"/>
              <w:b/>
              <w:bCs/>
              <w:color w:val="404040" w:themeColor="text1" w:themeTint="BF"/>
              <w:szCs w:val="20"/>
            </w:rPr>
          </w:pPr>
          <w:r w:rsidRPr="006723EF">
            <w:rPr>
              <w:rFonts w:asciiTheme="minorHAnsi" w:eastAsia="Times New Roman" w:hAnsiTheme="minorHAnsi"/>
              <w:b/>
              <w:bCs/>
              <w:color w:val="404040" w:themeColor="text1" w:themeTint="BF"/>
              <w:szCs w:val="20"/>
            </w:rPr>
            <w:t> </w:t>
          </w:r>
        </w:p>
      </w:tc>
      <w:tc>
        <w:tcPr>
          <w:tcW w:w="100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14:paraId="05243529" w14:textId="77777777" w:rsidR="005F3FCF" w:rsidRPr="006723EF" w:rsidRDefault="005F3FCF" w:rsidP="00816745">
          <w:pPr>
            <w:jc w:val="center"/>
            <w:rPr>
              <w:rFonts w:asciiTheme="minorHAnsi" w:eastAsia="Times New Roman" w:hAnsiTheme="minorHAnsi"/>
              <w:b/>
              <w:bCs/>
              <w:color w:val="404040" w:themeColor="text1" w:themeTint="BF"/>
              <w:szCs w:val="20"/>
            </w:rPr>
          </w:pPr>
          <w:r w:rsidRPr="006723EF">
            <w:rPr>
              <w:rFonts w:asciiTheme="minorHAnsi" w:eastAsia="Times New Roman" w:hAnsiTheme="minorHAnsi"/>
              <w:b/>
              <w:bCs/>
              <w:color w:val="404040" w:themeColor="text1" w:themeTint="BF"/>
              <w:szCs w:val="20"/>
            </w:rPr>
            <w:t>Total</w:t>
          </w:r>
        </w:p>
      </w:tc>
      <w:tc>
        <w:tcPr>
          <w:tcW w:w="4244" w:type="dxa"/>
          <w:gridSpan w:val="4"/>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591828A8" w14:textId="77777777" w:rsidR="005F3FCF" w:rsidRPr="006723EF" w:rsidRDefault="005F3FCF" w:rsidP="00816745">
          <w:pPr>
            <w:jc w:val="center"/>
            <w:rPr>
              <w:rFonts w:asciiTheme="minorHAnsi" w:eastAsia="Times New Roman" w:hAnsiTheme="minorHAnsi"/>
              <w:b/>
              <w:bCs/>
              <w:color w:val="404040" w:themeColor="text1" w:themeTint="BF"/>
              <w:szCs w:val="20"/>
            </w:rPr>
          </w:pPr>
          <w:r w:rsidRPr="006723EF">
            <w:rPr>
              <w:rFonts w:asciiTheme="minorHAnsi" w:eastAsia="Times New Roman" w:hAnsiTheme="minorHAnsi"/>
              <w:b/>
              <w:bCs/>
              <w:color w:val="404040" w:themeColor="text1" w:themeTint="BF"/>
              <w:szCs w:val="20"/>
            </w:rPr>
            <w:t>Minority Business Enterprises</w:t>
          </w:r>
        </w:p>
      </w:tc>
      <w:tc>
        <w:tcPr>
          <w:tcW w:w="100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14:paraId="0EDC88CE" w14:textId="77777777" w:rsidR="005F3FCF" w:rsidRPr="006723EF" w:rsidRDefault="005F3FCF" w:rsidP="00816745">
          <w:pPr>
            <w:jc w:val="center"/>
            <w:rPr>
              <w:rFonts w:asciiTheme="minorHAnsi" w:eastAsia="Times New Roman" w:hAnsiTheme="minorHAnsi"/>
              <w:b/>
              <w:bCs/>
              <w:color w:val="404040" w:themeColor="text1" w:themeTint="BF"/>
              <w:szCs w:val="20"/>
            </w:rPr>
          </w:pPr>
          <w:r w:rsidRPr="006723EF">
            <w:rPr>
              <w:rFonts w:asciiTheme="minorHAnsi" w:eastAsia="Times New Roman" w:hAnsiTheme="minorHAnsi"/>
              <w:b/>
              <w:bCs/>
              <w:color w:val="404040" w:themeColor="text1" w:themeTint="BF"/>
              <w:szCs w:val="20"/>
            </w:rPr>
            <w:t>White Non-Hispanic</w:t>
          </w:r>
        </w:p>
      </w:tc>
    </w:tr>
    <w:tr w:rsidR="005F3FCF" w:rsidRPr="006723EF" w14:paraId="7DEDCD0D" w14:textId="77777777" w:rsidTr="00816745">
      <w:trPr>
        <w:trHeight w:val="1158"/>
      </w:trPr>
      <w:tc>
        <w:tcPr>
          <w:tcW w:w="1700" w:type="dxa"/>
          <w:vMerge/>
          <w:tcBorders>
            <w:top w:val="single" w:sz="8" w:space="0" w:color="auto"/>
            <w:left w:val="single" w:sz="8" w:space="0" w:color="auto"/>
            <w:bottom w:val="single" w:sz="8" w:space="0" w:color="000000"/>
            <w:right w:val="single" w:sz="8" w:space="0" w:color="auto"/>
          </w:tcBorders>
          <w:vAlign w:val="center"/>
          <w:hideMark/>
        </w:tcPr>
        <w:p w14:paraId="6594DBD1" w14:textId="77777777" w:rsidR="005F3FCF" w:rsidRPr="006723EF" w:rsidRDefault="005F3FCF" w:rsidP="00816745">
          <w:pPr>
            <w:rPr>
              <w:rFonts w:asciiTheme="minorHAnsi" w:eastAsia="Times New Roman" w:hAnsiTheme="minorHAnsi"/>
              <w:b/>
              <w:bCs/>
              <w:color w:val="404040" w:themeColor="text1" w:themeTint="BF"/>
              <w:szCs w:val="20"/>
            </w:rPr>
          </w:pPr>
        </w:p>
      </w:tc>
      <w:tc>
        <w:tcPr>
          <w:tcW w:w="1000" w:type="dxa"/>
          <w:vMerge/>
          <w:tcBorders>
            <w:top w:val="single" w:sz="8" w:space="0" w:color="auto"/>
            <w:left w:val="single" w:sz="8" w:space="0" w:color="auto"/>
            <w:bottom w:val="single" w:sz="8" w:space="0" w:color="000000"/>
            <w:right w:val="single" w:sz="8" w:space="0" w:color="auto"/>
          </w:tcBorders>
          <w:vAlign w:val="center"/>
          <w:hideMark/>
        </w:tcPr>
        <w:p w14:paraId="1AC1DD89" w14:textId="77777777" w:rsidR="005F3FCF" w:rsidRPr="006723EF" w:rsidRDefault="005F3FCF" w:rsidP="00816745">
          <w:pPr>
            <w:rPr>
              <w:rFonts w:asciiTheme="minorHAnsi" w:eastAsia="Times New Roman" w:hAnsiTheme="minorHAnsi"/>
              <w:b/>
              <w:bCs/>
              <w:color w:val="404040" w:themeColor="text1" w:themeTint="BF"/>
              <w:szCs w:val="20"/>
            </w:rPr>
          </w:pPr>
        </w:p>
      </w:tc>
      <w:tc>
        <w:tcPr>
          <w:tcW w:w="1244" w:type="dxa"/>
          <w:tcBorders>
            <w:top w:val="nil"/>
            <w:left w:val="nil"/>
            <w:bottom w:val="single" w:sz="8" w:space="0" w:color="auto"/>
            <w:right w:val="single" w:sz="8" w:space="0" w:color="auto"/>
          </w:tcBorders>
          <w:shd w:val="clear" w:color="auto" w:fill="C6D9F1" w:themeFill="text2" w:themeFillTint="33"/>
          <w:vAlign w:val="center"/>
          <w:hideMark/>
        </w:tcPr>
        <w:p w14:paraId="1A5C86DF" w14:textId="77777777" w:rsidR="005F3FCF" w:rsidRPr="006723EF" w:rsidRDefault="005F3FCF" w:rsidP="00816745">
          <w:pPr>
            <w:jc w:val="center"/>
            <w:rPr>
              <w:rFonts w:asciiTheme="minorHAnsi" w:eastAsia="Times New Roman" w:hAnsiTheme="minorHAnsi"/>
              <w:b/>
              <w:bCs/>
              <w:color w:val="404040" w:themeColor="text1" w:themeTint="BF"/>
              <w:szCs w:val="20"/>
            </w:rPr>
          </w:pPr>
          <w:r w:rsidRPr="006723EF">
            <w:rPr>
              <w:rFonts w:asciiTheme="minorHAnsi" w:eastAsia="Times New Roman" w:hAnsiTheme="minorHAnsi"/>
              <w:b/>
              <w:bCs/>
              <w:color w:val="404040" w:themeColor="text1" w:themeTint="BF"/>
              <w:szCs w:val="20"/>
            </w:rPr>
            <w:t>Alaskan Native or American Indian</w:t>
          </w:r>
        </w:p>
      </w:tc>
      <w:tc>
        <w:tcPr>
          <w:tcW w:w="1000" w:type="dxa"/>
          <w:tcBorders>
            <w:top w:val="nil"/>
            <w:left w:val="nil"/>
            <w:bottom w:val="single" w:sz="8" w:space="0" w:color="auto"/>
            <w:right w:val="single" w:sz="8" w:space="0" w:color="auto"/>
          </w:tcBorders>
          <w:shd w:val="clear" w:color="auto" w:fill="C6D9F1" w:themeFill="text2" w:themeFillTint="33"/>
          <w:vAlign w:val="center"/>
          <w:hideMark/>
        </w:tcPr>
        <w:p w14:paraId="6AAED208" w14:textId="77777777" w:rsidR="005F3FCF" w:rsidRPr="006723EF" w:rsidRDefault="005F3FCF" w:rsidP="00816745">
          <w:pPr>
            <w:jc w:val="center"/>
            <w:rPr>
              <w:rFonts w:asciiTheme="minorHAnsi" w:eastAsia="Times New Roman" w:hAnsiTheme="minorHAnsi"/>
              <w:b/>
              <w:bCs/>
              <w:color w:val="404040" w:themeColor="text1" w:themeTint="BF"/>
              <w:szCs w:val="20"/>
            </w:rPr>
          </w:pPr>
          <w:r w:rsidRPr="006723EF">
            <w:rPr>
              <w:rFonts w:asciiTheme="minorHAnsi" w:eastAsia="Times New Roman" w:hAnsiTheme="minorHAnsi"/>
              <w:b/>
              <w:bCs/>
              <w:color w:val="404040" w:themeColor="text1" w:themeTint="BF"/>
              <w:szCs w:val="20"/>
            </w:rPr>
            <w:t>Asian or Pacific Islander</w:t>
          </w:r>
        </w:p>
      </w:tc>
      <w:tc>
        <w:tcPr>
          <w:tcW w:w="1000" w:type="dxa"/>
          <w:tcBorders>
            <w:top w:val="nil"/>
            <w:left w:val="nil"/>
            <w:bottom w:val="single" w:sz="8" w:space="0" w:color="auto"/>
            <w:right w:val="single" w:sz="8" w:space="0" w:color="auto"/>
          </w:tcBorders>
          <w:shd w:val="clear" w:color="auto" w:fill="C6D9F1" w:themeFill="text2" w:themeFillTint="33"/>
          <w:vAlign w:val="center"/>
          <w:hideMark/>
        </w:tcPr>
        <w:p w14:paraId="4FBC5F83" w14:textId="77777777" w:rsidR="005F3FCF" w:rsidRPr="006723EF" w:rsidRDefault="005F3FCF" w:rsidP="00816745">
          <w:pPr>
            <w:jc w:val="center"/>
            <w:rPr>
              <w:rFonts w:asciiTheme="minorHAnsi" w:eastAsia="Times New Roman" w:hAnsiTheme="minorHAnsi"/>
              <w:b/>
              <w:bCs/>
              <w:color w:val="404040" w:themeColor="text1" w:themeTint="BF"/>
              <w:szCs w:val="20"/>
            </w:rPr>
          </w:pPr>
          <w:r w:rsidRPr="006723EF">
            <w:rPr>
              <w:rFonts w:asciiTheme="minorHAnsi" w:eastAsia="Times New Roman" w:hAnsiTheme="minorHAnsi"/>
              <w:b/>
              <w:bCs/>
              <w:color w:val="404040" w:themeColor="text1" w:themeTint="BF"/>
              <w:szCs w:val="20"/>
            </w:rPr>
            <w:t>Black Non-Hispanic</w:t>
          </w:r>
        </w:p>
      </w:tc>
      <w:tc>
        <w:tcPr>
          <w:tcW w:w="1000" w:type="dxa"/>
          <w:tcBorders>
            <w:top w:val="nil"/>
            <w:left w:val="nil"/>
            <w:bottom w:val="single" w:sz="8" w:space="0" w:color="auto"/>
            <w:right w:val="single" w:sz="8" w:space="0" w:color="auto"/>
          </w:tcBorders>
          <w:shd w:val="clear" w:color="auto" w:fill="C6D9F1" w:themeFill="text2" w:themeFillTint="33"/>
          <w:vAlign w:val="center"/>
          <w:hideMark/>
        </w:tcPr>
        <w:p w14:paraId="08A8FFEE" w14:textId="77777777" w:rsidR="005F3FCF" w:rsidRPr="006723EF" w:rsidRDefault="005F3FCF" w:rsidP="00816745">
          <w:pPr>
            <w:jc w:val="center"/>
            <w:rPr>
              <w:rFonts w:asciiTheme="minorHAnsi" w:eastAsia="Times New Roman" w:hAnsiTheme="minorHAnsi"/>
              <w:b/>
              <w:bCs/>
              <w:color w:val="404040" w:themeColor="text1" w:themeTint="BF"/>
              <w:szCs w:val="20"/>
            </w:rPr>
          </w:pPr>
          <w:r w:rsidRPr="006723EF">
            <w:rPr>
              <w:rFonts w:asciiTheme="minorHAnsi" w:eastAsia="Times New Roman" w:hAnsiTheme="minorHAnsi"/>
              <w:b/>
              <w:bCs/>
              <w:color w:val="404040" w:themeColor="text1" w:themeTint="BF"/>
              <w:szCs w:val="20"/>
            </w:rPr>
            <w:t>Hispanic</w:t>
          </w:r>
        </w:p>
      </w:tc>
      <w:tc>
        <w:tcPr>
          <w:tcW w:w="1000" w:type="dxa"/>
          <w:vMerge/>
          <w:tcBorders>
            <w:top w:val="single" w:sz="8" w:space="0" w:color="auto"/>
            <w:left w:val="single" w:sz="8" w:space="0" w:color="auto"/>
            <w:bottom w:val="single" w:sz="8" w:space="0" w:color="000000"/>
            <w:right w:val="single" w:sz="8" w:space="0" w:color="auto"/>
          </w:tcBorders>
          <w:vAlign w:val="center"/>
          <w:hideMark/>
        </w:tcPr>
        <w:p w14:paraId="566F110C" w14:textId="77777777" w:rsidR="005F3FCF" w:rsidRPr="006723EF" w:rsidRDefault="005F3FCF" w:rsidP="00816745">
          <w:pPr>
            <w:rPr>
              <w:rFonts w:asciiTheme="minorHAnsi" w:eastAsia="Times New Roman" w:hAnsiTheme="minorHAnsi"/>
              <w:b/>
              <w:bCs/>
              <w:color w:val="404040" w:themeColor="text1" w:themeTint="BF"/>
              <w:szCs w:val="20"/>
            </w:rPr>
          </w:pPr>
        </w:p>
      </w:tc>
    </w:tr>
    <w:tr w:rsidR="005F3FCF" w:rsidRPr="006723EF" w14:paraId="09FB1BE3" w14:textId="77777777" w:rsidTr="00816745">
      <w:trPr>
        <w:cantSplit/>
        <w:trHeight w:val="294"/>
      </w:trPr>
      <w:tc>
        <w:tcPr>
          <w:tcW w:w="7944"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26E067CE" w14:textId="77777777" w:rsidR="005F3FCF" w:rsidRPr="006723EF" w:rsidRDefault="005F3FCF" w:rsidP="00816745">
          <w:pPr>
            <w:jc w:val="center"/>
            <w:rPr>
              <w:rFonts w:asciiTheme="minorHAnsi" w:eastAsia="Times New Roman" w:hAnsiTheme="minorHAnsi"/>
              <w:b/>
              <w:bCs/>
              <w:color w:val="404040" w:themeColor="text1" w:themeTint="BF"/>
              <w:szCs w:val="20"/>
            </w:rPr>
          </w:pPr>
          <w:r w:rsidRPr="006723EF">
            <w:rPr>
              <w:rFonts w:asciiTheme="minorHAnsi" w:eastAsia="Times New Roman" w:hAnsiTheme="minorHAnsi"/>
              <w:b/>
              <w:bCs/>
              <w:color w:val="404040" w:themeColor="text1" w:themeTint="BF"/>
              <w:szCs w:val="20"/>
            </w:rPr>
            <w:t>Contracts</w:t>
          </w:r>
        </w:p>
      </w:tc>
    </w:tr>
    <w:tr w:rsidR="005F3FCF" w:rsidRPr="006723EF" w14:paraId="059E88C9" w14:textId="77777777" w:rsidTr="00816745">
      <w:trPr>
        <w:cantSplit/>
        <w:trHeight w:val="582"/>
      </w:trPr>
      <w:tc>
        <w:tcPr>
          <w:tcW w:w="1700" w:type="dxa"/>
          <w:tcBorders>
            <w:top w:val="nil"/>
            <w:left w:val="single" w:sz="8" w:space="0" w:color="auto"/>
            <w:bottom w:val="single" w:sz="8" w:space="0" w:color="auto"/>
            <w:right w:val="single" w:sz="8" w:space="0" w:color="auto"/>
          </w:tcBorders>
          <w:shd w:val="clear" w:color="auto" w:fill="auto"/>
          <w:vAlign w:val="center"/>
          <w:hideMark/>
        </w:tcPr>
        <w:p w14:paraId="016982F9" w14:textId="77777777" w:rsidR="005F3FCF" w:rsidRPr="006723EF" w:rsidRDefault="005F3FCF" w:rsidP="00816745">
          <w:pP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Dollar Amount</w:t>
          </w:r>
        </w:p>
      </w:tc>
      <w:tc>
        <w:tcPr>
          <w:tcW w:w="1000" w:type="dxa"/>
          <w:tcBorders>
            <w:top w:val="nil"/>
            <w:left w:val="nil"/>
            <w:bottom w:val="single" w:sz="8" w:space="0" w:color="auto"/>
            <w:right w:val="single" w:sz="8" w:space="0" w:color="auto"/>
          </w:tcBorders>
          <w:shd w:val="clear" w:color="auto" w:fill="auto"/>
          <w:vAlign w:val="center"/>
          <w:hideMark/>
        </w:tcPr>
        <w:p w14:paraId="47D24414"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244" w:type="dxa"/>
          <w:tcBorders>
            <w:top w:val="nil"/>
            <w:left w:val="nil"/>
            <w:bottom w:val="single" w:sz="8" w:space="0" w:color="auto"/>
            <w:right w:val="single" w:sz="8" w:space="0" w:color="auto"/>
          </w:tcBorders>
          <w:shd w:val="clear" w:color="auto" w:fill="auto"/>
          <w:vAlign w:val="center"/>
          <w:hideMark/>
        </w:tcPr>
        <w:p w14:paraId="688A80E4"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247F9707"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4DD1A61C"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7EDE4D58"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314A2C9E"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r>
    <w:tr w:rsidR="005F3FCF" w:rsidRPr="006723EF" w14:paraId="438632D4" w14:textId="77777777" w:rsidTr="00816745">
      <w:trPr>
        <w:cantSplit/>
        <w:trHeight w:val="294"/>
      </w:trPr>
      <w:tc>
        <w:tcPr>
          <w:tcW w:w="1700" w:type="dxa"/>
          <w:tcBorders>
            <w:top w:val="nil"/>
            <w:left w:val="single" w:sz="8" w:space="0" w:color="auto"/>
            <w:bottom w:val="single" w:sz="8" w:space="0" w:color="auto"/>
            <w:right w:val="single" w:sz="8" w:space="0" w:color="auto"/>
          </w:tcBorders>
          <w:shd w:val="clear" w:color="auto" w:fill="auto"/>
          <w:vAlign w:val="center"/>
          <w:hideMark/>
        </w:tcPr>
        <w:p w14:paraId="2DF24343" w14:textId="77777777" w:rsidR="005F3FCF" w:rsidRPr="006723EF" w:rsidRDefault="005F3FCF" w:rsidP="00816745">
          <w:pP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Number</w:t>
          </w:r>
        </w:p>
      </w:tc>
      <w:tc>
        <w:tcPr>
          <w:tcW w:w="1000" w:type="dxa"/>
          <w:tcBorders>
            <w:top w:val="nil"/>
            <w:left w:val="nil"/>
            <w:bottom w:val="single" w:sz="8" w:space="0" w:color="auto"/>
            <w:right w:val="single" w:sz="8" w:space="0" w:color="auto"/>
          </w:tcBorders>
          <w:shd w:val="clear" w:color="auto" w:fill="auto"/>
          <w:vAlign w:val="center"/>
          <w:hideMark/>
        </w:tcPr>
        <w:p w14:paraId="420B3CAD"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244" w:type="dxa"/>
          <w:tcBorders>
            <w:top w:val="nil"/>
            <w:left w:val="nil"/>
            <w:bottom w:val="single" w:sz="8" w:space="0" w:color="auto"/>
            <w:right w:val="single" w:sz="8" w:space="0" w:color="auto"/>
          </w:tcBorders>
          <w:shd w:val="clear" w:color="auto" w:fill="auto"/>
          <w:vAlign w:val="center"/>
          <w:hideMark/>
        </w:tcPr>
        <w:p w14:paraId="4423A2CC"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26293FCE"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1781978F"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619FF4A1"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5078C0B8"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r>
    <w:tr w:rsidR="005F3FCF" w:rsidRPr="006723EF" w14:paraId="2FFAD0A5" w14:textId="77777777" w:rsidTr="00816745">
      <w:trPr>
        <w:trHeight w:val="318"/>
      </w:trPr>
      <w:tc>
        <w:tcPr>
          <w:tcW w:w="1700" w:type="dxa"/>
          <w:tcBorders>
            <w:top w:val="nil"/>
            <w:left w:val="nil"/>
            <w:bottom w:val="nil"/>
            <w:right w:val="nil"/>
          </w:tcBorders>
          <w:shd w:val="clear" w:color="auto" w:fill="auto"/>
          <w:noWrap/>
          <w:vAlign w:val="center"/>
          <w:hideMark/>
        </w:tcPr>
        <w:p w14:paraId="0E58BCA5" w14:textId="77777777" w:rsidR="005F3FCF" w:rsidRPr="006723EF" w:rsidRDefault="005F3FCF" w:rsidP="00816745">
          <w:pPr>
            <w:jc w:val="right"/>
            <w:rPr>
              <w:rFonts w:asciiTheme="minorHAnsi" w:eastAsia="Times New Roman" w:hAnsiTheme="minorHAnsi"/>
              <w:color w:val="404040" w:themeColor="text1" w:themeTint="BF"/>
              <w:szCs w:val="20"/>
            </w:rPr>
          </w:pPr>
        </w:p>
      </w:tc>
      <w:tc>
        <w:tcPr>
          <w:tcW w:w="1000" w:type="dxa"/>
          <w:tcBorders>
            <w:top w:val="nil"/>
            <w:left w:val="nil"/>
            <w:bottom w:val="nil"/>
            <w:right w:val="nil"/>
          </w:tcBorders>
          <w:shd w:val="clear" w:color="auto" w:fill="auto"/>
          <w:noWrap/>
          <w:vAlign w:val="bottom"/>
          <w:hideMark/>
        </w:tcPr>
        <w:p w14:paraId="7D49C04F" w14:textId="77777777" w:rsidR="005F3FCF" w:rsidRPr="006723EF" w:rsidRDefault="005F3FCF" w:rsidP="00816745">
          <w:pPr>
            <w:rPr>
              <w:rFonts w:asciiTheme="minorHAnsi" w:eastAsia="Times New Roman" w:hAnsiTheme="minorHAnsi"/>
              <w:color w:val="404040" w:themeColor="text1" w:themeTint="BF"/>
              <w:szCs w:val="20"/>
            </w:rPr>
          </w:pPr>
        </w:p>
      </w:tc>
      <w:tc>
        <w:tcPr>
          <w:tcW w:w="1244" w:type="dxa"/>
          <w:tcBorders>
            <w:top w:val="nil"/>
            <w:left w:val="nil"/>
            <w:bottom w:val="nil"/>
            <w:right w:val="nil"/>
          </w:tcBorders>
          <w:shd w:val="clear" w:color="auto" w:fill="auto"/>
          <w:noWrap/>
          <w:vAlign w:val="bottom"/>
          <w:hideMark/>
        </w:tcPr>
        <w:p w14:paraId="116383A6" w14:textId="77777777" w:rsidR="005F3FCF" w:rsidRPr="006723EF" w:rsidRDefault="005F3FCF" w:rsidP="00816745">
          <w:pPr>
            <w:rPr>
              <w:rFonts w:asciiTheme="minorHAnsi" w:eastAsia="Times New Roman" w:hAnsiTheme="minorHAnsi"/>
              <w:color w:val="404040" w:themeColor="text1" w:themeTint="BF"/>
              <w:szCs w:val="20"/>
            </w:rPr>
          </w:pPr>
        </w:p>
      </w:tc>
      <w:tc>
        <w:tcPr>
          <w:tcW w:w="1000" w:type="dxa"/>
          <w:tcBorders>
            <w:top w:val="nil"/>
            <w:left w:val="nil"/>
            <w:bottom w:val="nil"/>
            <w:right w:val="nil"/>
          </w:tcBorders>
          <w:shd w:val="clear" w:color="auto" w:fill="auto"/>
          <w:noWrap/>
          <w:vAlign w:val="bottom"/>
          <w:hideMark/>
        </w:tcPr>
        <w:p w14:paraId="31BE2EFA" w14:textId="77777777" w:rsidR="005F3FCF" w:rsidRPr="006723EF" w:rsidRDefault="005F3FCF" w:rsidP="00816745">
          <w:pPr>
            <w:rPr>
              <w:rFonts w:asciiTheme="minorHAnsi" w:eastAsia="Times New Roman" w:hAnsiTheme="minorHAnsi"/>
              <w:color w:val="404040" w:themeColor="text1" w:themeTint="BF"/>
              <w:szCs w:val="20"/>
            </w:rPr>
          </w:pPr>
        </w:p>
      </w:tc>
      <w:tc>
        <w:tcPr>
          <w:tcW w:w="1000" w:type="dxa"/>
          <w:tcBorders>
            <w:top w:val="nil"/>
            <w:left w:val="nil"/>
            <w:bottom w:val="nil"/>
            <w:right w:val="nil"/>
          </w:tcBorders>
          <w:shd w:val="clear" w:color="auto" w:fill="auto"/>
          <w:noWrap/>
          <w:vAlign w:val="bottom"/>
          <w:hideMark/>
        </w:tcPr>
        <w:p w14:paraId="681D0515" w14:textId="77777777" w:rsidR="005F3FCF" w:rsidRPr="006723EF" w:rsidRDefault="005F3FCF" w:rsidP="00816745">
          <w:pPr>
            <w:rPr>
              <w:rFonts w:asciiTheme="minorHAnsi" w:eastAsia="Times New Roman" w:hAnsiTheme="minorHAnsi"/>
              <w:color w:val="404040" w:themeColor="text1" w:themeTint="BF"/>
              <w:szCs w:val="20"/>
            </w:rPr>
          </w:pPr>
        </w:p>
      </w:tc>
      <w:tc>
        <w:tcPr>
          <w:tcW w:w="1000" w:type="dxa"/>
          <w:tcBorders>
            <w:top w:val="nil"/>
            <w:left w:val="nil"/>
            <w:bottom w:val="nil"/>
            <w:right w:val="nil"/>
          </w:tcBorders>
          <w:shd w:val="clear" w:color="auto" w:fill="auto"/>
          <w:noWrap/>
          <w:vAlign w:val="bottom"/>
          <w:hideMark/>
        </w:tcPr>
        <w:p w14:paraId="3C58F5C8" w14:textId="77777777" w:rsidR="005F3FCF" w:rsidRPr="006723EF" w:rsidRDefault="005F3FCF" w:rsidP="00816745">
          <w:pPr>
            <w:rPr>
              <w:rFonts w:asciiTheme="minorHAnsi" w:eastAsia="Times New Roman" w:hAnsiTheme="minorHAnsi"/>
              <w:color w:val="404040" w:themeColor="text1" w:themeTint="BF"/>
              <w:szCs w:val="20"/>
            </w:rPr>
          </w:pPr>
        </w:p>
      </w:tc>
      <w:tc>
        <w:tcPr>
          <w:tcW w:w="1000" w:type="dxa"/>
          <w:tcBorders>
            <w:top w:val="nil"/>
            <w:left w:val="nil"/>
            <w:bottom w:val="nil"/>
            <w:right w:val="nil"/>
          </w:tcBorders>
          <w:shd w:val="clear" w:color="auto" w:fill="auto"/>
          <w:noWrap/>
          <w:vAlign w:val="bottom"/>
          <w:hideMark/>
        </w:tcPr>
        <w:p w14:paraId="3BD9DCDD" w14:textId="77777777" w:rsidR="005F3FCF" w:rsidRPr="006723EF" w:rsidRDefault="005F3FCF" w:rsidP="00816745">
          <w:pPr>
            <w:rPr>
              <w:rFonts w:asciiTheme="minorHAnsi" w:eastAsia="Times New Roman" w:hAnsiTheme="minorHAnsi"/>
              <w:color w:val="404040" w:themeColor="text1" w:themeTint="BF"/>
              <w:szCs w:val="20"/>
            </w:rPr>
          </w:pPr>
        </w:p>
      </w:tc>
    </w:tr>
    <w:tr w:rsidR="005F3FCF" w:rsidRPr="006723EF" w14:paraId="1099BE6E" w14:textId="77777777" w:rsidTr="00816745">
      <w:trPr>
        <w:cantSplit/>
        <w:trHeight w:val="294"/>
      </w:trPr>
      <w:tc>
        <w:tcPr>
          <w:tcW w:w="7944"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442312EC" w14:textId="77777777" w:rsidR="005F3FCF" w:rsidRPr="006723EF" w:rsidRDefault="005F3FCF" w:rsidP="00816745">
          <w:pPr>
            <w:jc w:val="center"/>
            <w:rPr>
              <w:rFonts w:asciiTheme="minorHAnsi" w:eastAsia="Times New Roman" w:hAnsiTheme="minorHAnsi"/>
              <w:b/>
              <w:bCs/>
              <w:color w:val="404040" w:themeColor="text1" w:themeTint="BF"/>
              <w:szCs w:val="20"/>
            </w:rPr>
          </w:pPr>
          <w:r w:rsidRPr="006723EF">
            <w:rPr>
              <w:rFonts w:asciiTheme="minorHAnsi" w:eastAsia="Times New Roman" w:hAnsiTheme="minorHAnsi"/>
              <w:b/>
              <w:bCs/>
              <w:color w:val="404040" w:themeColor="text1" w:themeTint="BF"/>
              <w:szCs w:val="20"/>
            </w:rPr>
            <w:t>Sub-Contracts</w:t>
          </w:r>
        </w:p>
      </w:tc>
    </w:tr>
    <w:tr w:rsidR="005F3FCF" w:rsidRPr="006723EF" w14:paraId="7C551945" w14:textId="77777777" w:rsidTr="00816745">
      <w:trPr>
        <w:cantSplit/>
        <w:trHeight w:val="294"/>
      </w:trPr>
      <w:tc>
        <w:tcPr>
          <w:tcW w:w="1700" w:type="dxa"/>
          <w:tcBorders>
            <w:top w:val="nil"/>
            <w:left w:val="single" w:sz="8" w:space="0" w:color="auto"/>
            <w:bottom w:val="single" w:sz="8" w:space="0" w:color="auto"/>
            <w:right w:val="single" w:sz="8" w:space="0" w:color="auto"/>
          </w:tcBorders>
          <w:shd w:val="clear" w:color="auto" w:fill="auto"/>
          <w:vAlign w:val="center"/>
          <w:hideMark/>
        </w:tcPr>
        <w:p w14:paraId="752B3B81" w14:textId="77777777" w:rsidR="005F3FCF" w:rsidRPr="006723EF" w:rsidRDefault="005F3FCF" w:rsidP="00816745">
          <w:pP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Number</w:t>
          </w:r>
        </w:p>
      </w:tc>
      <w:tc>
        <w:tcPr>
          <w:tcW w:w="1000" w:type="dxa"/>
          <w:tcBorders>
            <w:top w:val="nil"/>
            <w:left w:val="nil"/>
            <w:bottom w:val="single" w:sz="8" w:space="0" w:color="auto"/>
            <w:right w:val="single" w:sz="8" w:space="0" w:color="auto"/>
          </w:tcBorders>
          <w:shd w:val="clear" w:color="auto" w:fill="auto"/>
          <w:vAlign w:val="center"/>
          <w:hideMark/>
        </w:tcPr>
        <w:p w14:paraId="1696B0E3"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244" w:type="dxa"/>
          <w:tcBorders>
            <w:top w:val="nil"/>
            <w:left w:val="nil"/>
            <w:bottom w:val="single" w:sz="8" w:space="0" w:color="auto"/>
            <w:right w:val="single" w:sz="8" w:space="0" w:color="auto"/>
          </w:tcBorders>
          <w:shd w:val="clear" w:color="auto" w:fill="auto"/>
          <w:vAlign w:val="center"/>
          <w:hideMark/>
        </w:tcPr>
        <w:p w14:paraId="2E0CB308"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383D0715"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18458DEB"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3F622951"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33D7E410"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r>
    <w:tr w:rsidR="005F3FCF" w:rsidRPr="006723EF" w14:paraId="147EFB51" w14:textId="77777777" w:rsidTr="00816745">
      <w:trPr>
        <w:cantSplit/>
        <w:trHeight w:val="582"/>
      </w:trPr>
      <w:tc>
        <w:tcPr>
          <w:tcW w:w="1700" w:type="dxa"/>
          <w:tcBorders>
            <w:top w:val="nil"/>
            <w:left w:val="single" w:sz="8" w:space="0" w:color="auto"/>
            <w:bottom w:val="single" w:sz="8" w:space="0" w:color="auto"/>
            <w:right w:val="single" w:sz="8" w:space="0" w:color="auto"/>
          </w:tcBorders>
          <w:shd w:val="clear" w:color="auto" w:fill="auto"/>
          <w:vAlign w:val="center"/>
          <w:hideMark/>
        </w:tcPr>
        <w:p w14:paraId="67B755A3" w14:textId="77777777" w:rsidR="005F3FCF" w:rsidRPr="006723EF" w:rsidRDefault="005F3FCF" w:rsidP="00816745">
          <w:pP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Dollar Amount</w:t>
          </w:r>
        </w:p>
      </w:tc>
      <w:tc>
        <w:tcPr>
          <w:tcW w:w="1000" w:type="dxa"/>
          <w:tcBorders>
            <w:top w:val="nil"/>
            <w:left w:val="nil"/>
            <w:bottom w:val="single" w:sz="8" w:space="0" w:color="auto"/>
            <w:right w:val="single" w:sz="8" w:space="0" w:color="auto"/>
          </w:tcBorders>
          <w:shd w:val="clear" w:color="auto" w:fill="auto"/>
          <w:vAlign w:val="center"/>
          <w:hideMark/>
        </w:tcPr>
        <w:p w14:paraId="7F5D4BDE"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244" w:type="dxa"/>
          <w:tcBorders>
            <w:top w:val="nil"/>
            <w:left w:val="nil"/>
            <w:bottom w:val="single" w:sz="8" w:space="0" w:color="auto"/>
            <w:right w:val="single" w:sz="8" w:space="0" w:color="auto"/>
          </w:tcBorders>
          <w:shd w:val="clear" w:color="auto" w:fill="auto"/>
          <w:vAlign w:val="center"/>
          <w:hideMark/>
        </w:tcPr>
        <w:p w14:paraId="393474F1"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2C770D9B"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6E51B4CB"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4F91C682"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26793F52"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r>
    <w:tr w:rsidR="005F3FCF" w:rsidRPr="006723EF" w14:paraId="6DB33C34" w14:textId="77777777" w:rsidTr="00816745">
      <w:trPr>
        <w:trHeight w:val="318"/>
      </w:trPr>
      <w:tc>
        <w:tcPr>
          <w:tcW w:w="1700" w:type="dxa"/>
          <w:tcBorders>
            <w:top w:val="nil"/>
            <w:left w:val="nil"/>
            <w:bottom w:val="nil"/>
            <w:right w:val="nil"/>
          </w:tcBorders>
          <w:shd w:val="clear" w:color="auto" w:fill="auto"/>
          <w:noWrap/>
          <w:vAlign w:val="center"/>
          <w:hideMark/>
        </w:tcPr>
        <w:p w14:paraId="667C13B0" w14:textId="77777777" w:rsidR="005F3FCF" w:rsidRPr="006723EF" w:rsidRDefault="005F3FCF" w:rsidP="00816745">
          <w:pPr>
            <w:jc w:val="right"/>
            <w:rPr>
              <w:rFonts w:asciiTheme="minorHAnsi" w:eastAsia="Times New Roman" w:hAnsiTheme="minorHAnsi"/>
              <w:color w:val="404040" w:themeColor="text1" w:themeTint="BF"/>
              <w:szCs w:val="20"/>
            </w:rPr>
          </w:pPr>
        </w:p>
      </w:tc>
      <w:tc>
        <w:tcPr>
          <w:tcW w:w="1000" w:type="dxa"/>
          <w:tcBorders>
            <w:top w:val="nil"/>
            <w:left w:val="nil"/>
            <w:bottom w:val="nil"/>
            <w:right w:val="nil"/>
          </w:tcBorders>
          <w:shd w:val="clear" w:color="auto" w:fill="auto"/>
          <w:noWrap/>
          <w:vAlign w:val="bottom"/>
          <w:hideMark/>
        </w:tcPr>
        <w:p w14:paraId="410C28CB" w14:textId="77777777" w:rsidR="005F3FCF" w:rsidRPr="006723EF" w:rsidRDefault="005F3FCF" w:rsidP="00816745">
          <w:pPr>
            <w:rPr>
              <w:rFonts w:asciiTheme="minorHAnsi" w:eastAsia="Times New Roman" w:hAnsiTheme="minorHAnsi"/>
              <w:color w:val="404040" w:themeColor="text1" w:themeTint="BF"/>
              <w:szCs w:val="20"/>
            </w:rPr>
          </w:pPr>
        </w:p>
      </w:tc>
      <w:tc>
        <w:tcPr>
          <w:tcW w:w="1244" w:type="dxa"/>
          <w:tcBorders>
            <w:top w:val="nil"/>
            <w:left w:val="nil"/>
            <w:bottom w:val="nil"/>
            <w:right w:val="nil"/>
          </w:tcBorders>
          <w:shd w:val="clear" w:color="auto" w:fill="auto"/>
          <w:noWrap/>
          <w:vAlign w:val="bottom"/>
          <w:hideMark/>
        </w:tcPr>
        <w:p w14:paraId="0A85D621" w14:textId="77777777" w:rsidR="005F3FCF" w:rsidRPr="006723EF" w:rsidRDefault="005F3FCF" w:rsidP="00816745">
          <w:pPr>
            <w:rPr>
              <w:rFonts w:asciiTheme="minorHAnsi" w:eastAsia="Times New Roman" w:hAnsiTheme="minorHAnsi"/>
              <w:color w:val="404040" w:themeColor="text1" w:themeTint="BF"/>
              <w:szCs w:val="20"/>
            </w:rPr>
          </w:pPr>
        </w:p>
      </w:tc>
      <w:tc>
        <w:tcPr>
          <w:tcW w:w="1000" w:type="dxa"/>
          <w:tcBorders>
            <w:top w:val="nil"/>
            <w:left w:val="nil"/>
            <w:bottom w:val="nil"/>
            <w:right w:val="nil"/>
          </w:tcBorders>
          <w:shd w:val="clear" w:color="auto" w:fill="auto"/>
          <w:noWrap/>
          <w:vAlign w:val="bottom"/>
          <w:hideMark/>
        </w:tcPr>
        <w:p w14:paraId="4B74766C" w14:textId="77777777" w:rsidR="005F3FCF" w:rsidRPr="006723EF" w:rsidRDefault="005F3FCF" w:rsidP="00816745">
          <w:pPr>
            <w:rPr>
              <w:rFonts w:asciiTheme="minorHAnsi" w:eastAsia="Times New Roman" w:hAnsiTheme="minorHAnsi"/>
              <w:color w:val="404040" w:themeColor="text1" w:themeTint="BF"/>
              <w:szCs w:val="20"/>
            </w:rPr>
          </w:pPr>
        </w:p>
      </w:tc>
      <w:tc>
        <w:tcPr>
          <w:tcW w:w="1000" w:type="dxa"/>
          <w:tcBorders>
            <w:top w:val="nil"/>
            <w:left w:val="nil"/>
            <w:bottom w:val="nil"/>
            <w:right w:val="nil"/>
          </w:tcBorders>
          <w:shd w:val="clear" w:color="auto" w:fill="auto"/>
          <w:noWrap/>
          <w:vAlign w:val="bottom"/>
          <w:hideMark/>
        </w:tcPr>
        <w:p w14:paraId="4DEFDD2F" w14:textId="77777777" w:rsidR="005F3FCF" w:rsidRPr="006723EF" w:rsidRDefault="005F3FCF" w:rsidP="00816745">
          <w:pPr>
            <w:rPr>
              <w:rFonts w:asciiTheme="minorHAnsi" w:eastAsia="Times New Roman" w:hAnsiTheme="minorHAnsi"/>
              <w:color w:val="404040" w:themeColor="text1" w:themeTint="BF"/>
              <w:szCs w:val="20"/>
            </w:rPr>
          </w:pPr>
        </w:p>
      </w:tc>
      <w:tc>
        <w:tcPr>
          <w:tcW w:w="1000" w:type="dxa"/>
          <w:tcBorders>
            <w:top w:val="nil"/>
            <w:left w:val="nil"/>
            <w:bottom w:val="nil"/>
            <w:right w:val="nil"/>
          </w:tcBorders>
          <w:shd w:val="clear" w:color="auto" w:fill="auto"/>
          <w:noWrap/>
          <w:vAlign w:val="bottom"/>
          <w:hideMark/>
        </w:tcPr>
        <w:p w14:paraId="060526A6" w14:textId="77777777" w:rsidR="005F3FCF" w:rsidRPr="006723EF" w:rsidRDefault="005F3FCF" w:rsidP="00816745">
          <w:pPr>
            <w:rPr>
              <w:rFonts w:asciiTheme="minorHAnsi" w:eastAsia="Times New Roman" w:hAnsiTheme="minorHAnsi"/>
              <w:color w:val="404040" w:themeColor="text1" w:themeTint="BF"/>
              <w:szCs w:val="20"/>
            </w:rPr>
          </w:pPr>
        </w:p>
      </w:tc>
      <w:tc>
        <w:tcPr>
          <w:tcW w:w="1000" w:type="dxa"/>
          <w:tcBorders>
            <w:top w:val="nil"/>
            <w:left w:val="nil"/>
            <w:bottom w:val="nil"/>
            <w:right w:val="nil"/>
          </w:tcBorders>
          <w:shd w:val="clear" w:color="auto" w:fill="auto"/>
          <w:noWrap/>
          <w:vAlign w:val="bottom"/>
          <w:hideMark/>
        </w:tcPr>
        <w:p w14:paraId="0EA8683A" w14:textId="77777777" w:rsidR="005F3FCF" w:rsidRPr="006723EF" w:rsidRDefault="005F3FCF" w:rsidP="00816745">
          <w:pPr>
            <w:rPr>
              <w:rFonts w:asciiTheme="minorHAnsi" w:eastAsia="Times New Roman" w:hAnsiTheme="minorHAnsi"/>
              <w:color w:val="404040" w:themeColor="text1" w:themeTint="BF"/>
              <w:szCs w:val="20"/>
            </w:rPr>
          </w:pPr>
        </w:p>
      </w:tc>
    </w:tr>
    <w:tr w:rsidR="005F3FCF" w:rsidRPr="006723EF" w14:paraId="72E3F256" w14:textId="77777777" w:rsidTr="00816745">
      <w:trPr>
        <w:gridAfter w:val="3"/>
        <w:wAfter w:w="3000" w:type="dxa"/>
        <w:cantSplit/>
        <w:trHeight w:val="870"/>
      </w:trPr>
      <w:tc>
        <w:tcPr>
          <w:tcW w:w="170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10198D81" w14:textId="77777777" w:rsidR="005F3FCF" w:rsidRPr="006723EF" w:rsidRDefault="005F3FCF" w:rsidP="00816745">
          <w:pPr>
            <w:rPr>
              <w:rFonts w:asciiTheme="minorHAnsi" w:eastAsia="Times New Roman" w:hAnsiTheme="minorHAnsi"/>
              <w:b/>
              <w:bCs/>
              <w:color w:val="404040" w:themeColor="text1" w:themeTint="BF"/>
              <w:szCs w:val="20"/>
            </w:rPr>
          </w:pPr>
          <w:r w:rsidRPr="006723EF">
            <w:rPr>
              <w:rFonts w:asciiTheme="minorHAnsi" w:eastAsia="Times New Roman" w:hAnsiTheme="minorHAnsi"/>
              <w:b/>
              <w:bCs/>
              <w:color w:val="404040" w:themeColor="text1" w:themeTint="BF"/>
              <w:szCs w:val="20"/>
            </w:rPr>
            <w:t> </w:t>
          </w:r>
        </w:p>
      </w:tc>
      <w:tc>
        <w:tcPr>
          <w:tcW w:w="10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3F565605" w14:textId="77777777" w:rsidR="005F3FCF" w:rsidRPr="006723EF" w:rsidRDefault="005F3FCF" w:rsidP="00816745">
          <w:pPr>
            <w:jc w:val="center"/>
            <w:rPr>
              <w:rFonts w:asciiTheme="minorHAnsi" w:eastAsia="Times New Roman" w:hAnsiTheme="minorHAnsi"/>
              <w:b/>
              <w:bCs/>
              <w:color w:val="404040" w:themeColor="text1" w:themeTint="BF"/>
              <w:szCs w:val="20"/>
            </w:rPr>
          </w:pPr>
          <w:r w:rsidRPr="006723EF">
            <w:rPr>
              <w:rFonts w:asciiTheme="minorHAnsi" w:eastAsia="Times New Roman" w:hAnsiTheme="minorHAnsi"/>
              <w:b/>
              <w:bCs/>
              <w:color w:val="404040" w:themeColor="text1" w:themeTint="BF"/>
              <w:szCs w:val="20"/>
            </w:rPr>
            <w:t>Total</w:t>
          </w:r>
        </w:p>
      </w:tc>
      <w:tc>
        <w:tcPr>
          <w:tcW w:w="124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E2ED495" w14:textId="77777777" w:rsidR="005F3FCF" w:rsidRPr="006723EF" w:rsidRDefault="005F3FCF" w:rsidP="00816745">
          <w:pPr>
            <w:jc w:val="center"/>
            <w:rPr>
              <w:rFonts w:asciiTheme="minorHAnsi" w:eastAsia="Times New Roman" w:hAnsiTheme="minorHAnsi"/>
              <w:b/>
              <w:bCs/>
              <w:color w:val="404040" w:themeColor="text1" w:themeTint="BF"/>
              <w:szCs w:val="20"/>
            </w:rPr>
          </w:pPr>
          <w:r w:rsidRPr="006723EF">
            <w:rPr>
              <w:rFonts w:asciiTheme="minorHAnsi" w:eastAsia="Times New Roman" w:hAnsiTheme="minorHAnsi"/>
              <w:b/>
              <w:bCs/>
              <w:color w:val="404040" w:themeColor="text1" w:themeTint="BF"/>
              <w:szCs w:val="20"/>
            </w:rPr>
            <w:t>Women Business Enterprises</w:t>
          </w:r>
        </w:p>
      </w:tc>
      <w:tc>
        <w:tcPr>
          <w:tcW w:w="10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159E3F02" w14:textId="77777777" w:rsidR="005F3FCF" w:rsidRPr="006723EF" w:rsidRDefault="005F3FCF" w:rsidP="00816745">
          <w:pPr>
            <w:jc w:val="center"/>
            <w:rPr>
              <w:rFonts w:asciiTheme="minorHAnsi" w:eastAsia="Times New Roman" w:hAnsiTheme="minorHAnsi"/>
              <w:b/>
              <w:bCs/>
              <w:color w:val="404040" w:themeColor="text1" w:themeTint="BF"/>
              <w:szCs w:val="20"/>
            </w:rPr>
          </w:pPr>
          <w:r w:rsidRPr="006723EF">
            <w:rPr>
              <w:rFonts w:asciiTheme="minorHAnsi" w:eastAsia="Times New Roman" w:hAnsiTheme="minorHAnsi"/>
              <w:b/>
              <w:bCs/>
              <w:color w:val="404040" w:themeColor="text1" w:themeTint="BF"/>
              <w:szCs w:val="20"/>
            </w:rPr>
            <w:t>Male</w:t>
          </w:r>
        </w:p>
      </w:tc>
    </w:tr>
    <w:tr w:rsidR="005F3FCF" w:rsidRPr="006723EF" w14:paraId="54DAE29D" w14:textId="77777777" w:rsidTr="00816745">
      <w:trPr>
        <w:gridAfter w:val="3"/>
        <w:wAfter w:w="3000" w:type="dxa"/>
        <w:cantSplit/>
        <w:trHeight w:val="294"/>
      </w:trPr>
      <w:tc>
        <w:tcPr>
          <w:tcW w:w="494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DD4B971" w14:textId="77777777" w:rsidR="005F3FCF" w:rsidRPr="006723EF" w:rsidRDefault="005F3FCF" w:rsidP="00816745">
          <w:pPr>
            <w:jc w:val="center"/>
            <w:rPr>
              <w:rFonts w:asciiTheme="minorHAnsi" w:eastAsia="Times New Roman" w:hAnsiTheme="minorHAnsi"/>
              <w:b/>
              <w:bCs/>
              <w:color w:val="404040" w:themeColor="text1" w:themeTint="BF"/>
              <w:szCs w:val="20"/>
            </w:rPr>
          </w:pPr>
          <w:r w:rsidRPr="006723EF">
            <w:rPr>
              <w:rFonts w:asciiTheme="minorHAnsi" w:eastAsia="Times New Roman" w:hAnsiTheme="minorHAnsi"/>
              <w:b/>
              <w:bCs/>
              <w:color w:val="404040" w:themeColor="text1" w:themeTint="BF"/>
              <w:szCs w:val="20"/>
            </w:rPr>
            <w:t>Contracts</w:t>
          </w:r>
        </w:p>
      </w:tc>
    </w:tr>
    <w:tr w:rsidR="005F3FCF" w:rsidRPr="006723EF" w14:paraId="3063B908" w14:textId="77777777" w:rsidTr="00816745">
      <w:trPr>
        <w:gridAfter w:val="3"/>
        <w:wAfter w:w="3000" w:type="dxa"/>
        <w:cantSplit/>
        <w:trHeight w:val="582"/>
      </w:trPr>
      <w:tc>
        <w:tcPr>
          <w:tcW w:w="1700" w:type="dxa"/>
          <w:tcBorders>
            <w:top w:val="nil"/>
            <w:left w:val="single" w:sz="8" w:space="0" w:color="auto"/>
            <w:bottom w:val="single" w:sz="8" w:space="0" w:color="auto"/>
            <w:right w:val="single" w:sz="8" w:space="0" w:color="auto"/>
          </w:tcBorders>
          <w:shd w:val="clear" w:color="auto" w:fill="auto"/>
          <w:vAlign w:val="center"/>
          <w:hideMark/>
        </w:tcPr>
        <w:p w14:paraId="6C349492" w14:textId="77777777" w:rsidR="005F3FCF" w:rsidRPr="006723EF" w:rsidRDefault="005F3FCF" w:rsidP="00816745">
          <w:pP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Dollar Amount</w:t>
          </w:r>
        </w:p>
      </w:tc>
      <w:tc>
        <w:tcPr>
          <w:tcW w:w="1000" w:type="dxa"/>
          <w:tcBorders>
            <w:top w:val="nil"/>
            <w:left w:val="nil"/>
            <w:bottom w:val="single" w:sz="8" w:space="0" w:color="auto"/>
            <w:right w:val="single" w:sz="8" w:space="0" w:color="auto"/>
          </w:tcBorders>
          <w:shd w:val="clear" w:color="auto" w:fill="auto"/>
          <w:vAlign w:val="center"/>
          <w:hideMark/>
        </w:tcPr>
        <w:p w14:paraId="3834A8B0"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244" w:type="dxa"/>
          <w:tcBorders>
            <w:top w:val="nil"/>
            <w:left w:val="nil"/>
            <w:bottom w:val="single" w:sz="8" w:space="0" w:color="auto"/>
            <w:right w:val="single" w:sz="8" w:space="0" w:color="auto"/>
          </w:tcBorders>
          <w:shd w:val="clear" w:color="auto" w:fill="auto"/>
          <w:vAlign w:val="center"/>
          <w:hideMark/>
        </w:tcPr>
        <w:p w14:paraId="57384752"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2514F766"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r>
    <w:tr w:rsidR="005F3FCF" w:rsidRPr="006723EF" w14:paraId="412861EE" w14:textId="77777777" w:rsidTr="00816745">
      <w:trPr>
        <w:gridAfter w:val="3"/>
        <w:wAfter w:w="3000" w:type="dxa"/>
        <w:cantSplit/>
        <w:trHeight w:val="294"/>
      </w:trPr>
      <w:tc>
        <w:tcPr>
          <w:tcW w:w="1700" w:type="dxa"/>
          <w:tcBorders>
            <w:top w:val="nil"/>
            <w:left w:val="single" w:sz="8" w:space="0" w:color="auto"/>
            <w:bottom w:val="single" w:sz="8" w:space="0" w:color="auto"/>
            <w:right w:val="single" w:sz="8" w:space="0" w:color="auto"/>
          </w:tcBorders>
          <w:shd w:val="clear" w:color="auto" w:fill="auto"/>
          <w:vAlign w:val="center"/>
          <w:hideMark/>
        </w:tcPr>
        <w:p w14:paraId="7CBE2B7D" w14:textId="77777777" w:rsidR="005F3FCF" w:rsidRPr="006723EF" w:rsidRDefault="005F3FCF" w:rsidP="00816745">
          <w:pP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Number</w:t>
          </w:r>
        </w:p>
      </w:tc>
      <w:tc>
        <w:tcPr>
          <w:tcW w:w="1000" w:type="dxa"/>
          <w:tcBorders>
            <w:top w:val="nil"/>
            <w:left w:val="nil"/>
            <w:bottom w:val="single" w:sz="8" w:space="0" w:color="auto"/>
            <w:right w:val="single" w:sz="8" w:space="0" w:color="auto"/>
          </w:tcBorders>
          <w:shd w:val="clear" w:color="auto" w:fill="auto"/>
          <w:vAlign w:val="center"/>
          <w:hideMark/>
        </w:tcPr>
        <w:p w14:paraId="26975478"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244" w:type="dxa"/>
          <w:tcBorders>
            <w:top w:val="nil"/>
            <w:left w:val="nil"/>
            <w:bottom w:val="single" w:sz="8" w:space="0" w:color="auto"/>
            <w:right w:val="single" w:sz="8" w:space="0" w:color="auto"/>
          </w:tcBorders>
          <w:shd w:val="clear" w:color="auto" w:fill="auto"/>
          <w:vAlign w:val="center"/>
          <w:hideMark/>
        </w:tcPr>
        <w:p w14:paraId="16905564"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3A288FFB"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r>
    <w:tr w:rsidR="005F3FCF" w:rsidRPr="006723EF" w14:paraId="68924ABD" w14:textId="77777777" w:rsidTr="00816745">
      <w:trPr>
        <w:gridAfter w:val="3"/>
        <w:wAfter w:w="3000" w:type="dxa"/>
        <w:trHeight w:val="318"/>
      </w:trPr>
      <w:tc>
        <w:tcPr>
          <w:tcW w:w="1700" w:type="dxa"/>
          <w:tcBorders>
            <w:top w:val="nil"/>
            <w:left w:val="nil"/>
            <w:bottom w:val="nil"/>
            <w:right w:val="nil"/>
          </w:tcBorders>
          <w:shd w:val="clear" w:color="auto" w:fill="auto"/>
          <w:noWrap/>
          <w:vAlign w:val="center"/>
          <w:hideMark/>
        </w:tcPr>
        <w:p w14:paraId="4541C7D2" w14:textId="77777777" w:rsidR="005F3FCF" w:rsidRPr="006723EF" w:rsidRDefault="005F3FCF" w:rsidP="00816745">
          <w:pPr>
            <w:rPr>
              <w:rFonts w:asciiTheme="minorHAnsi" w:eastAsia="Times New Roman" w:hAnsiTheme="minorHAnsi"/>
              <w:color w:val="404040" w:themeColor="text1" w:themeTint="BF"/>
              <w:szCs w:val="20"/>
            </w:rPr>
          </w:pPr>
        </w:p>
      </w:tc>
      <w:tc>
        <w:tcPr>
          <w:tcW w:w="1000" w:type="dxa"/>
          <w:tcBorders>
            <w:top w:val="nil"/>
            <w:left w:val="nil"/>
            <w:bottom w:val="nil"/>
            <w:right w:val="nil"/>
          </w:tcBorders>
          <w:shd w:val="clear" w:color="auto" w:fill="auto"/>
          <w:noWrap/>
          <w:vAlign w:val="bottom"/>
          <w:hideMark/>
        </w:tcPr>
        <w:p w14:paraId="079B8D66" w14:textId="77777777" w:rsidR="005F3FCF" w:rsidRPr="006723EF" w:rsidRDefault="005F3FCF" w:rsidP="00816745">
          <w:pPr>
            <w:rPr>
              <w:rFonts w:asciiTheme="minorHAnsi" w:eastAsia="Times New Roman" w:hAnsiTheme="minorHAnsi"/>
              <w:color w:val="404040" w:themeColor="text1" w:themeTint="BF"/>
              <w:szCs w:val="20"/>
            </w:rPr>
          </w:pPr>
        </w:p>
      </w:tc>
      <w:tc>
        <w:tcPr>
          <w:tcW w:w="1244" w:type="dxa"/>
          <w:tcBorders>
            <w:top w:val="nil"/>
            <w:left w:val="nil"/>
            <w:bottom w:val="nil"/>
            <w:right w:val="nil"/>
          </w:tcBorders>
          <w:shd w:val="clear" w:color="auto" w:fill="auto"/>
          <w:noWrap/>
          <w:vAlign w:val="bottom"/>
          <w:hideMark/>
        </w:tcPr>
        <w:p w14:paraId="758C27D1" w14:textId="77777777" w:rsidR="005F3FCF" w:rsidRPr="006723EF" w:rsidRDefault="005F3FCF" w:rsidP="00816745">
          <w:pPr>
            <w:rPr>
              <w:rFonts w:asciiTheme="minorHAnsi" w:eastAsia="Times New Roman" w:hAnsiTheme="minorHAnsi"/>
              <w:color w:val="404040" w:themeColor="text1" w:themeTint="BF"/>
              <w:szCs w:val="20"/>
            </w:rPr>
          </w:pPr>
        </w:p>
      </w:tc>
      <w:tc>
        <w:tcPr>
          <w:tcW w:w="1000" w:type="dxa"/>
          <w:tcBorders>
            <w:top w:val="nil"/>
            <w:left w:val="nil"/>
            <w:bottom w:val="nil"/>
            <w:right w:val="nil"/>
          </w:tcBorders>
          <w:shd w:val="clear" w:color="auto" w:fill="auto"/>
          <w:noWrap/>
          <w:vAlign w:val="bottom"/>
          <w:hideMark/>
        </w:tcPr>
        <w:p w14:paraId="1CE06BBF" w14:textId="77777777" w:rsidR="005F3FCF" w:rsidRPr="006723EF" w:rsidRDefault="005F3FCF" w:rsidP="00816745">
          <w:pPr>
            <w:rPr>
              <w:rFonts w:asciiTheme="minorHAnsi" w:eastAsia="Times New Roman" w:hAnsiTheme="minorHAnsi"/>
              <w:color w:val="404040" w:themeColor="text1" w:themeTint="BF"/>
              <w:szCs w:val="20"/>
            </w:rPr>
          </w:pPr>
        </w:p>
      </w:tc>
    </w:tr>
    <w:tr w:rsidR="005F3FCF" w:rsidRPr="006723EF" w14:paraId="67A23017" w14:textId="77777777" w:rsidTr="00816745">
      <w:trPr>
        <w:gridAfter w:val="3"/>
        <w:wAfter w:w="3000" w:type="dxa"/>
        <w:cantSplit/>
        <w:trHeight w:val="294"/>
      </w:trPr>
      <w:tc>
        <w:tcPr>
          <w:tcW w:w="494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F4A1205" w14:textId="77777777" w:rsidR="005F3FCF" w:rsidRPr="006723EF" w:rsidRDefault="005F3FCF" w:rsidP="00816745">
          <w:pPr>
            <w:jc w:val="center"/>
            <w:rPr>
              <w:rFonts w:asciiTheme="minorHAnsi" w:eastAsia="Times New Roman" w:hAnsiTheme="minorHAnsi"/>
              <w:b/>
              <w:bCs/>
              <w:color w:val="404040" w:themeColor="text1" w:themeTint="BF"/>
              <w:szCs w:val="20"/>
            </w:rPr>
          </w:pPr>
          <w:r w:rsidRPr="006723EF">
            <w:rPr>
              <w:rFonts w:asciiTheme="minorHAnsi" w:eastAsia="Times New Roman" w:hAnsiTheme="minorHAnsi"/>
              <w:b/>
              <w:bCs/>
              <w:color w:val="404040" w:themeColor="text1" w:themeTint="BF"/>
              <w:szCs w:val="20"/>
            </w:rPr>
            <w:t>Sub-Contracts</w:t>
          </w:r>
        </w:p>
      </w:tc>
    </w:tr>
    <w:tr w:rsidR="005F3FCF" w:rsidRPr="006723EF" w14:paraId="3725BA15" w14:textId="77777777" w:rsidTr="00816745">
      <w:trPr>
        <w:gridAfter w:val="3"/>
        <w:wAfter w:w="3000" w:type="dxa"/>
        <w:cantSplit/>
        <w:trHeight w:val="294"/>
      </w:trPr>
      <w:tc>
        <w:tcPr>
          <w:tcW w:w="1700" w:type="dxa"/>
          <w:tcBorders>
            <w:top w:val="nil"/>
            <w:left w:val="single" w:sz="8" w:space="0" w:color="auto"/>
            <w:bottom w:val="single" w:sz="8" w:space="0" w:color="auto"/>
            <w:right w:val="single" w:sz="8" w:space="0" w:color="auto"/>
          </w:tcBorders>
          <w:shd w:val="clear" w:color="auto" w:fill="auto"/>
          <w:vAlign w:val="center"/>
          <w:hideMark/>
        </w:tcPr>
        <w:p w14:paraId="541BE03C" w14:textId="77777777" w:rsidR="005F3FCF" w:rsidRPr="006723EF" w:rsidRDefault="005F3FCF" w:rsidP="00816745">
          <w:pP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Number</w:t>
          </w:r>
        </w:p>
      </w:tc>
      <w:tc>
        <w:tcPr>
          <w:tcW w:w="1000" w:type="dxa"/>
          <w:tcBorders>
            <w:top w:val="nil"/>
            <w:left w:val="nil"/>
            <w:bottom w:val="single" w:sz="8" w:space="0" w:color="auto"/>
            <w:right w:val="single" w:sz="8" w:space="0" w:color="auto"/>
          </w:tcBorders>
          <w:shd w:val="clear" w:color="auto" w:fill="auto"/>
          <w:vAlign w:val="center"/>
          <w:hideMark/>
        </w:tcPr>
        <w:p w14:paraId="4C763DA1"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244" w:type="dxa"/>
          <w:tcBorders>
            <w:top w:val="nil"/>
            <w:left w:val="nil"/>
            <w:bottom w:val="single" w:sz="8" w:space="0" w:color="auto"/>
            <w:right w:val="single" w:sz="8" w:space="0" w:color="auto"/>
          </w:tcBorders>
          <w:shd w:val="clear" w:color="auto" w:fill="auto"/>
          <w:vAlign w:val="center"/>
          <w:hideMark/>
        </w:tcPr>
        <w:p w14:paraId="6F272F8A"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4D57AA1B"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r>
    <w:tr w:rsidR="005F3FCF" w:rsidRPr="006723EF" w14:paraId="3D6E5CBF" w14:textId="77777777" w:rsidTr="00816745">
      <w:trPr>
        <w:gridAfter w:val="3"/>
        <w:wAfter w:w="3000" w:type="dxa"/>
        <w:cantSplit/>
        <w:trHeight w:val="582"/>
      </w:trPr>
      <w:tc>
        <w:tcPr>
          <w:tcW w:w="1700" w:type="dxa"/>
          <w:tcBorders>
            <w:top w:val="nil"/>
            <w:left w:val="single" w:sz="8" w:space="0" w:color="auto"/>
            <w:bottom w:val="single" w:sz="8" w:space="0" w:color="auto"/>
            <w:right w:val="single" w:sz="8" w:space="0" w:color="auto"/>
          </w:tcBorders>
          <w:shd w:val="clear" w:color="auto" w:fill="auto"/>
          <w:vAlign w:val="center"/>
          <w:hideMark/>
        </w:tcPr>
        <w:p w14:paraId="3D607D2A" w14:textId="77777777" w:rsidR="005F3FCF" w:rsidRPr="006723EF" w:rsidRDefault="005F3FCF" w:rsidP="00816745">
          <w:pP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Dollar Amount</w:t>
          </w:r>
        </w:p>
      </w:tc>
      <w:tc>
        <w:tcPr>
          <w:tcW w:w="1000" w:type="dxa"/>
          <w:tcBorders>
            <w:top w:val="nil"/>
            <w:left w:val="nil"/>
            <w:bottom w:val="single" w:sz="8" w:space="0" w:color="auto"/>
            <w:right w:val="single" w:sz="8" w:space="0" w:color="auto"/>
          </w:tcBorders>
          <w:shd w:val="clear" w:color="auto" w:fill="auto"/>
          <w:vAlign w:val="center"/>
          <w:hideMark/>
        </w:tcPr>
        <w:p w14:paraId="39AE7D50"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244" w:type="dxa"/>
          <w:tcBorders>
            <w:top w:val="nil"/>
            <w:left w:val="nil"/>
            <w:bottom w:val="single" w:sz="8" w:space="0" w:color="auto"/>
            <w:right w:val="single" w:sz="8" w:space="0" w:color="auto"/>
          </w:tcBorders>
          <w:shd w:val="clear" w:color="auto" w:fill="auto"/>
          <w:vAlign w:val="center"/>
          <w:hideMark/>
        </w:tcPr>
        <w:p w14:paraId="760A43B8"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02D4EC00"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r>
  </w:tbl>
  <w:p w14:paraId="4DE8CD53" w14:textId="77777777" w:rsidR="005F3FCF" w:rsidRPr="006723EF" w:rsidRDefault="005F3FCF" w:rsidP="00B10F1E">
    <w:pPr>
      <w:spacing w:line="276" w:lineRule="auto"/>
      <w:ind w:right="360"/>
      <w:rPr>
        <w:rFonts w:asciiTheme="minorHAnsi" w:hAnsiTheme="minorHAnsi" w:cstheme="minorHAnsi"/>
        <w:b/>
        <w:color w:val="404040" w:themeColor="text1" w:themeTint="BF"/>
        <w:szCs w:val="20"/>
      </w:rPr>
    </w:pPr>
  </w:p>
  <w:p w14:paraId="7719D3FF" w14:textId="77777777" w:rsidR="005F3FCF" w:rsidRPr="006723EF" w:rsidRDefault="005F3FCF" w:rsidP="00B10F1E">
    <w:pPr>
      <w:spacing w:line="276" w:lineRule="auto"/>
      <w:ind w:right="360"/>
      <w:rPr>
        <w:rFonts w:asciiTheme="minorHAnsi" w:hAnsiTheme="minorHAnsi" w:cstheme="minorHAnsi"/>
        <w:b/>
        <w:color w:val="404040" w:themeColor="text1" w:themeTint="BF"/>
        <w:szCs w:val="20"/>
      </w:rPr>
    </w:pPr>
  </w:p>
  <w:p w14:paraId="34E6DE97" w14:textId="77777777" w:rsidR="005F3FCF" w:rsidRPr="006723EF" w:rsidRDefault="005F3FCF" w:rsidP="00B10F1E">
    <w:pPr>
      <w:spacing w:line="360" w:lineRule="auto"/>
      <w:ind w:right="360"/>
      <w:rPr>
        <w:rFonts w:asciiTheme="minorHAnsi" w:hAnsiTheme="minorHAnsi" w:cstheme="minorHAnsi"/>
        <w:color w:val="404040" w:themeColor="text1" w:themeTint="BF"/>
        <w:szCs w:val="20"/>
      </w:rPr>
    </w:pPr>
    <w:r w:rsidRPr="006723EF">
      <w:rPr>
        <w:rFonts w:asciiTheme="minorHAnsi" w:hAnsiTheme="minorHAnsi" w:cstheme="minorHAnsi"/>
        <w:color w:val="404040" w:themeColor="text1" w:themeTint="BF"/>
        <w:szCs w:val="20"/>
      </w:rPr>
      <w:t>Salt Lake City looks to support Section 3 businesses, Women Owned Business, and Minority Owned Business</w:t>
    </w:r>
    <w:r>
      <w:rPr>
        <w:rFonts w:asciiTheme="minorHAnsi" w:hAnsiTheme="minorHAnsi" w:cstheme="minorHAnsi"/>
        <w:color w:val="404040" w:themeColor="text1" w:themeTint="BF"/>
        <w:szCs w:val="20"/>
      </w:rPr>
      <w:t xml:space="preserve"> where possible. During the </w:t>
    </w:r>
    <w:r w:rsidRPr="006723EF">
      <w:rPr>
        <w:rFonts w:asciiTheme="minorHAnsi" w:hAnsiTheme="minorHAnsi" w:cstheme="minorHAnsi"/>
        <w:color w:val="404040" w:themeColor="text1" w:themeTint="BF"/>
        <w:szCs w:val="20"/>
      </w:rPr>
      <w:t>program year, the City did not complete any HOME funded projects that utilized any of these businesses. In an effort to ensure Section 3, W/MBE are aware of potential construction projects the City follows our Section 3 policies, and looks to solicit W/MBE through local media advertising.</w:t>
    </w:r>
  </w:p>
  <w:p w14:paraId="17F61190" w14:textId="77777777" w:rsidR="005F3FCF" w:rsidRPr="006723EF" w:rsidRDefault="005F3FCF" w:rsidP="00B10F1E">
    <w:pPr>
      <w:spacing w:line="276" w:lineRule="auto"/>
      <w:ind w:right="360"/>
      <w:rPr>
        <w:rFonts w:asciiTheme="minorHAnsi" w:hAnsiTheme="minorHAnsi" w:cstheme="minorHAnsi"/>
        <w:b/>
        <w:color w:val="404040" w:themeColor="text1" w:themeTint="BF"/>
        <w:szCs w:val="20"/>
      </w:rPr>
    </w:pPr>
  </w:p>
  <w:p w14:paraId="560C7875" w14:textId="77777777" w:rsidR="005F3FCF" w:rsidRPr="006723EF" w:rsidRDefault="005F3FCF" w:rsidP="00B10F1E">
    <w:pPr>
      <w:spacing w:line="276" w:lineRule="auto"/>
      <w:ind w:right="360"/>
      <w:rPr>
        <w:rFonts w:asciiTheme="minorHAnsi" w:hAnsiTheme="minorHAnsi" w:cstheme="minorHAnsi"/>
        <w:b/>
        <w:color w:val="404040" w:themeColor="text1" w:themeTint="BF"/>
        <w:szCs w:val="20"/>
      </w:rPr>
    </w:pPr>
    <w:r w:rsidRPr="006723EF">
      <w:rPr>
        <w:rFonts w:asciiTheme="minorHAnsi" w:hAnsiTheme="minorHAnsi" w:cstheme="minorHAnsi"/>
        <w:b/>
        <w:color w:val="404040" w:themeColor="text1" w:themeTint="BF"/>
        <w:szCs w:val="20"/>
      </w:rPr>
      <w:t>Table 9 – Minority Owners of Rental Properties</w:t>
    </w:r>
  </w:p>
  <w:tbl>
    <w:tblPr>
      <w:tblW w:w="7711" w:type="dxa"/>
      <w:tblLook w:val="04A0" w:firstRow="1" w:lastRow="0" w:firstColumn="1" w:lastColumn="0" w:noHBand="0" w:noVBand="1"/>
    </w:tblPr>
    <w:tblGrid>
      <w:gridCol w:w="1700"/>
      <w:gridCol w:w="937"/>
      <w:gridCol w:w="1090"/>
      <w:gridCol w:w="990"/>
      <w:gridCol w:w="998"/>
      <w:gridCol w:w="998"/>
      <w:gridCol w:w="998"/>
    </w:tblGrid>
    <w:tr w:rsidR="005F3FCF" w:rsidRPr="006723EF" w14:paraId="33873A6E" w14:textId="77777777" w:rsidTr="00816745">
      <w:trPr>
        <w:trHeight w:val="294"/>
      </w:trPr>
      <w:tc>
        <w:tcPr>
          <w:tcW w:w="170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14:paraId="377614B8" w14:textId="77777777" w:rsidR="005F3FCF" w:rsidRPr="006723EF" w:rsidRDefault="005F3FCF"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 </w:t>
          </w:r>
        </w:p>
      </w:tc>
      <w:tc>
        <w:tcPr>
          <w:tcW w:w="937"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14:paraId="4805A61E" w14:textId="77777777" w:rsidR="005F3FCF" w:rsidRPr="006723EF" w:rsidRDefault="005F3FCF"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Total</w:t>
          </w:r>
        </w:p>
      </w:tc>
      <w:tc>
        <w:tcPr>
          <w:tcW w:w="4076" w:type="dxa"/>
          <w:gridSpan w:val="4"/>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1BC2AD7C" w14:textId="77777777" w:rsidR="005F3FCF" w:rsidRPr="006723EF" w:rsidRDefault="005F3FCF"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Minority Property Owners</w:t>
          </w:r>
        </w:p>
      </w:tc>
      <w:tc>
        <w:tcPr>
          <w:tcW w:w="998"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14:paraId="168626B2" w14:textId="77777777" w:rsidR="005F3FCF" w:rsidRPr="006723EF" w:rsidRDefault="005F3FCF"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White Non-Hispanic</w:t>
          </w:r>
        </w:p>
      </w:tc>
    </w:tr>
    <w:tr w:rsidR="005F3FCF" w:rsidRPr="006723EF" w14:paraId="67045FE8" w14:textId="77777777" w:rsidTr="00816745">
      <w:trPr>
        <w:trHeight w:val="1158"/>
      </w:trPr>
      <w:tc>
        <w:tcPr>
          <w:tcW w:w="1700" w:type="dxa"/>
          <w:vMerge/>
          <w:tcBorders>
            <w:top w:val="single" w:sz="8" w:space="0" w:color="auto"/>
            <w:left w:val="single" w:sz="8" w:space="0" w:color="auto"/>
            <w:bottom w:val="single" w:sz="8" w:space="0" w:color="000000"/>
            <w:right w:val="single" w:sz="8" w:space="0" w:color="auto"/>
          </w:tcBorders>
          <w:vAlign w:val="center"/>
          <w:hideMark/>
        </w:tcPr>
        <w:p w14:paraId="65D9578A" w14:textId="77777777" w:rsidR="005F3FCF" w:rsidRPr="006723EF" w:rsidRDefault="005F3FCF" w:rsidP="00816745">
          <w:pPr>
            <w:rPr>
              <w:rFonts w:ascii="Calibri" w:eastAsia="Times New Roman" w:hAnsi="Calibri"/>
              <w:b/>
              <w:bCs/>
              <w:color w:val="404040" w:themeColor="text1" w:themeTint="BF"/>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5E003135" w14:textId="77777777" w:rsidR="005F3FCF" w:rsidRPr="006723EF" w:rsidRDefault="005F3FCF" w:rsidP="00816745">
          <w:pPr>
            <w:rPr>
              <w:rFonts w:ascii="Calibri" w:eastAsia="Times New Roman" w:hAnsi="Calibri"/>
              <w:b/>
              <w:bCs/>
              <w:color w:val="404040" w:themeColor="text1" w:themeTint="BF"/>
              <w:szCs w:val="20"/>
            </w:rPr>
          </w:pPr>
        </w:p>
      </w:tc>
      <w:tc>
        <w:tcPr>
          <w:tcW w:w="1090" w:type="dxa"/>
          <w:tcBorders>
            <w:top w:val="nil"/>
            <w:left w:val="nil"/>
            <w:bottom w:val="single" w:sz="8" w:space="0" w:color="auto"/>
            <w:right w:val="single" w:sz="8" w:space="0" w:color="auto"/>
          </w:tcBorders>
          <w:shd w:val="clear" w:color="auto" w:fill="C6D9F1" w:themeFill="text2" w:themeFillTint="33"/>
          <w:vAlign w:val="center"/>
          <w:hideMark/>
        </w:tcPr>
        <w:p w14:paraId="486CA38F" w14:textId="77777777" w:rsidR="005F3FCF" w:rsidRPr="006723EF" w:rsidRDefault="005F3FCF"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Alaskan Native or American Indian</w:t>
          </w:r>
        </w:p>
      </w:tc>
      <w:tc>
        <w:tcPr>
          <w:tcW w:w="990" w:type="dxa"/>
          <w:tcBorders>
            <w:top w:val="nil"/>
            <w:left w:val="nil"/>
            <w:bottom w:val="single" w:sz="8" w:space="0" w:color="auto"/>
            <w:right w:val="single" w:sz="8" w:space="0" w:color="auto"/>
          </w:tcBorders>
          <w:shd w:val="clear" w:color="auto" w:fill="C6D9F1" w:themeFill="text2" w:themeFillTint="33"/>
          <w:vAlign w:val="center"/>
          <w:hideMark/>
        </w:tcPr>
        <w:p w14:paraId="0ACB6E9B" w14:textId="77777777" w:rsidR="005F3FCF" w:rsidRPr="006723EF" w:rsidRDefault="005F3FCF"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Asian or Pacific Islander</w:t>
          </w:r>
        </w:p>
      </w:tc>
      <w:tc>
        <w:tcPr>
          <w:tcW w:w="998" w:type="dxa"/>
          <w:tcBorders>
            <w:top w:val="nil"/>
            <w:left w:val="nil"/>
            <w:bottom w:val="single" w:sz="8" w:space="0" w:color="auto"/>
            <w:right w:val="single" w:sz="8" w:space="0" w:color="auto"/>
          </w:tcBorders>
          <w:shd w:val="clear" w:color="auto" w:fill="C6D9F1" w:themeFill="text2" w:themeFillTint="33"/>
          <w:vAlign w:val="center"/>
          <w:hideMark/>
        </w:tcPr>
        <w:p w14:paraId="395EF8FD" w14:textId="77777777" w:rsidR="005F3FCF" w:rsidRPr="006723EF" w:rsidRDefault="005F3FCF"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Black Non-Hispanic</w:t>
          </w:r>
        </w:p>
      </w:tc>
      <w:tc>
        <w:tcPr>
          <w:tcW w:w="998" w:type="dxa"/>
          <w:tcBorders>
            <w:top w:val="nil"/>
            <w:left w:val="nil"/>
            <w:bottom w:val="single" w:sz="8" w:space="0" w:color="auto"/>
            <w:right w:val="single" w:sz="8" w:space="0" w:color="auto"/>
          </w:tcBorders>
          <w:shd w:val="clear" w:color="auto" w:fill="C6D9F1" w:themeFill="text2" w:themeFillTint="33"/>
          <w:vAlign w:val="center"/>
          <w:hideMark/>
        </w:tcPr>
        <w:p w14:paraId="0B82E318" w14:textId="77777777" w:rsidR="005F3FCF" w:rsidRPr="006723EF" w:rsidRDefault="005F3FCF"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Hispanic</w:t>
          </w:r>
        </w:p>
      </w:tc>
      <w:tc>
        <w:tcPr>
          <w:tcW w:w="998" w:type="dxa"/>
          <w:vMerge/>
          <w:tcBorders>
            <w:top w:val="single" w:sz="8" w:space="0" w:color="auto"/>
            <w:left w:val="single" w:sz="8" w:space="0" w:color="auto"/>
            <w:bottom w:val="single" w:sz="8" w:space="0" w:color="000000"/>
            <w:right w:val="single" w:sz="8" w:space="0" w:color="auto"/>
          </w:tcBorders>
          <w:vAlign w:val="center"/>
          <w:hideMark/>
        </w:tcPr>
        <w:p w14:paraId="374ED9C0" w14:textId="77777777" w:rsidR="005F3FCF" w:rsidRPr="006723EF" w:rsidRDefault="005F3FCF" w:rsidP="00816745">
          <w:pPr>
            <w:rPr>
              <w:rFonts w:ascii="Calibri" w:eastAsia="Times New Roman" w:hAnsi="Calibri"/>
              <w:b/>
              <w:bCs/>
              <w:color w:val="404040" w:themeColor="text1" w:themeTint="BF"/>
              <w:szCs w:val="20"/>
            </w:rPr>
          </w:pPr>
        </w:p>
      </w:tc>
    </w:tr>
    <w:tr w:rsidR="005F3FCF" w:rsidRPr="006723EF" w14:paraId="0ADB0F65" w14:textId="77777777" w:rsidTr="00816745">
      <w:trPr>
        <w:trHeight w:val="294"/>
      </w:trPr>
      <w:tc>
        <w:tcPr>
          <w:tcW w:w="1700" w:type="dxa"/>
          <w:tcBorders>
            <w:top w:val="nil"/>
            <w:left w:val="single" w:sz="8" w:space="0" w:color="auto"/>
            <w:bottom w:val="single" w:sz="8" w:space="0" w:color="auto"/>
            <w:right w:val="single" w:sz="8" w:space="0" w:color="auto"/>
          </w:tcBorders>
          <w:shd w:val="clear" w:color="auto" w:fill="auto"/>
          <w:vAlign w:val="center"/>
          <w:hideMark/>
        </w:tcPr>
        <w:p w14:paraId="2DE03A39" w14:textId="77777777" w:rsidR="005F3FCF" w:rsidRPr="006723EF" w:rsidRDefault="005F3FCF" w:rsidP="00816745">
          <w:pP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Number</w:t>
          </w:r>
        </w:p>
      </w:tc>
      <w:tc>
        <w:tcPr>
          <w:tcW w:w="937" w:type="dxa"/>
          <w:tcBorders>
            <w:top w:val="nil"/>
            <w:left w:val="nil"/>
            <w:bottom w:val="single" w:sz="8" w:space="0" w:color="auto"/>
            <w:right w:val="single" w:sz="8" w:space="0" w:color="auto"/>
          </w:tcBorders>
          <w:shd w:val="clear" w:color="auto" w:fill="auto"/>
          <w:vAlign w:val="center"/>
          <w:hideMark/>
        </w:tcPr>
        <w:p w14:paraId="0E26689D" w14:textId="77777777" w:rsidR="005F3FCF" w:rsidRPr="006723EF" w:rsidRDefault="005F3FCF"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1090" w:type="dxa"/>
          <w:tcBorders>
            <w:top w:val="nil"/>
            <w:left w:val="nil"/>
            <w:bottom w:val="single" w:sz="8" w:space="0" w:color="auto"/>
            <w:right w:val="single" w:sz="8" w:space="0" w:color="auto"/>
          </w:tcBorders>
          <w:shd w:val="clear" w:color="auto" w:fill="auto"/>
          <w:vAlign w:val="center"/>
          <w:hideMark/>
        </w:tcPr>
        <w:p w14:paraId="72880295" w14:textId="77777777" w:rsidR="005F3FCF" w:rsidRPr="006723EF" w:rsidRDefault="005F3FCF"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990" w:type="dxa"/>
          <w:tcBorders>
            <w:top w:val="nil"/>
            <w:left w:val="nil"/>
            <w:bottom w:val="single" w:sz="8" w:space="0" w:color="auto"/>
            <w:right w:val="single" w:sz="8" w:space="0" w:color="auto"/>
          </w:tcBorders>
          <w:shd w:val="clear" w:color="auto" w:fill="auto"/>
          <w:vAlign w:val="center"/>
          <w:hideMark/>
        </w:tcPr>
        <w:p w14:paraId="66D80D21" w14:textId="77777777" w:rsidR="005F3FCF" w:rsidRPr="006723EF" w:rsidRDefault="005F3FCF"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998" w:type="dxa"/>
          <w:tcBorders>
            <w:top w:val="nil"/>
            <w:left w:val="nil"/>
            <w:bottom w:val="single" w:sz="8" w:space="0" w:color="auto"/>
            <w:right w:val="single" w:sz="8" w:space="0" w:color="auto"/>
          </w:tcBorders>
          <w:shd w:val="clear" w:color="auto" w:fill="auto"/>
          <w:vAlign w:val="center"/>
          <w:hideMark/>
        </w:tcPr>
        <w:p w14:paraId="097CA6B3" w14:textId="77777777" w:rsidR="005F3FCF" w:rsidRPr="006723EF" w:rsidRDefault="005F3FCF"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998" w:type="dxa"/>
          <w:tcBorders>
            <w:top w:val="nil"/>
            <w:left w:val="nil"/>
            <w:bottom w:val="single" w:sz="8" w:space="0" w:color="auto"/>
            <w:right w:val="single" w:sz="8" w:space="0" w:color="auto"/>
          </w:tcBorders>
          <w:shd w:val="clear" w:color="auto" w:fill="auto"/>
          <w:vAlign w:val="center"/>
          <w:hideMark/>
        </w:tcPr>
        <w:p w14:paraId="0E13D03C" w14:textId="77777777" w:rsidR="005F3FCF" w:rsidRPr="006723EF" w:rsidRDefault="005F3FCF"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998" w:type="dxa"/>
          <w:tcBorders>
            <w:top w:val="nil"/>
            <w:left w:val="nil"/>
            <w:bottom w:val="single" w:sz="8" w:space="0" w:color="auto"/>
            <w:right w:val="single" w:sz="8" w:space="0" w:color="auto"/>
          </w:tcBorders>
          <w:shd w:val="clear" w:color="auto" w:fill="auto"/>
          <w:vAlign w:val="center"/>
          <w:hideMark/>
        </w:tcPr>
        <w:p w14:paraId="292851E9" w14:textId="77777777" w:rsidR="005F3FCF" w:rsidRPr="006723EF" w:rsidRDefault="005F3FCF"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r>
    <w:tr w:rsidR="005F3FCF" w:rsidRPr="006723EF" w14:paraId="0CEB7F4A" w14:textId="77777777" w:rsidTr="00816745">
      <w:trPr>
        <w:trHeight w:val="582"/>
      </w:trPr>
      <w:tc>
        <w:tcPr>
          <w:tcW w:w="1700" w:type="dxa"/>
          <w:tcBorders>
            <w:top w:val="nil"/>
            <w:left w:val="single" w:sz="8" w:space="0" w:color="auto"/>
            <w:bottom w:val="single" w:sz="8" w:space="0" w:color="auto"/>
            <w:right w:val="single" w:sz="8" w:space="0" w:color="auto"/>
          </w:tcBorders>
          <w:shd w:val="clear" w:color="auto" w:fill="auto"/>
          <w:vAlign w:val="center"/>
          <w:hideMark/>
        </w:tcPr>
        <w:p w14:paraId="10EA4E91" w14:textId="77777777" w:rsidR="005F3FCF" w:rsidRPr="006723EF" w:rsidRDefault="005F3FCF" w:rsidP="00816745">
          <w:pP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Dollar Amount</w:t>
          </w:r>
        </w:p>
      </w:tc>
      <w:tc>
        <w:tcPr>
          <w:tcW w:w="937" w:type="dxa"/>
          <w:tcBorders>
            <w:top w:val="nil"/>
            <w:left w:val="nil"/>
            <w:bottom w:val="single" w:sz="8" w:space="0" w:color="auto"/>
            <w:right w:val="single" w:sz="8" w:space="0" w:color="auto"/>
          </w:tcBorders>
          <w:shd w:val="clear" w:color="auto" w:fill="auto"/>
          <w:vAlign w:val="center"/>
          <w:hideMark/>
        </w:tcPr>
        <w:p w14:paraId="07D4BEFC" w14:textId="77777777" w:rsidR="005F3FCF" w:rsidRPr="006723EF" w:rsidRDefault="005F3FCF"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1090" w:type="dxa"/>
          <w:tcBorders>
            <w:top w:val="nil"/>
            <w:left w:val="nil"/>
            <w:bottom w:val="single" w:sz="8" w:space="0" w:color="auto"/>
            <w:right w:val="single" w:sz="8" w:space="0" w:color="auto"/>
          </w:tcBorders>
          <w:shd w:val="clear" w:color="auto" w:fill="auto"/>
          <w:vAlign w:val="center"/>
          <w:hideMark/>
        </w:tcPr>
        <w:p w14:paraId="07AF86C4" w14:textId="77777777" w:rsidR="005F3FCF" w:rsidRPr="006723EF" w:rsidRDefault="005F3FCF"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990" w:type="dxa"/>
          <w:tcBorders>
            <w:top w:val="nil"/>
            <w:left w:val="nil"/>
            <w:bottom w:val="single" w:sz="8" w:space="0" w:color="auto"/>
            <w:right w:val="single" w:sz="8" w:space="0" w:color="auto"/>
          </w:tcBorders>
          <w:shd w:val="clear" w:color="auto" w:fill="auto"/>
          <w:vAlign w:val="center"/>
          <w:hideMark/>
        </w:tcPr>
        <w:p w14:paraId="73D1D009" w14:textId="77777777" w:rsidR="005F3FCF" w:rsidRPr="006723EF" w:rsidRDefault="005F3FCF"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998" w:type="dxa"/>
          <w:tcBorders>
            <w:top w:val="nil"/>
            <w:left w:val="nil"/>
            <w:bottom w:val="single" w:sz="8" w:space="0" w:color="auto"/>
            <w:right w:val="single" w:sz="8" w:space="0" w:color="auto"/>
          </w:tcBorders>
          <w:shd w:val="clear" w:color="auto" w:fill="auto"/>
          <w:vAlign w:val="center"/>
          <w:hideMark/>
        </w:tcPr>
        <w:p w14:paraId="5326EA5F" w14:textId="77777777" w:rsidR="005F3FCF" w:rsidRPr="006723EF" w:rsidRDefault="005F3FCF"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998" w:type="dxa"/>
          <w:tcBorders>
            <w:top w:val="nil"/>
            <w:left w:val="nil"/>
            <w:bottom w:val="single" w:sz="8" w:space="0" w:color="auto"/>
            <w:right w:val="single" w:sz="8" w:space="0" w:color="auto"/>
          </w:tcBorders>
          <w:shd w:val="clear" w:color="auto" w:fill="auto"/>
          <w:vAlign w:val="center"/>
          <w:hideMark/>
        </w:tcPr>
        <w:p w14:paraId="16FA1728" w14:textId="77777777" w:rsidR="005F3FCF" w:rsidRPr="006723EF" w:rsidRDefault="005F3FCF"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998" w:type="dxa"/>
          <w:tcBorders>
            <w:top w:val="nil"/>
            <w:left w:val="nil"/>
            <w:bottom w:val="single" w:sz="8" w:space="0" w:color="auto"/>
            <w:right w:val="single" w:sz="8" w:space="0" w:color="auto"/>
          </w:tcBorders>
          <w:shd w:val="clear" w:color="auto" w:fill="auto"/>
          <w:vAlign w:val="center"/>
          <w:hideMark/>
        </w:tcPr>
        <w:p w14:paraId="13570870" w14:textId="77777777" w:rsidR="005F3FCF" w:rsidRPr="006723EF" w:rsidRDefault="005F3FCF"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r>
  </w:tbl>
  <w:p w14:paraId="417F021D" w14:textId="77777777" w:rsidR="005F3FCF" w:rsidRPr="006723EF" w:rsidRDefault="005F3FCF" w:rsidP="00B10F1E">
    <w:pPr>
      <w:spacing w:line="276" w:lineRule="auto"/>
      <w:ind w:right="360"/>
      <w:rPr>
        <w:rFonts w:asciiTheme="minorHAnsi" w:hAnsiTheme="minorHAnsi" w:cstheme="minorHAnsi"/>
        <w:b/>
        <w:color w:val="404040" w:themeColor="text1" w:themeTint="BF"/>
        <w:szCs w:val="20"/>
      </w:rPr>
    </w:pPr>
  </w:p>
  <w:p w14:paraId="4080F045" w14:textId="77777777" w:rsidR="005F3FCF" w:rsidRPr="006723EF" w:rsidRDefault="005F3FCF" w:rsidP="00B10F1E">
    <w:pPr>
      <w:spacing w:line="276" w:lineRule="auto"/>
      <w:ind w:right="360"/>
      <w:rPr>
        <w:rFonts w:asciiTheme="minorHAnsi" w:hAnsiTheme="minorHAnsi" w:cstheme="minorHAnsi"/>
        <w:b/>
        <w:color w:val="404040" w:themeColor="text1" w:themeTint="BF"/>
        <w:szCs w:val="20"/>
      </w:rPr>
    </w:pPr>
  </w:p>
  <w:p w14:paraId="2D8E69D3" w14:textId="77777777" w:rsidR="005F3FCF" w:rsidRPr="006723EF" w:rsidRDefault="005F3FCF" w:rsidP="00B10F1E">
    <w:pPr>
      <w:spacing w:line="276" w:lineRule="auto"/>
      <w:ind w:right="360"/>
      <w:rPr>
        <w:rFonts w:asciiTheme="minorHAnsi" w:hAnsiTheme="minorHAnsi" w:cstheme="minorHAnsi"/>
        <w:color w:val="404040" w:themeColor="text1" w:themeTint="BF"/>
        <w:szCs w:val="20"/>
      </w:rPr>
    </w:pPr>
    <w:r w:rsidRPr="006723EF">
      <w:rPr>
        <w:rFonts w:asciiTheme="minorHAnsi" w:hAnsiTheme="minorHAnsi" w:cstheme="minorHAnsi"/>
        <w:color w:val="404040" w:themeColor="text1" w:themeTint="BF"/>
        <w:szCs w:val="20"/>
      </w:rPr>
      <w:t>Salt Lake City did not use HOME funds for r</w:t>
    </w:r>
    <w:r>
      <w:rPr>
        <w:rFonts w:asciiTheme="minorHAnsi" w:hAnsiTheme="minorHAnsi" w:cstheme="minorHAnsi"/>
        <w:color w:val="404040" w:themeColor="text1" w:themeTint="BF"/>
        <w:szCs w:val="20"/>
      </w:rPr>
      <w:t>ental properties during the 2017-18</w:t>
    </w:r>
    <w:r w:rsidRPr="006723EF">
      <w:rPr>
        <w:rFonts w:asciiTheme="minorHAnsi" w:hAnsiTheme="minorHAnsi" w:cstheme="minorHAnsi"/>
        <w:color w:val="404040" w:themeColor="text1" w:themeTint="BF"/>
        <w:szCs w:val="20"/>
      </w:rPr>
      <w:t xml:space="preserve"> program year.</w:t>
    </w:r>
  </w:p>
  <w:p w14:paraId="4B7E8690" w14:textId="77777777" w:rsidR="005F3FCF" w:rsidRPr="006723EF" w:rsidRDefault="005F3FCF" w:rsidP="00B10F1E">
    <w:pPr>
      <w:spacing w:line="276" w:lineRule="auto"/>
      <w:ind w:right="360"/>
      <w:rPr>
        <w:rFonts w:asciiTheme="minorHAnsi" w:hAnsiTheme="minorHAnsi" w:cstheme="minorHAnsi"/>
        <w:b/>
        <w:color w:val="404040" w:themeColor="text1" w:themeTint="BF"/>
        <w:szCs w:val="20"/>
      </w:rPr>
    </w:pPr>
  </w:p>
  <w:p w14:paraId="4FFD2405" w14:textId="77777777" w:rsidR="005F3FCF" w:rsidRPr="006723EF" w:rsidRDefault="005F3FCF" w:rsidP="00B10F1E">
    <w:pPr>
      <w:spacing w:line="276" w:lineRule="auto"/>
      <w:ind w:right="360"/>
      <w:rPr>
        <w:rFonts w:asciiTheme="minorHAnsi" w:hAnsiTheme="minorHAnsi" w:cstheme="minorHAnsi"/>
        <w:b/>
        <w:color w:val="404040" w:themeColor="text1" w:themeTint="BF"/>
        <w:szCs w:val="20"/>
      </w:rPr>
    </w:pPr>
    <w:r w:rsidRPr="006723EF">
      <w:rPr>
        <w:rFonts w:asciiTheme="minorHAnsi" w:hAnsiTheme="minorHAnsi" w:cstheme="minorHAnsi"/>
        <w:b/>
        <w:color w:val="404040" w:themeColor="text1" w:themeTint="BF"/>
        <w:szCs w:val="20"/>
      </w:rPr>
      <w:t>Table 10 – Relocation and Real Property Acquisition</w:t>
    </w:r>
  </w:p>
  <w:tbl>
    <w:tblPr>
      <w:tblW w:w="5590" w:type="dxa"/>
      <w:tblLook w:val="04A0" w:firstRow="1" w:lastRow="0" w:firstColumn="1" w:lastColumn="0" w:noHBand="0" w:noVBand="1"/>
    </w:tblPr>
    <w:tblGrid>
      <w:gridCol w:w="3590"/>
      <w:gridCol w:w="1000"/>
      <w:gridCol w:w="1000"/>
    </w:tblGrid>
    <w:tr w:rsidR="005F3FCF" w:rsidRPr="006723EF" w14:paraId="3CA45149" w14:textId="77777777" w:rsidTr="00816745">
      <w:trPr>
        <w:cantSplit/>
        <w:trHeight w:val="294"/>
        <w:hidden/>
      </w:trPr>
      <w:tc>
        <w:tcPr>
          <w:tcW w:w="359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3D5BA843" w14:textId="77777777" w:rsidR="005F3FCF" w:rsidRPr="006723EF" w:rsidRDefault="005F3FCF" w:rsidP="00816745">
          <w:pPr>
            <w:rPr>
              <w:rFonts w:ascii="Calibri" w:eastAsia="Times New Roman" w:hAnsi="Calibri"/>
              <w:b/>
              <w:bCs/>
              <w:color w:val="404040" w:themeColor="text1" w:themeTint="BF"/>
              <w:szCs w:val="20"/>
            </w:rPr>
          </w:pPr>
          <w:r w:rsidRPr="006723EF">
            <w:rPr>
              <w:rFonts w:ascii="Calibri" w:eastAsia="Times New Roman" w:hAnsi="Calibri"/>
              <w:b/>
              <w:bCs/>
              <w:vanish/>
              <w:color w:val="404040" w:themeColor="text1" w:themeTint="BF"/>
              <w:szCs w:val="20"/>
            </w:rPr>
            <w:t> </w:t>
          </w:r>
        </w:p>
      </w:tc>
      <w:tc>
        <w:tcPr>
          <w:tcW w:w="10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052E105" w14:textId="77777777" w:rsidR="005F3FCF" w:rsidRPr="006723EF" w:rsidRDefault="005F3FCF"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Number</w:t>
          </w:r>
          <w:r w:rsidRPr="005F3FCF">
            <w:rPr>
              <w:rFonts w:ascii="Calibri" w:eastAsia="Times New Roman" w:hAnsi="Calibri"/>
              <w:b/>
              <w:bCs/>
              <w:color w:val="404040" w:themeColor="text1" w:themeTint="BF"/>
              <w:szCs w:val="20"/>
            </w:rPr>
            <w:t>Number</w:t>
          </w:r>
        </w:p>
      </w:tc>
      <w:tc>
        <w:tcPr>
          <w:tcW w:w="10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68F25A8" w14:textId="77777777" w:rsidR="005F3FCF" w:rsidRPr="006723EF" w:rsidRDefault="005F3FCF" w:rsidP="00816745">
          <w:pPr>
            <w:jc w:val="center"/>
            <w:rPr>
              <w:rFonts w:ascii="Calibri" w:eastAsia="Times New Roman" w:hAnsi="Calibri"/>
              <w:b/>
              <w:bCs/>
              <w:color w:val="404040" w:themeColor="text1" w:themeTint="BF"/>
              <w:szCs w:val="20"/>
            </w:rPr>
          </w:pPr>
          <w:r w:rsidRPr="006723EF">
            <w:rPr>
              <w:rFonts w:ascii="Calibri" w:eastAsia="Times New Roman" w:hAnsi="Calibri"/>
              <w:b/>
              <w:bCs/>
              <w:vanish/>
              <w:color w:val="404040" w:themeColor="text1" w:themeTint="BF"/>
              <w:szCs w:val="20"/>
            </w:rPr>
            <w:t>CostC</w:t>
          </w:r>
          <w:r w:rsidRPr="005F3FCF">
            <w:rPr>
              <w:rFonts w:ascii="Calibri" w:eastAsia="Times New Roman" w:hAnsi="Calibri"/>
              <w:b/>
              <w:bCs/>
              <w:vanish/>
              <w:color w:val="404040" w:themeColor="text1" w:themeTint="BF"/>
              <w:szCs w:val="20"/>
            </w:rPr>
            <w:t>Cost</w:t>
          </w:r>
        </w:p>
      </w:tc>
    </w:tr>
    <w:tr w:rsidR="005F3FCF" w:rsidRPr="006723EF" w14:paraId="3D8047F2" w14:textId="77777777" w:rsidTr="00816745">
      <w:trPr>
        <w:cantSplit/>
        <w:trHeight w:val="294"/>
      </w:trPr>
      <w:tc>
        <w:tcPr>
          <w:tcW w:w="3590" w:type="dxa"/>
          <w:tcBorders>
            <w:top w:val="nil"/>
            <w:left w:val="single" w:sz="8" w:space="0" w:color="auto"/>
            <w:bottom w:val="single" w:sz="8" w:space="0" w:color="auto"/>
            <w:right w:val="single" w:sz="8" w:space="0" w:color="auto"/>
          </w:tcBorders>
          <w:shd w:val="clear" w:color="auto" w:fill="auto"/>
          <w:vAlign w:val="center"/>
          <w:hideMark/>
        </w:tcPr>
        <w:p w14:paraId="06CF28AA" w14:textId="77777777" w:rsidR="005F3FCF" w:rsidRPr="006723EF" w:rsidRDefault="005F3FCF" w:rsidP="00816745">
          <w:pP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Parcels Acquired</w:t>
          </w:r>
        </w:p>
      </w:tc>
      <w:tc>
        <w:tcPr>
          <w:tcW w:w="1000" w:type="dxa"/>
          <w:tcBorders>
            <w:top w:val="nil"/>
            <w:left w:val="nil"/>
            <w:bottom w:val="single" w:sz="8" w:space="0" w:color="auto"/>
            <w:right w:val="single" w:sz="8" w:space="0" w:color="auto"/>
          </w:tcBorders>
          <w:shd w:val="clear" w:color="auto" w:fill="auto"/>
          <w:vAlign w:val="center"/>
          <w:hideMark/>
        </w:tcPr>
        <w:p w14:paraId="5457A57F" w14:textId="77777777" w:rsidR="005F3FCF" w:rsidRPr="006723EF" w:rsidRDefault="005F3FCF"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4174EBA1" w14:textId="77777777" w:rsidR="005F3FCF" w:rsidRPr="006723EF" w:rsidRDefault="005F3FCF"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r>
    <w:tr w:rsidR="005F3FCF" w:rsidRPr="006723EF" w14:paraId="2CCDBA8B" w14:textId="77777777" w:rsidTr="00816745">
      <w:trPr>
        <w:cantSplit/>
        <w:trHeight w:val="294"/>
      </w:trPr>
      <w:tc>
        <w:tcPr>
          <w:tcW w:w="3590" w:type="dxa"/>
          <w:tcBorders>
            <w:top w:val="nil"/>
            <w:left w:val="single" w:sz="8" w:space="0" w:color="auto"/>
            <w:bottom w:val="single" w:sz="8" w:space="0" w:color="auto"/>
            <w:right w:val="single" w:sz="8" w:space="0" w:color="auto"/>
          </w:tcBorders>
          <w:shd w:val="clear" w:color="auto" w:fill="auto"/>
          <w:vAlign w:val="center"/>
          <w:hideMark/>
        </w:tcPr>
        <w:p w14:paraId="7D54DB30" w14:textId="77777777" w:rsidR="005F3FCF" w:rsidRPr="006723EF" w:rsidRDefault="005F3FCF" w:rsidP="00816745">
          <w:pP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Businesses Displaced</w:t>
          </w:r>
        </w:p>
      </w:tc>
      <w:tc>
        <w:tcPr>
          <w:tcW w:w="1000" w:type="dxa"/>
          <w:tcBorders>
            <w:top w:val="nil"/>
            <w:left w:val="nil"/>
            <w:bottom w:val="single" w:sz="8" w:space="0" w:color="auto"/>
            <w:right w:val="single" w:sz="8" w:space="0" w:color="auto"/>
          </w:tcBorders>
          <w:shd w:val="clear" w:color="auto" w:fill="auto"/>
          <w:vAlign w:val="center"/>
          <w:hideMark/>
        </w:tcPr>
        <w:p w14:paraId="3B69BD32" w14:textId="77777777" w:rsidR="005F3FCF" w:rsidRPr="006723EF" w:rsidRDefault="005F3FCF"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628BEB46" w14:textId="77777777" w:rsidR="005F3FCF" w:rsidRPr="006723EF" w:rsidRDefault="005F3FCF"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r>
    <w:tr w:rsidR="005F3FCF" w:rsidRPr="006723EF" w14:paraId="559193CE" w14:textId="77777777" w:rsidTr="00816745">
      <w:trPr>
        <w:cantSplit/>
        <w:trHeight w:val="582"/>
      </w:trPr>
      <w:tc>
        <w:tcPr>
          <w:tcW w:w="3590" w:type="dxa"/>
          <w:tcBorders>
            <w:top w:val="nil"/>
            <w:left w:val="single" w:sz="8" w:space="0" w:color="auto"/>
            <w:bottom w:val="single" w:sz="8" w:space="0" w:color="auto"/>
            <w:right w:val="single" w:sz="8" w:space="0" w:color="auto"/>
          </w:tcBorders>
          <w:shd w:val="clear" w:color="auto" w:fill="auto"/>
          <w:vAlign w:val="center"/>
          <w:hideMark/>
        </w:tcPr>
        <w:p w14:paraId="6B7A1F5D" w14:textId="77777777" w:rsidR="005F3FCF" w:rsidRPr="006723EF" w:rsidRDefault="005F3FCF" w:rsidP="00816745">
          <w:pP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Nonprofit Organizations Displaced</w:t>
          </w:r>
        </w:p>
      </w:tc>
      <w:tc>
        <w:tcPr>
          <w:tcW w:w="1000" w:type="dxa"/>
          <w:tcBorders>
            <w:top w:val="nil"/>
            <w:left w:val="nil"/>
            <w:bottom w:val="single" w:sz="8" w:space="0" w:color="auto"/>
            <w:right w:val="single" w:sz="8" w:space="0" w:color="auto"/>
          </w:tcBorders>
          <w:shd w:val="clear" w:color="auto" w:fill="auto"/>
          <w:vAlign w:val="center"/>
          <w:hideMark/>
        </w:tcPr>
        <w:p w14:paraId="47122DD1" w14:textId="77777777" w:rsidR="005F3FCF" w:rsidRPr="006723EF" w:rsidRDefault="005F3FCF"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1F748EA8" w14:textId="77777777" w:rsidR="005F3FCF" w:rsidRPr="006723EF" w:rsidRDefault="005F3FCF"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r>
    <w:tr w:rsidR="005F3FCF" w:rsidRPr="006723EF" w14:paraId="63AD4E1B" w14:textId="77777777" w:rsidTr="00816745">
      <w:trPr>
        <w:cantSplit/>
        <w:trHeight w:val="582"/>
      </w:trPr>
      <w:tc>
        <w:tcPr>
          <w:tcW w:w="3590" w:type="dxa"/>
          <w:tcBorders>
            <w:top w:val="nil"/>
            <w:left w:val="single" w:sz="8" w:space="0" w:color="auto"/>
            <w:bottom w:val="single" w:sz="8" w:space="0" w:color="auto"/>
            <w:right w:val="single" w:sz="8" w:space="0" w:color="auto"/>
          </w:tcBorders>
          <w:shd w:val="clear" w:color="auto" w:fill="auto"/>
          <w:vAlign w:val="center"/>
          <w:hideMark/>
        </w:tcPr>
        <w:p w14:paraId="4CE01855" w14:textId="77777777" w:rsidR="005F3FCF" w:rsidRPr="006723EF" w:rsidRDefault="005F3FCF" w:rsidP="00816745">
          <w:pP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Households Temporarily Relocated, not Displaced</w:t>
          </w:r>
        </w:p>
      </w:tc>
      <w:tc>
        <w:tcPr>
          <w:tcW w:w="1000" w:type="dxa"/>
          <w:tcBorders>
            <w:top w:val="nil"/>
            <w:left w:val="nil"/>
            <w:bottom w:val="single" w:sz="8" w:space="0" w:color="auto"/>
            <w:right w:val="single" w:sz="8" w:space="0" w:color="auto"/>
          </w:tcBorders>
          <w:shd w:val="clear" w:color="auto" w:fill="auto"/>
          <w:vAlign w:val="center"/>
          <w:hideMark/>
        </w:tcPr>
        <w:p w14:paraId="4C124E31" w14:textId="77777777" w:rsidR="005F3FCF" w:rsidRPr="006723EF" w:rsidRDefault="005F3FCF"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754E9B6B" w14:textId="77777777" w:rsidR="005F3FCF" w:rsidRPr="006723EF" w:rsidRDefault="005F3FCF"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r>
  </w:tbl>
  <w:p w14:paraId="0A9A53EE" w14:textId="77777777" w:rsidR="005F3FCF" w:rsidRPr="006723EF" w:rsidRDefault="005F3FCF" w:rsidP="00B10F1E">
    <w:pPr>
      <w:spacing w:line="276" w:lineRule="auto"/>
      <w:ind w:right="360"/>
      <w:rPr>
        <w:rFonts w:asciiTheme="minorHAnsi" w:hAnsiTheme="minorHAnsi" w:cstheme="minorHAnsi"/>
        <w:b/>
        <w:color w:val="FF0000"/>
        <w:szCs w:val="20"/>
      </w:rPr>
    </w:pPr>
  </w:p>
  <w:p w14:paraId="5D927713" w14:textId="77777777" w:rsidR="005F3FCF" w:rsidRPr="006723EF" w:rsidRDefault="005F3FCF" w:rsidP="00B10F1E">
    <w:pPr>
      <w:spacing w:line="276" w:lineRule="auto"/>
      <w:ind w:right="360"/>
      <w:rPr>
        <w:rFonts w:asciiTheme="minorHAnsi" w:hAnsiTheme="minorHAnsi" w:cstheme="minorHAnsi"/>
        <w:b/>
        <w:color w:val="FF0000"/>
        <w:szCs w:val="20"/>
      </w:rPr>
    </w:pPr>
  </w:p>
  <w:tbl>
    <w:tblPr>
      <w:tblW w:w="8340" w:type="dxa"/>
      <w:tblLook w:val="04A0" w:firstRow="1" w:lastRow="0" w:firstColumn="1" w:lastColumn="0" w:noHBand="0" w:noVBand="1"/>
    </w:tblPr>
    <w:tblGrid>
      <w:gridCol w:w="2332"/>
      <w:gridCol w:w="998"/>
      <w:gridCol w:w="1011"/>
      <w:gridCol w:w="999"/>
      <w:gridCol w:w="1000"/>
      <w:gridCol w:w="1000"/>
      <w:gridCol w:w="1000"/>
    </w:tblGrid>
    <w:tr w:rsidR="005F3FCF" w:rsidRPr="006723EF" w14:paraId="10DAED81" w14:textId="77777777" w:rsidTr="00816745">
      <w:trPr>
        <w:cantSplit/>
        <w:trHeight w:val="294"/>
      </w:trPr>
      <w:tc>
        <w:tcPr>
          <w:tcW w:w="234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14:paraId="56EEF4C9" w14:textId="77777777" w:rsidR="005F3FCF" w:rsidRPr="006723EF" w:rsidRDefault="005F3FCF"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Households Displaced</w:t>
          </w:r>
        </w:p>
      </w:tc>
      <w:tc>
        <w:tcPr>
          <w:tcW w:w="100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14:paraId="2831978A" w14:textId="77777777" w:rsidR="005F3FCF" w:rsidRPr="006723EF" w:rsidRDefault="005F3FCF"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Total</w:t>
          </w:r>
        </w:p>
      </w:tc>
      <w:tc>
        <w:tcPr>
          <w:tcW w:w="4000" w:type="dxa"/>
          <w:gridSpan w:val="4"/>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118F5EC7" w14:textId="77777777" w:rsidR="005F3FCF" w:rsidRPr="006723EF" w:rsidRDefault="005F3FCF"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Minority Property Enterprises</w:t>
          </w:r>
        </w:p>
      </w:tc>
      <w:tc>
        <w:tcPr>
          <w:tcW w:w="100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14:paraId="4433C35F" w14:textId="77777777" w:rsidR="005F3FCF" w:rsidRPr="006723EF" w:rsidRDefault="005F3FCF"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White Non-Hispanic</w:t>
          </w:r>
        </w:p>
      </w:tc>
    </w:tr>
    <w:tr w:rsidR="005F3FCF" w:rsidRPr="006723EF" w14:paraId="5B04A57E" w14:textId="77777777" w:rsidTr="00816745">
      <w:trPr>
        <w:trHeight w:val="1158"/>
      </w:trPr>
      <w:tc>
        <w:tcPr>
          <w:tcW w:w="2340" w:type="dxa"/>
          <w:vMerge/>
          <w:tcBorders>
            <w:top w:val="single" w:sz="8" w:space="0" w:color="auto"/>
            <w:left w:val="single" w:sz="8" w:space="0" w:color="auto"/>
            <w:bottom w:val="single" w:sz="8" w:space="0" w:color="000000"/>
            <w:right w:val="single" w:sz="8" w:space="0" w:color="auto"/>
          </w:tcBorders>
          <w:vAlign w:val="center"/>
          <w:hideMark/>
        </w:tcPr>
        <w:p w14:paraId="39D6271C" w14:textId="77777777" w:rsidR="005F3FCF" w:rsidRPr="006723EF" w:rsidRDefault="005F3FCF" w:rsidP="00816745">
          <w:pPr>
            <w:rPr>
              <w:rFonts w:ascii="Calibri" w:eastAsia="Times New Roman" w:hAnsi="Calibri"/>
              <w:b/>
              <w:bCs/>
              <w:color w:val="404040" w:themeColor="text1" w:themeTint="BF"/>
              <w:szCs w:val="20"/>
            </w:rPr>
          </w:pPr>
        </w:p>
      </w:tc>
      <w:tc>
        <w:tcPr>
          <w:tcW w:w="1000" w:type="dxa"/>
          <w:vMerge/>
          <w:tcBorders>
            <w:top w:val="single" w:sz="8" w:space="0" w:color="auto"/>
            <w:left w:val="single" w:sz="8" w:space="0" w:color="auto"/>
            <w:bottom w:val="single" w:sz="8" w:space="0" w:color="000000"/>
            <w:right w:val="single" w:sz="8" w:space="0" w:color="auto"/>
          </w:tcBorders>
          <w:vAlign w:val="center"/>
          <w:hideMark/>
        </w:tcPr>
        <w:p w14:paraId="67A72E51" w14:textId="77777777" w:rsidR="005F3FCF" w:rsidRPr="006723EF" w:rsidRDefault="005F3FCF" w:rsidP="00816745">
          <w:pPr>
            <w:rPr>
              <w:rFonts w:ascii="Calibri" w:eastAsia="Times New Roman" w:hAnsi="Calibri"/>
              <w:b/>
              <w:bCs/>
              <w:color w:val="404040" w:themeColor="text1" w:themeTint="BF"/>
              <w:szCs w:val="20"/>
            </w:rPr>
          </w:pPr>
        </w:p>
      </w:tc>
      <w:tc>
        <w:tcPr>
          <w:tcW w:w="1000" w:type="dxa"/>
          <w:tcBorders>
            <w:top w:val="nil"/>
            <w:left w:val="nil"/>
            <w:bottom w:val="single" w:sz="8" w:space="0" w:color="auto"/>
            <w:right w:val="single" w:sz="8" w:space="0" w:color="auto"/>
          </w:tcBorders>
          <w:shd w:val="clear" w:color="auto" w:fill="C6D9F1" w:themeFill="text2" w:themeFillTint="33"/>
          <w:vAlign w:val="center"/>
          <w:hideMark/>
        </w:tcPr>
        <w:p w14:paraId="13A8CEC4" w14:textId="77777777" w:rsidR="005F3FCF" w:rsidRPr="006723EF" w:rsidRDefault="005F3FCF"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Alaskan Native or American Indian</w:t>
          </w:r>
        </w:p>
      </w:tc>
      <w:tc>
        <w:tcPr>
          <w:tcW w:w="1000" w:type="dxa"/>
          <w:tcBorders>
            <w:top w:val="nil"/>
            <w:left w:val="nil"/>
            <w:bottom w:val="single" w:sz="8" w:space="0" w:color="auto"/>
            <w:right w:val="single" w:sz="8" w:space="0" w:color="auto"/>
          </w:tcBorders>
          <w:shd w:val="clear" w:color="auto" w:fill="C6D9F1" w:themeFill="text2" w:themeFillTint="33"/>
          <w:vAlign w:val="center"/>
          <w:hideMark/>
        </w:tcPr>
        <w:p w14:paraId="4E10F9E9" w14:textId="77777777" w:rsidR="005F3FCF" w:rsidRPr="006723EF" w:rsidRDefault="005F3FCF"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Asian or Pacific Islander</w:t>
          </w:r>
        </w:p>
      </w:tc>
      <w:tc>
        <w:tcPr>
          <w:tcW w:w="1000" w:type="dxa"/>
          <w:tcBorders>
            <w:top w:val="nil"/>
            <w:left w:val="nil"/>
            <w:bottom w:val="single" w:sz="8" w:space="0" w:color="auto"/>
            <w:right w:val="single" w:sz="8" w:space="0" w:color="auto"/>
          </w:tcBorders>
          <w:shd w:val="clear" w:color="auto" w:fill="C6D9F1" w:themeFill="text2" w:themeFillTint="33"/>
          <w:vAlign w:val="center"/>
          <w:hideMark/>
        </w:tcPr>
        <w:p w14:paraId="7C504F22" w14:textId="77777777" w:rsidR="005F3FCF" w:rsidRPr="006723EF" w:rsidRDefault="005F3FCF"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Black Non-Hispanic</w:t>
          </w:r>
        </w:p>
      </w:tc>
      <w:tc>
        <w:tcPr>
          <w:tcW w:w="1000" w:type="dxa"/>
          <w:tcBorders>
            <w:top w:val="nil"/>
            <w:left w:val="nil"/>
            <w:bottom w:val="single" w:sz="8" w:space="0" w:color="auto"/>
            <w:right w:val="single" w:sz="8" w:space="0" w:color="auto"/>
          </w:tcBorders>
          <w:shd w:val="clear" w:color="auto" w:fill="C6D9F1" w:themeFill="text2" w:themeFillTint="33"/>
          <w:vAlign w:val="center"/>
          <w:hideMark/>
        </w:tcPr>
        <w:p w14:paraId="2FF8D658" w14:textId="77777777" w:rsidR="005F3FCF" w:rsidRPr="006723EF" w:rsidRDefault="005F3FCF"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Hispanic</w:t>
          </w:r>
        </w:p>
      </w:tc>
      <w:tc>
        <w:tcPr>
          <w:tcW w:w="1000" w:type="dxa"/>
          <w:vMerge/>
          <w:tcBorders>
            <w:top w:val="single" w:sz="8" w:space="0" w:color="auto"/>
            <w:left w:val="single" w:sz="8" w:space="0" w:color="auto"/>
            <w:bottom w:val="single" w:sz="8" w:space="0" w:color="000000"/>
            <w:right w:val="single" w:sz="8" w:space="0" w:color="auto"/>
          </w:tcBorders>
          <w:vAlign w:val="center"/>
          <w:hideMark/>
        </w:tcPr>
        <w:p w14:paraId="7843C5B5" w14:textId="77777777" w:rsidR="005F3FCF" w:rsidRPr="006723EF" w:rsidRDefault="005F3FCF" w:rsidP="00816745">
          <w:pPr>
            <w:rPr>
              <w:rFonts w:ascii="Calibri" w:eastAsia="Times New Roman" w:hAnsi="Calibri"/>
              <w:b/>
              <w:bCs/>
              <w:color w:val="404040" w:themeColor="text1" w:themeTint="BF"/>
              <w:szCs w:val="20"/>
            </w:rPr>
          </w:pPr>
        </w:p>
      </w:tc>
    </w:tr>
    <w:tr w:rsidR="005F3FCF" w:rsidRPr="006723EF" w14:paraId="1CB5E657" w14:textId="77777777" w:rsidTr="00816745">
      <w:trPr>
        <w:cantSplit/>
        <w:trHeight w:val="294"/>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5C4DAC9C" w14:textId="77777777" w:rsidR="005F3FCF" w:rsidRPr="006723EF" w:rsidRDefault="005F3FCF" w:rsidP="00816745">
          <w:pP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Number</w:t>
          </w:r>
        </w:p>
      </w:tc>
      <w:tc>
        <w:tcPr>
          <w:tcW w:w="1000" w:type="dxa"/>
          <w:tcBorders>
            <w:top w:val="nil"/>
            <w:left w:val="nil"/>
            <w:bottom w:val="single" w:sz="8" w:space="0" w:color="auto"/>
            <w:right w:val="single" w:sz="8" w:space="0" w:color="auto"/>
          </w:tcBorders>
          <w:shd w:val="clear" w:color="auto" w:fill="auto"/>
          <w:vAlign w:val="center"/>
          <w:hideMark/>
        </w:tcPr>
        <w:p w14:paraId="2AE3D4B5" w14:textId="77777777" w:rsidR="005F3FCF" w:rsidRPr="006723EF" w:rsidRDefault="005F3FCF"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0163FD26" w14:textId="77777777" w:rsidR="005F3FCF" w:rsidRPr="006723EF" w:rsidRDefault="005F3FCF"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73F342AA" w14:textId="77777777" w:rsidR="005F3FCF" w:rsidRPr="006723EF" w:rsidRDefault="005F3FCF"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565165E0" w14:textId="77777777" w:rsidR="005F3FCF" w:rsidRPr="006723EF" w:rsidRDefault="005F3FCF"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0BBE19F8" w14:textId="77777777" w:rsidR="005F3FCF" w:rsidRPr="006723EF" w:rsidRDefault="005F3FCF"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16F6FF89" w14:textId="77777777" w:rsidR="005F3FCF" w:rsidRPr="006723EF" w:rsidRDefault="005F3FCF"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r>
    <w:tr w:rsidR="005F3FCF" w:rsidRPr="006723EF" w14:paraId="041DED7C" w14:textId="77777777" w:rsidTr="00816745">
      <w:trPr>
        <w:cantSplit/>
        <w:trHeight w:val="294"/>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09525A98" w14:textId="77777777" w:rsidR="005F3FCF" w:rsidRPr="006723EF" w:rsidRDefault="005F3FCF" w:rsidP="00816745">
          <w:pP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Cost</w:t>
          </w:r>
        </w:p>
      </w:tc>
      <w:tc>
        <w:tcPr>
          <w:tcW w:w="1000" w:type="dxa"/>
          <w:tcBorders>
            <w:top w:val="nil"/>
            <w:left w:val="nil"/>
            <w:bottom w:val="single" w:sz="8" w:space="0" w:color="auto"/>
            <w:right w:val="single" w:sz="8" w:space="0" w:color="auto"/>
          </w:tcBorders>
          <w:shd w:val="clear" w:color="auto" w:fill="auto"/>
          <w:vAlign w:val="center"/>
          <w:hideMark/>
        </w:tcPr>
        <w:p w14:paraId="376A3B88" w14:textId="77777777" w:rsidR="005F3FCF" w:rsidRPr="006723EF" w:rsidRDefault="005F3FCF"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017AA0BC" w14:textId="77777777" w:rsidR="005F3FCF" w:rsidRPr="006723EF" w:rsidRDefault="005F3FCF"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5874F4FB" w14:textId="77777777" w:rsidR="005F3FCF" w:rsidRPr="006723EF" w:rsidRDefault="005F3FCF"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19E7333A" w14:textId="77777777" w:rsidR="005F3FCF" w:rsidRPr="006723EF" w:rsidRDefault="005F3FCF"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55A5088B" w14:textId="77777777" w:rsidR="005F3FCF" w:rsidRPr="006723EF" w:rsidRDefault="005F3FCF"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3745997C" w14:textId="77777777" w:rsidR="005F3FCF" w:rsidRPr="006723EF" w:rsidRDefault="005F3FCF"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r>
  </w:tbl>
  <w:p w14:paraId="0B2C73CF" w14:textId="77777777" w:rsidR="005F3FCF" w:rsidRPr="006723EF" w:rsidRDefault="005F3FCF" w:rsidP="00B10F1E">
    <w:pPr>
      <w:spacing w:line="276" w:lineRule="auto"/>
      <w:ind w:right="360"/>
      <w:rPr>
        <w:rFonts w:asciiTheme="minorHAnsi" w:hAnsiTheme="minorHAnsi" w:cstheme="minorHAnsi"/>
        <w:b/>
        <w:color w:val="FF0000"/>
        <w:szCs w:val="20"/>
      </w:rPr>
    </w:pPr>
  </w:p>
  <w:p w14:paraId="436383CC" w14:textId="77777777" w:rsidR="005F3FCF" w:rsidRPr="006723EF" w:rsidRDefault="005F3FCF" w:rsidP="00B10F1E">
    <w:pPr>
      <w:spacing w:line="360" w:lineRule="auto"/>
      <w:ind w:right="360"/>
      <w:rPr>
        <w:rFonts w:asciiTheme="minorHAnsi" w:hAnsiTheme="minorHAnsi" w:cstheme="minorHAnsi"/>
        <w:b/>
        <w:color w:val="FF0000"/>
        <w:szCs w:val="20"/>
      </w:rPr>
    </w:pPr>
    <w:r w:rsidRPr="006723EF">
      <w:rPr>
        <w:rFonts w:asciiTheme="minorHAnsi" w:hAnsiTheme="minorHAnsi" w:cstheme="minorHAnsi"/>
        <w:color w:val="404040" w:themeColor="text1" w:themeTint="BF"/>
        <w:szCs w:val="20"/>
      </w:rPr>
      <w:t>Salt Lake City did not use HOME funds to acquire parcels, and none of the funded activities triggered relocation requirements.</w:t>
    </w:r>
  </w:p>
  <w:p w14:paraId="5BC3FA68" w14:textId="77777777" w:rsidR="005F3FCF" w:rsidRPr="006723EF" w:rsidRDefault="005F3FCF" w:rsidP="00B10F1E">
    <w:pPr>
      <w:spacing w:line="276" w:lineRule="auto"/>
      <w:ind w:right="360"/>
      <w:rPr>
        <w:rFonts w:asciiTheme="minorHAnsi" w:hAnsiTheme="minorHAnsi" w:cstheme="minorHAnsi"/>
        <w:b/>
        <w:color w:val="FF0000"/>
        <w:szCs w:val="20"/>
      </w:rPr>
    </w:pPr>
  </w:p>
  <w:p w14:paraId="086A44B2" w14:textId="77777777" w:rsidR="005F3FCF" w:rsidRPr="006723EF" w:rsidRDefault="005F3FCF" w:rsidP="00B10F1E">
    <w:pPr>
      <w:spacing w:line="276" w:lineRule="auto"/>
      <w:ind w:right="360"/>
      <w:rPr>
        <w:rFonts w:asciiTheme="minorHAnsi" w:hAnsiTheme="minorHAnsi" w:cstheme="minorHAnsi"/>
        <w:b/>
        <w:color w:val="FF0000"/>
        <w:szCs w:val="20"/>
      </w:rPr>
    </w:pPr>
  </w:p>
  <w:p w14:paraId="6FDA1D21" w14:textId="77777777" w:rsidR="005F3FCF" w:rsidRPr="00B10F1E" w:rsidRDefault="005F3FCF" w:rsidP="00B10F1E">
    <w:pPr>
      <w:spacing w:line="276" w:lineRule="auto"/>
      <w:ind w:right="360"/>
      <w:rPr>
        <w:rFonts w:asciiTheme="minorHAnsi" w:hAnsiTheme="minorHAnsi" w:cstheme="minorHAnsi"/>
        <w:b/>
        <w:color w:val="1F497D" w:themeColor="text2"/>
        <w:sz w:val="24"/>
      </w:rPr>
    </w:pPr>
    <w:r w:rsidRPr="00B10F1E">
      <w:rPr>
        <w:rFonts w:asciiTheme="minorHAnsi" w:hAnsiTheme="minorHAnsi" w:cstheme="minorHAnsi"/>
        <w:b/>
        <w:color w:val="1F497D" w:themeColor="text2"/>
        <w:sz w:val="24"/>
      </w:rPr>
      <w:t xml:space="preserve">CR-20 AFFORDABLE HOUSING– </w:t>
    </w:r>
    <w:r w:rsidRPr="00D73F6A">
      <w:rPr>
        <w:rFonts w:asciiTheme="minorHAnsi" w:hAnsiTheme="minorHAnsi" w:cstheme="minorHAnsi"/>
        <w:i/>
        <w:color w:val="1F497D" w:themeColor="text2"/>
        <w:sz w:val="18"/>
        <w:szCs w:val="18"/>
      </w:rPr>
      <w:t>91.520(b)</w:t>
    </w:r>
  </w:p>
  <w:p w14:paraId="1D9C6B3C" w14:textId="77777777" w:rsidR="005F3FCF" w:rsidRPr="00BF2DE4" w:rsidRDefault="005F3FCF" w:rsidP="00B10F1E">
    <w:pPr>
      <w:spacing w:line="276" w:lineRule="auto"/>
      <w:ind w:right="360"/>
      <w:rPr>
        <w:rFonts w:ascii="Calibri" w:hAnsi="Calibri" w:cs="Calibri"/>
        <w:i/>
        <w:color w:val="1F497D"/>
        <w:sz w:val="18"/>
        <w:szCs w:val="18"/>
      </w:rPr>
    </w:pPr>
  </w:p>
  <w:p w14:paraId="14CA942C" w14:textId="77777777" w:rsidR="005F3FCF" w:rsidRPr="00BF2DE4" w:rsidRDefault="005F3FCF" w:rsidP="00B10F1E">
    <w:pPr>
      <w:spacing w:line="276" w:lineRule="auto"/>
      <w:ind w:right="360"/>
      <w:rPr>
        <w:rFonts w:ascii="Calibri" w:hAnsi="Calibri" w:cs="Calibri"/>
        <w:b/>
        <w:color w:val="404040"/>
        <w:szCs w:val="20"/>
      </w:rPr>
    </w:pPr>
    <w:r w:rsidRPr="00BF2DE4">
      <w:rPr>
        <w:rFonts w:ascii="Calibri" w:hAnsi="Calibri" w:cs="Calibri"/>
        <w:b/>
        <w:color w:val="404040"/>
        <w:szCs w:val="20"/>
      </w:rPr>
      <w:t xml:space="preserve">Evaluation of Salt Lake City’s progress in providing affordable housing, including the number and types of families served, the number of extremely low-income, low-income, moderate income and middle income persons served. </w:t>
    </w:r>
  </w:p>
  <w:p w14:paraId="3AA31861" w14:textId="77777777" w:rsidR="005F3FCF" w:rsidRPr="00BF2DE4" w:rsidRDefault="005F3FCF" w:rsidP="00B10F1E">
    <w:pPr>
      <w:spacing w:line="276" w:lineRule="auto"/>
      <w:ind w:right="360"/>
      <w:rPr>
        <w:rFonts w:ascii="Calibri" w:hAnsi="Calibri" w:cs="Calibri"/>
        <w:b/>
        <w:color w:val="404040"/>
        <w:szCs w:val="20"/>
      </w:rPr>
    </w:pPr>
  </w:p>
  <w:p w14:paraId="1DEB0427" w14:textId="77777777" w:rsidR="005F3FCF" w:rsidRPr="00BF2DE4" w:rsidRDefault="005F3FCF" w:rsidP="00B10F1E">
    <w:pPr>
      <w:spacing w:line="276" w:lineRule="auto"/>
      <w:ind w:right="360"/>
      <w:rPr>
        <w:rFonts w:ascii="Calibri" w:hAnsi="Calibri" w:cs="Calibri"/>
        <w:b/>
        <w:color w:val="404040"/>
        <w:szCs w:val="20"/>
      </w:rPr>
    </w:pPr>
    <w:r w:rsidRPr="00BF2DE4">
      <w:rPr>
        <w:rFonts w:ascii="Calibri" w:hAnsi="Calibri" w:cs="Calibri"/>
        <w:b/>
        <w:color w:val="404040"/>
        <w:szCs w:val="20"/>
      </w:rPr>
      <w:t xml:space="preserve">Table 11 – Number of Households </w:t>
    </w:r>
  </w:p>
  <w:tbl>
    <w:tblPr>
      <w:tblW w:w="8560" w:type="dxa"/>
      <w:tblLook w:val="04A0" w:firstRow="1" w:lastRow="0" w:firstColumn="1" w:lastColumn="0" w:noHBand="0" w:noVBand="1"/>
    </w:tblPr>
    <w:tblGrid>
      <w:gridCol w:w="6560"/>
      <w:gridCol w:w="1000"/>
      <w:gridCol w:w="1000"/>
    </w:tblGrid>
    <w:tr w:rsidR="005F3FCF" w:rsidRPr="00BF2DE4" w14:paraId="0569071E" w14:textId="77777777" w:rsidTr="00816745">
      <w:trPr>
        <w:trHeight w:val="582"/>
      </w:trPr>
      <w:tc>
        <w:tcPr>
          <w:tcW w:w="6560"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5C0B0783" w14:textId="77777777" w:rsidR="005F3FCF" w:rsidRPr="00BF2DE4" w:rsidRDefault="005F3FCF" w:rsidP="00816745">
          <w:pPr>
            <w:jc w:val="center"/>
            <w:rPr>
              <w:rFonts w:ascii="Calibri" w:eastAsia="Times New Roman" w:hAnsi="Calibri"/>
              <w:b/>
              <w:bCs/>
              <w:color w:val="404040"/>
              <w:szCs w:val="20"/>
            </w:rPr>
          </w:pPr>
          <w:r w:rsidRPr="00BF2DE4">
            <w:rPr>
              <w:rFonts w:ascii="Calibri" w:eastAsia="Times New Roman" w:hAnsi="Calibri"/>
              <w:b/>
              <w:bCs/>
              <w:color w:val="404040"/>
              <w:szCs w:val="20"/>
            </w:rPr>
            <w:t> </w:t>
          </w:r>
        </w:p>
      </w:tc>
      <w:tc>
        <w:tcPr>
          <w:tcW w:w="1000" w:type="dxa"/>
          <w:tcBorders>
            <w:top w:val="single" w:sz="8" w:space="0" w:color="auto"/>
            <w:left w:val="nil"/>
            <w:bottom w:val="single" w:sz="8" w:space="0" w:color="auto"/>
            <w:right w:val="single" w:sz="8" w:space="0" w:color="auto"/>
          </w:tcBorders>
          <w:shd w:val="clear" w:color="000000" w:fill="BDD7EE"/>
          <w:vAlign w:val="center"/>
          <w:hideMark/>
        </w:tcPr>
        <w:p w14:paraId="2E2C0109" w14:textId="77777777" w:rsidR="005F3FCF" w:rsidRPr="00BF2DE4" w:rsidRDefault="005F3FCF" w:rsidP="00816745">
          <w:pPr>
            <w:jc w:val="center"/>
            <w:rPr>
              <w:rFonts w:ascii="Calibri" w:eastAsia="Times New Roman" w:hAnsi="Calibri"/>
              <w:b/>
              <w:bCs/>
              <w:color w:val="404040"/>
              <w:szCs w:val="20"/>
            </w:rPr>
          </w:pPr>
          <w:r w:rsidRPr="00BF2DE4">
            <w:rPr>
              <w:rFonts w:ascii="Calibri" w:eastAsia="Times New Roman" w:hAnsi="Calibri"/>
              <w:b/>
              <w:bCs/>
              <w:color w:val="404040"/>
              <w:szCs w:val="20"/>
            </w:rPr>
            <w:t>One-Year Goal</w:t>
          </w:r>
        </w:p>
      </w:tc>
      <w:tc>
        <w:tcPr>
          <w:tcW w:w="1000" w:type="dxa"/>
          <w:tcBorders>
            <w:top w:val="single" w:sz="8" w:space="0" w:color="auto"/>
            <w:left w:val="nil"/>
            <w:bottom w:val="single" w:sz="8" w:space="0" w:color="auto"/>
            <w:right w:val="single" w:sz="8" w:space="0" w:color="auto"/>
          </w:tcBorders>
          <w:shd w:val="clear" w:color="000000" w:fill="BDD7EE"/>
          <w:vAlign w:val="center"/>
          <w:hideMark/>
        </w:tcPr>
        <w:p w14:paraId="693084F1" w14:textId="77777777" w:rsidR="005F3FCF" w:rsidRPr="00BF2DE4" w:rsidRDefault="005F3FCF" w:rsidP="00816745">
          <w:pPr>
            <w:jc w:val="center"/>
            <w:rPr>
              <w:rFonts w:ascii="Calibri" w:eastAsia="Times New Roman" w:hAnsi="Calibri"/>
              <w:b/>
              <w:bCs/>
              <w:color w:val="404040"/>
              <w:szCs w:val="20"/>
            </w:rPr>
          </w:pPr>
          <w:r w:rsidRPr="00BF2DE4">
            <w:rPr>
              <w:rFonts w:ascii="Calibri" w:eastAsia="Times New Roman" w:hAnsi="Calibri"/>
              <w:b/>
              <w:bCs/>
              <w:color w:val="404040"/>
              <w:szCs w:val="20"/>
            </w:rPr>
            <w:t>Actual</w:t>
          </w:r>
        </w:p>
      </w:tc>
    </w:tr>
    <w:tr w:rsidR="005F3FCF" w:rsidRPr="00BF2DE4" w14:paraId="54A8FDDE" w14:textId="77777777" w:rsidTr="00816745">
      <w:trPr>
        <w:trHeight w:val="582"/>
      </w:trPr>
      <w:tc>
        <w:tcPr>
          <w:tcW w:w="6560" w:type="dxa"/>
          <w:tcBorders>
            <w:top w:val="nil"/>
            <w:left w:val="single" w:sz="8" w:space="0" w:color="auto"/>
            <w:bottom w:val="single" w:sz="8" w:space="0" w:color="auto"/>
            <w:right w:val="single" w:sz="8" w:space="0" w:color="auto"/>
          </w:tcBorders>
          <w:shd w:val="clear" w:color="auto" w:fill="auto"/>
          <w:vAlign w:val="center"/>
          <w:hideMark/>
        </w:tcPr>
        <w:p w14:paraId="2942BD27" w14:textId="77777777" w:rsidR="005F3FCF" w:rsidRPr="00BF2DE4" w:rsidRDefault="005F3FCF" w:rsidP="00816745">
          <w:pPr>
            <w:rPr>
              <w:rFonts w:ascii="Calibri" w:eastAsia="Times New Roman" w:hAnsi="Calibri"/>
              <w:color w:val="404040"/>
              <w:szCs w:val="20"/>
            </w:rPr>
          </w:pPr>
          <w:r w:rsidRPr="00BF2DE4">
            <w:rPr>
              <w:rFonts w:ascii="Calibri" w:eastAsia="Times New Roman" w:hAnsi="Calibri"/>
              <w:color w:val="404040"/>
              <w:szCs w:val="20"/>
            </w:rPr>
            <w:t>Number of homeless households to be provided affordable housing units</w:t>
          </w:r>
        </w:p>
      </w:tc>
      <w:tc>
        <w:tcPr>
          <w:tcW w:w="1000" w:type="dxa"/>
          <w:tcBorders>
            <w:top w:val="nil"/>
            <w:left w:val="nil"/>
            <w:bottom w:val="single" w:sz="8" w:space="0" w:color="auto"/>
            <w:right w:val="single" w:sz="8" w:space="0" w:color="auto"/>
          </w:tcBorders>
          <w:shd w:val="clear" w:color="auto" w:fill="auto"/>
          <w:vAlign w:val="center"/>
          <w:hideMark/>
        </w:tcPr>
        <w:p w14:paraId="005F3DF0" w14:textId="77777777" w:rsidR="005F3FCF" w:rsidRPr="00BF2DE4" w:rsidRDefault="005F3FCF" w:rsidP="00816745">
          <w:pPr>
            <w:jc w:val="center"/>
            <w:rPr>
              <w:rFonts w:ascii="Calibri" w:eastAsia="Times New Roman" w:hAnsi="Calibri"/>
              <w:color w:val="404040"/>
              <w:szCs w:val="20"/>
            </w:rPr>
          </w:pPr>
          <w:r>
            <w:rPr>
              <w:rFonts w:ascii="Calibri" w:eastAsia="Times New Roman" w:hAnsi="Calibri"/>
              <w:color w:val="404040"/>
              <w:szCs w:val="20"/>
            </w:rPr>
            <w:t>146</w:t>
          </w:r>
        </w:p>
      </w:tc>
      <w:tc>
        <w:tcPr>
          <w:tcW w:w="1000" w:type="dxa"/>
          <w:tcBorders>
            <w:top w:val="nil"/>
            <w:left w:val="nil"/>
            <w:bottom w:val="single" w:sz="8" w:space="0" w:color="auto"/>
            <w:right w:val="single" w:sz="8" w:space="0" w:color="auto"/>
          </w:tcBorders>
          <w:shd w:val="clear" w:color="auto" w:fill="auto"/>
          <w:vAlign w:val="center"/>
          <w:hideMark/>
        </w:tcPr>
        <w:p w14:paraId="60D7DF93" w14:textId="77777777" w:rsidR="005F3FCF" w:rsidRPr="00BF2DE4" w:rsidRDefault="005F3FCF" w:rsidP="00816745">
          <w:pPr>
            <w:jc w:val="center"/>
            <w:rPr>
              <w:rFonts w:ascii="Calibri" w:eastAsia="Times New Roman" w:hAnsi="Calibri"/>
              <w:color w:val="404040"/>
              <w:szCs w:val="20"/>
            </w:rPr>
          </w:pPr>
          <w:r>
            <w:rPr>
              <w:rFonts w:ascii="Calibri" w:eastAsia="Times New Roman" w:hAnsi="Calibri"/>
              <w:color w:val="404040"/>
              <w:szCs w:val="20"/>
            </w:rPr>
            <w:t>173</w:t>
          </w:r>
        </w:p>
      </w:tc>
    </w:tr>
    <w:tr w:rsidR="005F3FCF" w:rsidRPr="00BF2DE4" w14:paraId="7CEA564F" w14:textId="77777777" w:rsidTr="00816745">
      <w:trPr>
        <w:trHeight w:val="582"/>
      </w:trPr>
      <w:tc>
        <w:tcPr>
          <w:tcW w:w="6560" w:type="dxa"/>
          <w:tcBorders>
            <w:top w:val="nil"/>
            <w:left w:val="single" w:sz="8" w:space="0" w:color="auto"/>
            <w:bottom w:val="single" w:sz="8" w:space="0" w:color="auto"/>
            <w:right w:val="single" w:sz="8" w:space="0" w:color="auto"/>
          </w:tcBorders>
          <w:shd w:val="clear" w:color="auto" w:fill="auto"/>
          <w:vAlign w:val="center"/>
          <w:hideMark/>
        </w:tcPr>
        <w:p w14:paraId="72201259" w14:textId="77777777" w:rsidR="005F3FCF" w:rsidRPr="00BF2DE4" w:rsidRDefault="005F3FCF" w:rsidP="00816745">
          <w:pPr>
            <w:rPr>
              <w:rFonts w:ascii="Calibri" w:eastAsia="Times New Roman" w:hAnsi="Calibri"/>
              <w:color w:val="404040"/>
              <w:szCs w:val="20"/>
            </w:rPr>
          </w:pPr>
          <w:r w:rsidRPr="00BF2DE4">
            <w:rPr>
              <w:rFonts w:ascii="Calibri" w:eastAsia="Times New Roman" w:hAnsi="Calibri"/>
              <w:color w:val="404040"/>
              <w:szCs w:val="20"/>
            </w:rPr>
            <w:t>Number of non-homeless households to be provided affordable housing units</w:t>
          </w:r>
        </w:p>
      </w:tc>
      <w:tc>
        <w:tcPr>
          <w:tcW w:w="1000" w:type="dxa"/>
          <w:tcBorders>
            <w:top w:val="nil"/>
            <w:left w:val="nil"/>
            <w:bottom w:val="single" w:sz="8" w:space="0" w:color="auto"/>
            <w:right w:val="single" w:sz="8" w:space="0" w:color="auto"/>
          </w:tcBorders>
          <w:shd w:val="clear" w:color="auto" w:fill="auto"/>
          <w:vAlign w:val="center"/>
          <w:hideMark/>
        </w:tcPr>
        <w:p w14:paraId="536CE554" w14:textId="77777777" w:rsidR="005F3FCF" w:rsidRPr="00BF2DE4" w:rsidRDefault="005F3FCF" w:rsidP="00816745">
          <w:pPr>
            <w:jc w:val="center"/>
            <w:rPr>
              <w:rFonts w:ascii="Calibri" w:eastAsia="Times New Roman" w:hAnsi="Calibri"/>
              <w:color w:val="404040"/>
              <w:szCs w:val="20"/>
            </w:rPr>
          </w:pPr>
          <w:r>
            <w:rPr>
              <w:rFonts w:ascii="Calibri" w:eastAsia="Times New Roman" w:hAnsi="Calibri"/>
              <w:color w:val="404040"/>
              <w:szCs w:val="20"/>
            </w:rPr>
            <w:t>656</w:t>
          </w:r>
        </w:p>
      </w:tc>
      <w:tc>
        <w:tcPr>
          <w:tcW w:w="1000" w:type="dxa"/>
          <w:tcBorders>
            <w:top w:val="nil"/>
            <w:left w:val="nil"/>
            <w:bottom w:val="single" w:sz="8" w:space="0" w:color="auto"/>
            <w:right w:val="single" w:sz="8" w:space="0" w:color="auto"/>
          </w:tcBorders>
          <w:shd w:val="clear" w:color="auto" w:fill="auto"/>
          <w:vAlign w:val="center"/>
          <w:hideMark/>
        </w:tcPr>
        <w:p w14:paraId="13A6B13E" w14:textId="77777777" w:rsidR="005F3FCF" w:rsidRPr="00BF2DE4" w:rsidRDefault="005F3FCF" w:rsidP="00816745">
          <w:pPr>
            <w:jc w:val="center"/>
            <w:rPr>
              <w:rFonts w:ascii="Calibri" w:eastAsia="Times New Roman" w:hAnsi="Calibri"/>
              <w:color w:val="404040"/>
              <w:szCs w:val="20"/>
            </w:rPr>
          </w:pPr>
          <w:r>
            <w:rPr>
              <w:rFonts w:ascii="Calibri" w:eastAsia="Times New Roman" w:hAnsi="Calibri"/>
              <w:color w:val="404040"/>
              <w:szCs w:val="20"/>
            </w:rPr>
            <w:t>357</w:t>
          </w:r>
        </w:p>
      </w:tc>
    </w:tr>
    <w:tr w:rsidR="005F3FCF" w:rsidRPr="006B4D90" w14:paraId="16EDFC4F" w14:textId="77777777" w:rsidTr="00816745">
      <w:trPr>
        <w:trHeight w:val="582"/>
      </w:trPr>
      <w:tc>
        <w:tcPr>
          <w:tcW w:w="6560" w:type="dxa"/>
          <w:tcBorders>
            <w:top w:val="nil"/>
            <w:left w:val="single" w:sz="8" w:space="0" w:color="auto"/>
            <w:bottom w:val="single" w:sz="8" w:space="0" w:color="auto"/>
            <w:right w:val="single" w:sz="8" w:space="0" w:color="auto"/>
          </w:tcBorders>
          <w:shd w:val="clear" w:color="auto" w:fill="auto"/>
          <w:vAlign w:val="center"/>
          <w:hideMark/>
        </w:tcPr>
        <w:p w14:paraId="44FE1D25" w14:textId="77777777" w:rsidR="005F3FCF" w:rsidRPr="006B4D90" w:rsidRDefault="005F3FCF" w:rsidP="00816745">
          <w:pPr>
            <w:rPr>
              <w:rFonts w:ascii="Calibri" w:eastAsia="Times New Roman" w:hAnsi="Calibri"/>
              <w:color w:val="404040"/>
              <w:szCs w:val="20"/>
            </w:rPr>
          </w:pPr>
          <w:r w:rsidRPr="006B4D90">
            <w:rPr>
              <w:rFonts w:ascii="Calibri" w:eastAsia="Times New Roman" w:hAnsi="Calibri"/>
              <w:color w:val="404040"/>
              <w:szCs w:val="20"/>
            </w:rPr>
            <w:t>Number of special-needs households to be provided affordable housing units</w:t>
          </w:r>
        </w:p>
      </w:tc>
      <w:tc>
        <w:tcPr>
          <w:tcW w:w="1000" w:type="dxa"/>
          <w:tcBorders>
            <w:top w:val="nil"/>
            <w:left w:val="nil"/>
            <w:bottom w:val="single" w:sz="8" w:space="0" w:color="auto"/>
            <w:right w:val="single" w:sz="8" w:space="0" w:color="auto"/>
          </w:tcBorders>
          <w:shd w:val="clear" w:color="auto" w:fill="auto"/>
          <w:vAlign w:val="center"/>
          <w:hideMark/>
        </w:tcPr>
        <w:p w14:paraId="63B0E570" w14:textId="77777777" w:rsidR="005F3FCF" w:rsidRPr="006B4D90" w:rsidRDefault="005F3FCF" w:rsidP="00816745">
          <w:pPr>
            <w:jc w:val="center"/>
            <w:rPr>
              <w:rFonts w:ascii="Calibri" w:eastAsia="Times New Roman" w:hAnsi="Calibri"/>
              <w:color w:val="404040"/>
              <w:szCs w:val="20"/>
            </w:rPr>
          </w:pPr>
          <w:r w:rsidRPr="006B4D90">
            <w:rPr>
              <w:rFonts w:ascii="Calibri" w:eastAsia="Times New Roman" w:hAnsi="Calibri"/>
              <w:color w:val="404040"/>
              <w:szCs w:val="20"/>
            </w:rPr>
            <w:t>N/A</w:t>
          </w:r>
        </w:p>
      </w:tc>
      <w:tc>
        <w:tcPr>
          <w:tcW w:w="1000" w:type="dxa"/>
          <w:tcBorders>
            <w:top w:val="nil"/>
            <w:left w:val="nil"/>
            <w:bottom w:val="single" w:sz="8" w:space="0" w:color="auto"/>
            <w:right w:val="single" w:sz="8" w:space="0" w:color="auto"/>
          </w:tcBorders>
          <w:shd w:val="clear" w:color="auto" w:fill="auto"/>
          <w:vAlign w:val="center"/>
          <w:hideMark/>
        </w:tcPr>
        <w:p w14:paraId="145EE117" w14:textId="77777777" w:rsidR="005F3FCF" w:rsidRPr="006B4D90" w:rsidRDefault="005F3FCF" w:rsidP="00816745">
          <w:pPr>
            <w:jc w:val="center"/>
            <w:rPr>
              <w:rFonts w:ascii="Calibri" w:eastAsia="Times New Roman" w:hAnsi="Calibri"/>
              <w:color w:val="404040"/>
              <w:szCs w:val="20"/>
            </w:rPr>
          </w:pPr>
          <w:r w:rsidRPr="006B4D90">
            <w:rPr>
              <w:rFonts w:ascii="Calibri" w:eastAsia="Times New Roman" w:hAnsi="Calibri"/>
              <w:color w:val="404040"/>
              <w:szCs w:val="20"/>
            </w:rPr>
            <w:t>N/A</w:t>
          </w:r>
        </w:p>
      </w:tc>
    </w:tr>
    <w:tr w:rsidR="005F3FCF" w:rsidRPr="006B4D90" w14:paraId="198C3B0E" w14:textId="77777777" w:rsidTr="00816745">
      <w:trPr>
        <w:trHeight w:val="294"/>
      </w:trPr>
      <w:tc>
        <w:tcPr>
          <w:tcW w:w="6560" w:type="dxa"/>
          <w:tcBorders>
            <w:top w:val="nil"/>
            <w:left w:val="single" w:sz="8" w:space="0" w:color="auto"/>
            <w:bottom w:val="single" w:sz="8" w:space="0" w:color="auto"/>
            <w:right w:val="single" w:sz="8" w:space="0" w:color="auto"/>
          </w:tcBorders>
          <w:shd w:val="clear" w:color="auto" w:fill="auto"/>
          <w:vAlign w:val="center"/>
          <w:hideMark/>
        </w:tcPr>
        <w:p w14:paraId="42F52B15" w14:textId="77777777" w:rsidR="005F3FCF" w:rsidRPr="006B4D90" w:rsidRDefault="005F3FCF" w:rsidP="00816745">
          <w:pPr>
            <w:rPr>
              <w:rFonts w:ascii="Calibri" w:eastAsia="Times New Roman" w:hAnsi="Calibri"/>
              <w:b/>
              <w:bCs/>
              <w:color w:val="404040"/>
              <w:szCs w:val="20"/>
            </w:rPr>
          </w:pPr>
          <w:r w:rsidRPr="006B4D90">
            <w:rPr>
              <w:rFonts w:ascii="Calibri" w:eastAsia="Times New Roman" w:hAnsi="Calibri"/>
              <w:b/>
              <w:bCs/>
              <w:color w:val="404040"/>
              <w:szCs w:val="20"/>
            </w:rPr>
            <w:t>Total</w:t>
          </w:r>
        </w:p>
      </w:tc>
      <w:tc>
        <w:tcPr>
          <w:tcW w:w="1000" w:type="dxa"/>
          <w:tcBorders>
            <w:top w:val="nil"/>
            <w:left w:val="nil"/>
            <w:bottom w:val="single" w:sz="8" w:space="0" w:color="auto"/>
            <w:right w:val="single" w:sz="8" w:space="0" w:color="auto"/>
          </w:tcBorders>
          <w:shd w:val="clear" w:color="auto" w:fill="auto"/>
          <w:vAlign w:val="center"/>
          <w:hideMark/>
        </w:tcPr>
        <w:p w14:paraId="528289F0" w14:textId="77777777" w:rsidR="005F3FCF" w:rsidRPr="006B4D90" w:rsidRDefault="005F3FCF" w:rsidP="00816745">
          <w:pPr>
            <w:jc w:val="center"/>
            <w:rPr>
              <w:rFonts w:ascii="Calibri" w:eastAsia="Times New Roman" w:hAnsi="Calibri"/>
              <w:b/>
              <w:bCs/>
              <w:color w:val="404040"/>
              <w:szCs w:val="20"/>
            </w:rPr>
          </w:pPr>
          <w:r w:rsidRPr="006B4D90">
            <w:rPr>
              <w:rFonts w:ascii="Calibri" w:eastAsia="Times New Roman" w:hAnsi="Calibri"/>
              <w:b/>
              <w:bCs/>
              <w:color w:val="404040"/>
              <w:szCs w:val="20"/>
            </w:rPr>
            <w:t>802</w:t>
          </w:r>
        </w:p>
      </w:tc>
      <w:tc>
        <w:tcPr>
          <w:tcW w:w="1000" w:type="dxa"/>
          <w:tcBorders>
            <w:top w:val="nil"/>
            <w:left w:val="nil"/>
            <w:bottom w:val="single" w:sz="8" w:space="0" w:color="auto"/>
            <w:right w:val="single" w:sz="8" w:space="0" w:color="auto"/>
          </w:tcBorders>
          <w:shd w:val="clear" w:color="auto" w:fill="auto"/>
          <w:vAlign w:val="center"/>
          <w:hideMark/>
        </w:tcPr>
        <w:p w14:paraId="74F296B3" w14:textId="77777777" w:rsidR="005F3FCF" w:rsidRPr="006B4D90" w:rsidRDefault="005F3FCF" w:rsidP="00816745">
          <w:pPr>
            <w:jc w:val="center"/>
            <w:rPr>
              <w:rFonts w:ascii="Calibri" w:eastAsia="Times New Roman" w:hAnsi="Calibri"/>
              <w:b/>
              <w:bCs/>
              <w:color w:val="404040"/>
              <w:szCs w:val="20"/>
            </w:rPr>
          </w:pPr>
          <w:r w:rsidRPr="006B4D90">
            <w:rPr>
              <w:rFonts w:ascii="Calibri" w:eastAsia="Times New Roman" w:hAnsi="Calibri"/>
              <w:b/>
              <w:bCs/>
              <w:color w:val="404040"/>
              <w:szCs w:val="20"/>
            </w:rPr>
            <w:t>530</w:t>
          </w:r>
        </w:p>
      </w:tc>
    </w:tr>
  </w:tbl>
  <w:p w14:paraId="33C23C76" w14:textId="77777777" w:rsidR="005F3FCF" w:rsidRPr="00BF2DE4" w:rsidRDefault="005F3FCF" w:rsidP="00B10F1E">
    <w:pPr>
      <w:spacing w:line="276" w:lineRule="auto"/>
      <w:ind w:right="360"/>
      <w:rPr>
        <w:rFonts w:ascii="Calibri" w:hAnsi="Calibri" w:cs="Calibri"/>
        <w:b/>
        <w:color w:val="FF0000"/>
        <w:szCs w:val="20"/>
      </w:rPr>
    </w:pPr>
  </w:p>
  <w:p w14:paraId="3D96536F" w14:textId="77777777" w:rsidR="005F3FCF" w:rsidRPr="00BF2DE4" w:rsidRDefault="005F3FCF" w:rsidP="00B10F1E">
    <w:pPr>
      <w:spacing w:line="360" w:lineRule="auto"/>
      <w:ind w:right="360"/>
      <w:rPr>
        <w:rFonts w:ascii="Calibri" w:hAnsi="Calibri" w:cs="Calibri"/>
        <w:b/>
        <w:color w:val="404040"/>
        <w:szCs w:val="20"/>
      </w:rPr>
    </w:pPr>
    <w:r w:rsidRPr="00BF2DE4">
      <w:rPr>
        <w:rFonts w:ascii="Calibri" w:hAnsi="Calibri" w:cs="Calibri"/>
        <w:b/>
        <w:color w:val="404040"/>
        <w:szCs w:val="20"/>
      </w:rPr>
      <w:t xml:space="preserve">Discuss the difference between goals and outcomes and problems encountered in meeting these goals. </w:t>
    </w:r>
  </w:p>
  <w:p w14:paraId="4B0B97A0" w14:textId="77777777" w:rsidR="005F3FCF" w:rsidRPr="006B4D90" w:rsidRDefault="005F3FCF" w:rsidP="006B4D90">
    <w:pPr>
      <w:spacing w:line="276" w:lineRule="auto"/>
      <w:ind w:right="360"/>
      <w:rPr>
        <w:rFonts w:asciiTheme="minorHAnsi" w:hAnsiTheme="minorHAnsi" w:cstheme="minorHAnsi"/>
        <w:color w:val="404040" w:themeColor="text1" w:themeTint="BF"/>
        <w:szCs w:val="20"/>
      </w:rPr>
    </w:pPr>
    <w:r w:rsidRPr="006B4D90">
      <w:rPr>
        <w:rFonts w:asciiTheme="minorHAnsi" w:hAnsiTheme="minorHAnsi" w:cstheme="minorHAnsi"/>
        <w:color w:val="404040" w:themeColor="text1" w:themeTint="BF"/>
        <w:szCs w:val="20"/>
      </w:rPr>
      <w:t xml:space="preserve">During the 17-18 year, Salt Lake City supported housing activities through all four of its federal grant programs: CDBG, ESG, HOME, and HOPWA. Households with incomes ranging from 0-80% AMI were assisted with subsidies. The activities that occurred included rapid-rehousing, homeowner housing and rehabilitation, tenant-based rental assistance, short term rental/utility assistance, and direct financial assistance. </w:t>
    </w:r>
    <w:r>
      <w:rPr>
        <w:rFonts w:asciiTheme="minorHAnsi" w:hAnsiTheme="minorHAnsi" w:cstheme="minorHAnsi"/>
        <w:color w:val="404040" w:themeColor="text1" w:themeTint="BF"/>
        <w:szCs w:val="20"/>
      </w:rPr>
      <w:t xml:space="preserve">Tight rental markets and an increase in rental costs have made it more difficult to place clients in housing, which is largely responsible for the gap between the one-year goal and the actual number served during the 17-18 year. </w:t>
    </w:r>
  </w:p>
  <w:p w14:paraId="16C4A7D9" w14:textId="77777777" w:rsidR="005F3FCF" w:rsidRPr="006B4D90" w:rsidRDefault="005F3FCF" w:rsidP="006B4D90">
    <w:pPr>
      <w:spacing w:line="276" w:lineRule="auto"/>
      <w:ind w:right="360"/>
      <w:rPr>
        <w:rFonts w:asciiTheme="minorHAnsi" w:hAnsiTheme="minorHAnsi" w:cstheme="minorHAnsi"/>
        <w:color w:val="404040" w:themeColor="text1" w:themeTint="BF"/>
        <w:szCs w:val="20"/>
      </w:rPr>
    </w:pPr>
  </w:p>
  <w:p w14:paraId="1167F7B1" w14:textId="77777777" w:rsidR="005F3FCF" w:rsidRPr="006B4D90" w:rsidRDefault="005F3FCF" w:rsidP="006B4D90">
    <w:pPr>
      <w:spacing w:line="276" w:lineRule="auto"/>
      <w:ind w:right="360"/>
      <w:rPr>
        <w:rFonts w:asciiTheme="minorHAnsi" w:hAnsiTheme="minorHAnsi" w:cstheme="minorHAnsi"/>
        <w:color w:val="404040" w:themeColor="text1" w:themeTint="BF"/>
        <w:szCs w:val="20"/>
      </w:rPr>
    </w:pPr>
    <w:r w:rsidRPr="006B4D90">
      <w:rPr>
        <w:rFonts w:asciiTheme="minorHAnsi" w:hAnsiTheme="minorHAnsi" w:cstheme="minorHAnsi"/>
        <w:color w:val="404040" w:themeColor="text1" w:themeTint="BF"/>
        <w:szCs w:val="20"/>
      </w:rPr>
      <w:t>All rapid re-housing and tenant based rental assistance programs funded followed a Housing First model. This model strategically targeted households at risk for returning to homelessness and supported them with intensive case management, with a goal of achieving housing stability. By utilizing this approach, Salt Lake City supported a larger number of homeless households with accessing affordable units.</w:t>
    </w:r>
  </w:p>
  <w:p w14:paraId="5C95FC31" w14:textId="77777777" w:rsidR="005F3FCF" w:rsidRDefault="005F3FCF" w:rsidP="00B10F1E">
    <w:pPr>
      <w:spacing w:line="276" w:lineRule="auto"/>
      <w:ind w:right="360"/>
      <w:rPr>
        <w:rFonts w:asciiTheme="minorHAnsi" w:hAnsiTheme="minorHAnsi"/>
        <w:szCs w:val="20"/>
      </w:rPr>
    </w:pPr>
  </w:p>
  <w:p w14:paraId="00F8DB2A" w14:textId="77777777" w:rsidR="005F3FCF" w:rsidRDefault="005F3FCF" w:rsidP="00B10F1E">
    <w:pPr>
      <w:spacing w:line="276" w:lineRule="auto"/>
      <w:ind w:right="360"/>
      <w:rPr>
        <w:rFonts w:asciiTheme="minorHAnsi" w:hAnsiTheme="minorHAnsi"/>
        <w:szCs w:val="20"/>
      </w:rPr>
    </w:pPr>
  </w:p>
  <w:p w14:paraId="65FC9B4B" w14:textId="77777777" w:rsidR="005F3FCF" w:rsidRDefault="005F3FCF" w:rsidP="00B10F1E">
    <w:pPr>
      <w:spacing w:line="276" w:lineRule="auto"/>
      <w:ind w:right="360"/>
      <w:rPr>
        <w:rFonts w:asciiTheme="minorHAnsi" w:hAnsiTheme="minorHAnsi"/>
        <w:szCs w:val="20"/>
      </w:rPr>
    </w:pPr>
  </w:p>
  <w:p w14:paraId="26DE7F90" w14:textId="77777777" w:rsidR="005F3FCF" w:rsidRPr="00BF2DE4" w:rsidRDefault="005F3FCF" w:rsidP="00B10F1E">
    <w:pPr>
      <w:spacing w:line="276" w:lineRule="auto"/>
      <w:ind w:right="360"/>
      <w:rPr>
        <w:rFonts w:ascii="Calibri" w:hAnsi="Calibri" w:cs="Calibri"/>
        <w:b/>
        <w:color w:val="404040"/>
        <w:szCs w:val="20"/>
      </w:rPr>
    </w:pPr>
    <w:r w:rsidRPr="00BF2DE4">
      <w:rPr>
        <w:rFonts w:ascii="Calibri" w:hAnsi="Calibri" w:cs="Calibri"/>
        <w:b/>
        <w:color w:val="404040"/>
        <w:szCs w:val="20"/>
      </w:rPr>
      <w:t xml:space="preserve">Table 12 – Number of Households Supported </w:t>
    </w:r>
  </w:p>
  <w:tbl>
    <w:tblPr>
      <w:tblW w:w="8380" w:type="dxa"/>
      <w:tblLook w:val="04A0" w:firstRow="1" w:lastRow="0" w:firstColumn="1" w:lastColumn="0" w:noHBand="0" w:noVBand="1"/>
    </w:tblPr>
    <w:tblGrid>
      <w:gridCol w:w="6380"/>
      <w:gridCol w:w="1000"/>
      <w:gridCol w:w="1000"/>
    </w:tblGrid>
    <w:tr w:rsidR="005F3FCF" w:rsidRPr="00BF2DE4" w14:paraId="7AF27923" w14:textId="77777777" w:rsidTr="00816745">
      <w:trPr>
        <w:trHeight w:val="582"/>
      </w:trPr>
      <w:tc>
        <w:tcPr>
          <w:tcW w:w="6380" w:type="dxa"/>
          <w:tcBorders>
            <w:top w:val="single" w:sz="8" w:space="0" w:color="auto"/>
            <w:left w:val="single" w:sz="8" w:space="0" w:color="auto"/>
            <w:bottom w:val="single" w:sz="8" w:space="0" w:color="auto"/>
            <w:right w:val="single" w:sz="8" w:space="0" w:color="auto"/>
          </w:tcBorders>
          <w:shd w:val="clear" w:color="auto" w:fill="C6D9F1"/>
          <w:vAlign w:val="center"/>
          <w:hideMark/>
        </w:tcPr>
        <w:p w14:paraId="40D08B28" w14:textId="77777777" w:rsidR="005F3FCF" w:rsidRPr="00BF2DE4" w:rsidRDefault="005F3FCF" w:rsidP="00816745">
          <w:pPr>
            <w:jc w:val="center"/>
            <w:rPr>
              <w:rFonts w:ascii="Calibri" w:eastAsia="Times New Roman" w:hAnsi="Calibri"/>
              <w:b/>
              <w:bCs/>
              <w:color w:val="404040"/>
              <w:szCs w:val="20"/>
            </w:rPr>
          </w:pPr>
          <w:r w:rsidRPr="00BF2DE4">
            <w:rPr>
              <w:rFonts w:ascii="Calibri" w:eastAsia="Times New Roman" w:hAnsi="Calibri"/>
              <w:b/>
              <w:bCs/>
              <w:color w:val="404040"/>
              <w:szCs w:val="20"/>
            </w:rPr>
            <w:t> </w:t>
          </w:r>
        </w:p>
      </w:tc>
      <w:tc>
        <w:tcPr>
          <w:tcW w:w="1000" w:type="dxa"/>
          <w:tcBorders>
            <w:top w:val="single" w:sz="8" w:space="0" w:color="auto"/>
            <w:left w:val="nil"/>
            <w:bottom w:val="single" w:sz="8" w:space="0" w:color="auto"/>
            <w:right w:val="single" w:sz="8" w:space="0" w:color="auto"/>
          </w:tcBorders>
          <w:shd w:val="clear" w:color="auto" w:fill="C6D9F1"/>
          <w:vAlign w:val="center"/>
          <w:hideMark/>
        </w:tcPr>
        <w:p w14:paraId="1B776130" w14:textId="77777777" w:rsidR="005F3FCF" w:rsidRPr="00BF2DE4" w:rsidRDefault="005F3FCF" w:rsidP="00816745">
          <w:pPr>
            <w:jc w:val="center"/>
            <w:rPr>
              <w:rFonts w:ascii="Calibri" w:eastAsia="Times New Roman" w:hAnsi="Calibri"/>
              <w:b/>
              <w:bCs/>
              <w:color w:val="404040"/>
              <w:szCs w:val="20"/>
            </w:rPr>
          </w:pPr>
          <w:r w:rsidRPr="00BF2DE4">
            <w:rPr>
              <w:rFonts w:ascii="Calibri" w:eastAsia="Times New Roman" w:hAnsi="Calibri"/>
              <w:b/>
              <w:bCs/>
              <w:color w:val="404040"/>
              <w:szCs w:val="20"/>
            </w:rPr>
            <w:t>One-Year Goal</w:t>
          </w:r>
        </w:p>
      </w:tc>
      <w:tc>
        <w:tcPr>
          <w:tcW w:w="1000" w:type="dxa"/>
          <w:tcBorders>
            <w:top w:val="single" w:sz="8" w:space="0" w:color="auto"/>
            <w:left w:val="nil"/>
            <w:bottom w:val="single" w:sz="8" w:space="0" w:color="auto"/>
            <w:right w:val="single" w:sz="8" w:space="0" w:color="auto"/>
          </w:tcBorders>
          <w:shd w:val="clear" w:color="auto" w:fill="C6D9F1"/>
          <w:vAlign w:val="center"/>
          <w:hideMark/>
        </w:tcPr>
        <w:p w14:paraId="4DD8383E" w14:textId="77777777" w:rsidR="005F3FCF" w:rsidRPr="00BF2DE4" w:rsidRDefault="005F3FCF" w:rsidP="00816745">
          <w:pPr>
            <w:jc w:val="center"/>
            <w:rPr>
              <w:rFonts w:ascii="Calibri" w:eastAsia="Times New Roman" w:hAnsi="Calibri"/>
              <w:b/>
              <w:bCs/>
              <w:color w:val="404040"/>
              <w:szCs w:val="20"/>
            </w:rPr>
          </w:pPr>
          <w:r w:rsidRPr="00BF2DE4">
            <w:rPr>
              <w:rFonts w:ascii="Calibri" w:eastAsia="Times New Roman" w:hAnsi="Calibri"/>
              <w:b/>
              <w:bCs/>
              <w:color w:val="404040"/>
              <w:szCs w:val="20"/>
            </w:rPr>
            <w:t>Actual</w:t>
          </w:r>
        </w:p>
      </w:tc>
    </w:tr>
    <w:tr w:rsidR="005F3FCF" w:rsidRPr="00BF2DE4" w14:paraId="53B77ECC" w14:textId="77777777" w:rsidTr="00816745">
      <w:trPr>
        <w:trHeight w:val="403"/>
      </w:trPr>
      <w:tc>
        <w:tcPr>
          <w:tcW w:w="6380" w:type="dxa"/>
          <w:tcBorders>
            <w:top w:val="nil"/>
            <w:left w:val="single" w:sz="8" w:space="0" w:color="auto"/>
            <w:bottom w:val="single" w:sz="8" w:space="0" w:color="auto"/>
            <w:right w:val="single" w:sz="8" w:space="0" w:color="auto"/>
          </w:tcBorders>
          <w:shd w:val="clear" w:color="auto" w:fill="auto"/>
          <w:vAlign w:val="center"/>
          <w:hideMark/>
        </w:tcPr>
        <w:p w14:paraId="431E3305" w14:textId="77777777" w:rsidR="005F3FCF" w:rsidRPr="00BF2DE4" w:rsidRDefault="005F3FCF" w:rsidP="00816745">
          <w:pPr>
            <w:rPr>
              <w:rFonts w:ascii="Calibri" w:eastAsia="Times New Roman" w:hAnsi="Calibri"/>
              <w:color w:val="404040"/>
              <w:szCs w:val="20"/>
            </w:rPr>
          </w:pPr>
          <w:r w:rsidRPr="00BF2DE4">
            <w:rPr>
              <w:rFonts w:ascii="Calibri" w:eastAsia="Times New Roman" w:hAnsi="Calibri"/>
              <w:color w:val="404040"/>
              <w:szCs w:val="20"/>
            </w:rPr>
            <w:t>Number of households supported through rental assistance</w:t>
          </w:r>
        </w:p>
      </w:tc>
      <w:tc>
        <w:tcPr>
          <w:tcW w:w="1000" w:type="dxa"/>
          <w:tcBorders>
            <w:top w:val="nil"/>
            <w:left w:val="nil"/>
            <w:bottom w:val="single" w:sz="8" w:space="0" w:color="auto"/>
            <w:right w:val="single" w:sz="8" w:space="0" w:color="auto"/>
          </w:tcBorders>
          <w:shd w:val="clear" w:color="auto" w:fill="auto"/>
          <w:vAlign w:val="center"/>
          <w:hideMark/>
        </w:tcPr>
        <w:p w14:paraId="789811AB" w14:textId="77777777" w:rsidR="005F3FCF" w:rsidRPr="00BF2DE4" w:rsidRDefault="005F3FCF" w:rsidP="00816745">
          <w:pPr>
            <w:jc w:val="center"/>
            <w:rPr>
              <w:rFonts w:ascii="Calibri" w:eastAsia="Times New Roman" w:hAnsi="Calibri"/>
              <w:color w:val="404040"/>
              <w:szCs w:val="20"/>
            </w:rPr>
          </w:pPr>
          <w:r>
            <w:rPr>
              <w:rFonts w:ascii="Calibri" w:eastAsia="Times New Roman" w:hAnsi="Calibri"/>
              <w:color w:val="404040"/>
              <w:szCs w:val="20"/>
            </w:rPr>
            <w:t>250</w:t>
          </w:r>
        </w:p>
      </w:tc>
      <w:tc>
        <w:tcPr>
          <w:tcW w:w="1000" w:type="dxa"/>
          <w:tcBorders>
            <w:top w:val="nil"/>
            <w:left w:val="nil"/>
            <w:bottom w:val="single" w:sz="8" w:space="0" w:color="auto"/>
            <w:right w:val="single" w:sz="8" w:space="0" w:color="auto"/>
          </w:tcBorders>
          <w:shd w:val="clear" w:color="auto" w:fill="auto"/>
          <w:vAlign w:val="center"/>
          <w:hideMark/>
        </w:tcPr>
        <w:p w14:paraId="7CEAB891" w14:textId="77777777" w:rsidR="005F3FCF" w:rsidRPr="00BF2DE4" w:rsidRDefault="005F3FCF" w:rsidP="00816745">
          <w:pPr>
            <w:jc w:val="center"/>
            <w:rPr>
              <w:rFonts w:ascii="Calibri" w:eastAsia="Times New Roman" w:hAnsi="Calibri"/>
              <w:color w:val="404040"/>
              <w:szCs w:val="20"/>
            </w:rPr>
          </w:pPr>
          <w:r>
            <w:rPr>
              <w:rFonts w:ascii="Calibri" w:eastAsia="Times New Roman" w:hAnsi="Calibri"/>
              <w:color w:val="404040"/>
              <w:szCs w:val="20"/>
            </w:rPr>
            <w:t>272</w:t>
          </w:r>
        </w:p>
      </w:tc>
    </w:tr>
    <w:tr w:rsidR="005F3FCF" w:rsidRPr="00BF2DE4" w14:paraId="4CD698B3" w14:textId="77777777" w:rsidTr="00816745">
      <w:trPr>
        <w:trHeight w:val="421"/>
      </w:trPr>
      <w:tc>
        <w:tcPr>
          <w:tcW w:w="6380" w:type="dxa"/>
          <w:tcBorders>
            <w:top w:val="nil"/>
            <w:left w:val="single" w:sz="8" w:space="0" w:color="auto"/>
            <w:bottom w:val="single" w:sz="8" w:space="0" w:color="auto"/>
            <w:right w:val="single" w:sz="8" w:space="0" w:color="auto"/>
          </w:tcBorders>
          <w:shd w:val="clear" w:color="auto" w:fill="auto"/>
          <w:vAlign w:val="center"/>
          <w:hideMark/>
        </w:tcPr>
        <w:p w14:paraId="41883625" w14:textId="77777777" w:rsidR="005F3FCF" w:rsidRPr="00BF2DE4" w:rsidRDefault="005F3FCF" w:rsidP="00816745">
          <w:pPr>
            <w:rPr>
              <w:rFonts w:ascii="Calibri" w:eastAsia="Times New Roman" w:hAnsi="Calibri"/>
              <w:color w:val="404040"/>
              <w:szCs w:val="20"/>
            </w:rPr>
          </w:pPr>
          <w:r w:rsidRPr="00BF2DE4">
            <w:rPr>
              <w:rFonts w:ascii="Calibri" w:eastAsia="Times New Roman" w:hAnsi="Calibri"/>
              <w:color w:val="404040"/>
              <w:szCs w:val="20"/>
            </w:rPr>
            <w:t>Number of households supported through the production of new units</w:t>
          </w:r>
        </w:p>
      </w:tc>
      <w:tc>
        <w:tcPr>
          <w:tcW w:w="1000" w:type="dxa"/>
          <w:tcBorders>
            <w:top w:val="nil"/>
            <w:left w:val="nil"/>
            <w:bottom w:val="single" w:sz="8" w:space="0" w:color="auto"/>
            <w:right w:val="single" w:sz="8" w:space="0" w:color="auto"/>
          </w:tcBorders>
          <w:shd w:val="clear" w:color="auto" w:fill="auto"/>
          <w:vAlign w:val="center"/>
          <w:hideMark/>
        </w:tcPr>
        <w:p w14:paraId="219201B6" w14:textId="77777777" w:rsidR="005F3FCF" w:rsidRPr="00BF2DE4" w:rsidRDefault="005F3FCF" w:rsidP="00816745">
          <w:pPr>
            <w:jc w:val="center"/>
            <w:rPr>
              <w:rFonts w:ascii="Calibri" w:eastAsia="Times New Roman" w:hAnsi="Calibri"/>
              <w:color w:val="404040"/>
              <w:szCs w:val="20"/>
            </w:rPr>
          </w:pPr>
          <w:r w:rsidRPr="00BF2DE4">
            <w:rPr>
              <w:rFonts w:ascii="Calibri" w:eastAsia="Times New Roman" w:hAnsi="Calibri"/>
              <w:color w:val="404040"/>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7958558A" w14:textId="77777777" w:rsidR="005F3FCF" w:rsidRPr="00BF2DE4" w:rsidRDefault="005F3FCF" w:rsidP="00816745">
          <w:pPr>
            <w:jc w:val="center"/>
            <w:rPr>
              <w:rFonts w:ascii="Calibri" w:eastAsia="Times New Roman" w:hAnsi="Calibri"/>
              <w:color w:val="404040"/>
              <w:szCs w:val="20"/>
            </w:rPr>
          </w:pPr>
          <w:r w:rsidRPr="00BF2DE4">
            <w:rPr>
              <w:rFonts w:ascii="Calibri" w:eastAsia="Times New Roman" w:hAnsi="Calibri"/>
              <w:color w:val="404040"/>
              <w:szCs w:val="20"/>
            </w:rPr>
            <w:t>0</w:t>
          </w:r>
        </w:p>
      </w:tc>
    </w:tr>
    <w:tr w:rsidR="005F3FCF" w:rsidRPr="00BF2DE4" w14:paraId="11741709" w14:textId="77777777" w:rsidTr="00816745">
      <w:trPr>
        <w:trHeight w:val="439"/>
      </w:trPr>
      <w:tc>
        <w:tcPr>
          <w:tcW w:w="6380" w:type="dxa"/>
          <w:tcBorders>
            <w:top w:val="nil"/>
            <w:left w:val="single" w:sz="8" w:space="0" w:color="auto"/>
            <w:bottom w:val="single" w:sz="8" w:space="0" w:color="auto"/>
            <w:right w:val="single" w:sz="8" w:space="0" w:color="auto"/>
          </w:tcBorders>
          <w:shd w:val="clear" w:color="auto" w:fill="auto"/>
          <w:vAlign w:val="center"/>
          <w:hideMark/>
        </w:tcPr>
        <w:p w14:paraId="5FACF7BF" w14:textId="77777777" w:rsidR="005F3FCF" w:rsidRPr="00BF2DE4" w:rsidRDefault="005F3FCF" w:rsidP="00816745">
          <w:pPr>
            <w:rPr>
              <w:rFonts w:ascii="Calibri" w:eastAsia="Times New Roman" w:hAnsi="Calibri"/>
              <w:color w:val="404040"/>
              <w:szCs w:val="20"/>
            </w:rPr>
          </w:pPr>
          <w:r w:rsidRPr="00BF2DE4">
            <w:rPr>
              <w:rFonts w:ascii="Calibri" w:eastAsia="Times New Roman" w:hAnsi="Calibri"/>
              <w:color w:val="404040"/>
              <w:szCs w:val="20"/>
            </w:rPr>
            <w:t>Number of households supported through the rehab of existing units</w:t>
          </w:r>
        </w:p>
      </w:tc>
      <w:tc>
        <w:tcPr>
          <w:tcW w:w="1000" w:type="dxa"/>
          <w:tcBorders>
            <w:top w:val="nil"/>
            <w:left w:val="nil"/>
            <w:bottom w:val="single" w:sz="8" w:space="0" w:color="auto"/>
            <w:right w:val="single" w:sz="8" w:space="0" w:color="auto"/>
          </w:tcBorders>
          <w:shd w:val="clear" w:color="auto" w:fill="auto"/>
          <w:vAlign w:val="center"/>
          <w:hideMark/>
        </w:tcPr>
        <w:p w14:paraId="09A949BC" w14:textId="77777777" w:rsidR="005F3FCF" w:rsidRPr="00BF2DE4" w:rsidRDefault="005F3FCF" w:rsidP="00816745">
          <w:pPr>
            <w:jc w:val="center"/>
            <w:rPr>
              <w:rFonts w:ascii="Calibri" w:eastAsia="Times New Roman" w:hAnsi="Calibri"/>
              <w:color w:val="404040"/>
              <w:szCs w:val="20"/>
            </w:rPr>
          </w:pPr>
          <w:r>
            <w:rPr>
              <w:rFonts w:ascii="Calibri" w:eastAsia="Times New Roman" w:hAnsi="Calibri"/>
              <w:color w:val="404040"/>
              <w:szCs w:val="20"/>
            </w:rPr>
            <w:t>452</w:t>
          </w:r>
        </w:p>
      </w:tc>
      <w:tc>
        <w:tcPr>
          <w:tcW w:w="1000" w:type="dxa"/>
          <w:tcBorders>
            <w:top w:val="nil"/>
            <w:left w:val="nil"/>
            <w:bottom w:val="single" w:sz="8" w:space="0" w:color="auto"/>
            <w:right w:val="single" w:sz="8" w:space="0" w:color="auto"/>
          </w:tcBorders>
          <w:shd w:val="clear" w:color="auto" w:fill="auto"/>
          <w:vAlign w:val="center"/>
          <w:hideMark/>
        </w:tcPr>
        <w:p w14:paraId="3E7E61A0" w14:textId="77777777" w:rsidR="005F3FCF" w:rsidRPr="00BF2DE4" w:rsidRDefault="005F3FCF" w:rsidP="00816745">
          <w:pPr>
            <w:jc w:val="center"/>
            <w:rPr>
              <w:rFonts w:ascii="Calibri" w:eastAsia="Times New Roman" w:hAnsi="Calibri"/>
              <w:color w:val="404040"/>
              <w:szCs w:val="20"/>
            </w:rPr>
          </w:pPr>
          <w:r>
            <w:rPr>
              <w:rFonts w:ascii="Calibri" w:eastAsia="Times New Roman" w:hAnsi="Calibri"/>
              <w:color w:val="404040"/>
              <w:szCs w:val="20"/>
            </w:rPr>
            <w:t>268</w:t>
          </w:r>
        </w:p>
      </w:tc>
    </w:tr>
    <w:tr w:rsidR="005F3FCF" w:rsidRPr="00BF2DE4" w14:paraId="6E2DAE3C" w14:textId="77777777" w:rsidTr="00816745">
      <w:trPr>
        <w:trHeight w:val="511"/>
      </w:trPr>
      <w:tc>
        <w:tcPr>
          <w:tcW w:w="6380" w:type="dxa"/>
          <w:tcBorders>
            <w:top w:val="nil"/>
            <w:left w:val="single" w:sz="8" w:space="0" w:color="auto"/>
            <w:bottom w:val="single" w:sz="8" w:space="0" w:color="auto"/>
            <w:right w:val="single" w:sz="8" w:space="0" w:color="auto"/>
          </w:tcBorders>
          <w:shd w:val="clear" w:color="auto" w:fill="auto"/>
          <w:vAlign w:val="center"/>
          <w:hideMark/>
        </w:tcPr>
        <w:p w14:paraId="2DA47AEE" w14:textId="77777777" w:rsidR="005F3FCF" w:rsidRPr="00BF2DE4" w:rsidRDefault="005F3FCF" w:rsidP="00816745">
          <w:pPr>
            <w:rPr>
              <w:rFonts w:ascii="Calibri" w:eastAsia="Times New Roman" w:hAnsi="Calibri"/>
              <w:color w:val="404040"/>
              <w:szCs w:val="20"/>
            </w:rPr>
          </w:pPr>
          <w:r w:rsidRPr="00BF2DE4">
            <w:rPr>
              <w:rFonts w:ascii="Calibri" w:eastAsia="Times New Roman" w:hAnsi="Calibri"/>
              <w:color w:val="404040"/>
              <w:szCs w:val="20"/>
            </w:rPr>
            <w:t>Number of households supported through the acquisition of existing units</w:t>
          </w:r>
        </w:p>
      </w:tc>
      <w:tc>
        <w:tcPr>
          <w:tcW w:w="1000" w:type="dxa"/>
          <w:tcBorders>
            <w:top w:val="nil"/>
            <w:left w:val="nil"/>
            <w:bottom w:val="single" w:sz="8" w:space="0" w:color="auto"/>
            <w:right w:val="single" w:sz="8" w:space="0" w:color="auto"/>
          </w:tcBorders>
          <w:shd w:val="clear" w:color="auto" w:fill="auto"/>
          <w:vAlign w:val="center"/>
          <w:hideMark/>
        </w:tcPr>
        <w:p w14:paraId="1A0CBAF4" w14:textId="77777777" w:rsidR="005F3FCF" w:rsidRPr="00BF2DE4" w:rsidRDefault="005F3FCF" w:rsidP="00816745">
          <w:pPr>
            <w:jc w:val="center"/>
            <w:rPr>
              <w:rFonts w:ascii="Calibri" w:eastAsia="Times New Roman" w:hAnsi="Calibri"/>
              <w:color w:val="404040"/>
              <w:szCs w:val="20"/>
            </w:rPr>
          </w:pPr>
          <w:r>
            <w:rPr>
              <w:rFonts w:ascii="Calibri" w:eastAsia="Times New Roman" w:hAnsi="Calibri"/>
              <w:color w:val="404040"/>
              <w:szCs w:val="20"/>
            </w:rPr>
            <w:t>25</w:t>
          </w:r>
        </w:p>
      </w:tc>
      <w:tc>
        <w:tcPr>
          <w:tcW w:w="1000" w:type="dxa"/>
          <w:tcBorders>
            <w:top w:val="nil"/>
            <w:left w:val="nil"/>
            <w:bottom w:val="single" w:sz="8" w:space="0" w:color="auto"/>
            <w:right w:val="single" w:sz="8" w:space="0" w:color="auto"/>
          </w:tcBorders>
          <w:shd w:val="clear" w:color="auto" w:fill="auto"/>
          <w:vAlign w:val="center"/>
          <w:hideMark/>
        </w:tcPr>
        <w:p w14:paraId="756CE8D8" w14:textId="77777777" w:rsidR="005F3FCF" w:rsidRPr="00BF2DE4" w:rsidRDefault="005F3FCF" w:rsidP="00816745">
          <w:pPr>
            <w:jc w:val="center"/>
            <w:rPr>
              <w:rFonts w:ascii="Calibri" w:eastAsia="Times New Roman" w:hAnsi="Calibri"/>
              <w:color w:val="404040"/>
              <w:szCs w:val="20"/>
            </w:rPr>
          </w:pPr>
          <w:r>
            <w:rPr>
              <w:rFonts w:ascii="Calibri" w:eastAsia="Times New Roman" w:hAnsi="Calibri"/>
              <w:color w:val="404040"/>
              <w:szCs w:val="20"/>
            </w:rPr>
            <w:t>9</w:t>
          </w:r>
        </w:p>
      </w:tc>
    </w:tr>
    <w:tr w:rsidR="005F3FCF" w:rsidRPr="00BF2DE4" w14:paraId="48E3F747" w14:textId="77777777" w:rsidTr="00816745">
      <w:trPr>
        <w:trHeight w:val="294"/>
      </w:trPr>
      <w:tc>
        <w:tcPr>
          <w:tcW w:w="6380" w:type="dxa"/>
          <w:tcBorders>
            <w:top w:val="nil"/>
            <w:left w:val="single" w:sz="8" w:space="0" w:color="auto"/>
            <w:bottom w:val="single" w:sz="8" w:space="0" w:color="auto"/>
            <w:right w:val="single" w:sz="8" w:space="0" w:color="auto"/>
          </w:tcBorders>
          <w:shd w:val="clear" w:color="auto" w:fill="auto"/>
          <w:vAlign w:val="center"/>
          <w:hideMark/>
        </w:tcPr>
        <w:p w14:paraId="69823918" w14:textId="77777777" w:rsidR="005F3FCF" w:rsidRPr="00BF2DE4" w:rsidRDefault="005F3FCF" w:rsidP="00816745">
          <w:pPr>
            <w:rPr>
              <w:rFonts w:ascii="Calibri" w:eastAsia="Times New Roman" w:hAnsi="Calibri"/>
              <w:b/>
              <w:bCs/>
              <w:color w:val="404040"/>
              <w:szCs w:val="20"/>
            </w:rPr>
          </w:pPr>
          <w:r w:rsidRPr="00BF2DE4">
            <w:rPr>
              <w:rFonts w:ascii="Calibri" w:eastAsia="Times New Roman" w:hAnsi="Calibri"/>
              <w:b/>
              <w:bCs/>
              <w:color w:val="404040"/>
              <w:szCs w:val="20"/>
            </w:rPr>
            <w:t>Total</w:t>
          </w:r>
        </w:p>
      </w:tc>
      <w:tc>
        <w:tcPr>
          <w:tcW w:w="1000" w:type="dxa"/>
          <w:tcBorders>
            <w:top w:val="nil"/>
            <w:left w:val="nil"/>
            <w:bottom w:val="single" w:sz="8" w:space="0" w:color="auto"/>
            <w:right w:val="single" w:sz="8" w:space="0" w:color="auto"/>
          </w:tcBorders>
          <w:shd w:val="clear" w:color="auto" w:fill="auto"/>
          <w:vAlign w:val="center"/>
          <w:hideMark/>
        </w:tcPr>
        <w:p w14:paraId="43D52CF4" w14:textId="77777777" w:rsidR="005F3FCF" w:rsidRPr="00BF2DE4" w:rsidRDefault="005F3FCF" w:rsidP="00816745">
          <w:pPr>
            <w:jc w:val="center"/>
            <w:rPr>
              <w:rFonts w:ascii="Calibri" w:eastAsia="Times New Roman" w:hAnsi="Calibri"/>
              <w:b/>
              <w:bCs/>
              <w:color w:val="404040"/>
              <w:szCs w:val="20"/>
            </w:rPr>
          </w:pPr>
          <w:r>
            <w:rPr>
              <w:rFonts w:ascii="Calibri" w:eastAsia="Times New Roman" w:hAnsi="Calibri"/>
              <w:b/>
              <w:bCs/>
              <w:color w:val="404040"/>
              <w:szCs w:val="20"/>
            </w:rPr>
            <w:t>727</w:t>
          </w:r>
        </w:p>
      </w:tc>
      <w:tc>
        <w:tcPr>
          <w:tcW w:w="1000" w:type="dxa"/>
          <w:tcBorders>
            <w:top w:val="nil"/>
            <w:left w:val="nil"/>
            <w:bottom w:val="single" w:sz="8" w:space="0" w:color="auto"/>
            <w:right w:val="single" w:sz="8" w:space="0" w:color="auto"/>
          </w:tcBorders>
          <w:shd w:val="clear" w:color="auto" w:fill="auto"/>
          <w:vAlign w:val="center"/>
          <w:hideMark/>
        </w:tcPr>
        <w:p w14:paraId="642A614F" w14:textId="77777777" w:rsidR="005F3FCF" w:rsidRPr="00BF2DE4" w:rsidRDefault="005F3FCF" w:rsidP="00816745">
          <w:pPr>
            <w:jc w:val="center"/>
            <w:rPr>
              <w:rFonts w:ascii="Calibri" w:eastAsia="Times New Roman" w:hAnsi="Calibri"/>
              <w:b/>
              <w:bCs/>
              <w:color w:val="404040"/>
              <w:szCs w:val="20"/>
            </w:rPr>
          </w:pPr>
          <w:r>
            <w:rPr>
              <w:rFonts w:ascii="Calibri" w:eastAsia="Times New Roman" w:hAnsi="Calibri"/>
              <w:b/>
              <w:bCs/>
              <w:color w:val="404040"/>
              <w:szCs w:val="20"/>
            </w:rPr>
            <w:t>549</w:t>
          </w:r>
        </w:p>
      </w:tc>
    </w:tr>
  </w:tbl>
  <w:p w14:paraId="6C9247FD" w14:textId="77777777" w:rsidR="005F3FCF" w:rsidRPr="00BF2DE4" w:rsidRDefault="005F3FCF" w:rsidP="00B10F1E">
    <w:pPr>
      <w:spacing w:line="276" w:lineRule="auto"/>
      <w:ind w:right="360"/>
      <w:rPr>
        <w:rFonts w:ascii="Calibri" w:hAnsi="Calibri" w:cs="Calibri"/>
        <w:b/>
        <w:color w:val="FF0000"/>
        <w:szCs w:val="20"/>
      </w:rPr>
    </w:pPr>
  </w:p>
  <w:p w14:paraId="42E0B603" w14:textId="77777777" w:rsidR="005F3FCF" w:rsidRPr="00BF2DE4" w:rsidRDefault="005F3FCF" w:rsidP="00B10F1E">
    <w:pPr>
      <w:spacing w:line="276" w:lineRule="auto"/>
      <w:ind w:right="360"/>
      <w:rPr>
        <w:rFonts w:ascii="Calibri" w:hAnsi="Calibri" w:cs="Calibri"/>
        <w:b/>
        <w:color w:val="FF0000"/>
        <w:szCs w:val="20"/>
      </w:rPr>
    </w:pPr>
    <w:r w:rsidRPr="00BF2DE4">
      <w:rPr>
        <w:rFonts w:ascii="Calibri" w:hAnsi="Calibri" w:cs="Calibri"/>
        <w:b/>
        <w:color w:val="404040"/>
        <w:szCs w:val="20"/>
      </w:rPr>
      <w:t>Discuss how these outcomes will impact future annual action plans.</w:t>
    </w:r>
    <w:r w:rsidRPr="00BF2DE4">
      <w:rPr>
        <w:rFonts w:ascii="Calibri" w:hAnsi="Calibri" w:cs="Calibri"/>
        <w:b/>
        <w:color w:val="FF0000"/>
        <w:szCs w:val="20"/>
      </w:rPr>
      <w:t xml:space="preserve">  </w:t>
    </w:r>
  </w:p>
  <w:p w14:paraId="41B369BB" w14:textId="77777777" w:rsidR="005F3FCF" w:rsidRPr="00407732" w:rsidRDefault="005F3FCF" w:rsidP="00B10F1E">
    <w:pPr>
      <w:spacing w:line="360" w:lineRule="auto"/>
      <w:rPr>
        <w:rFonts w:ascii="Calibri" w:hAnsi="Calibri" w:cs="Calibri"/>
        <w:color w:val="404040"/>
        <w:szCs w:val="20"/>
      </w:rPr>
    </w:pPr>
    <w:r w:rsidRPr="00407732">
      <w:rPr>
        <w:rFonts w:ascii="Calibri" w:hAnsi="Calibri" w:cs="Calibri"/>
        <w:color w:val="404040"/>
        <w:szCs w:val="20"/>
      </w:rPr>
      <w:t>Salt Lake City is pleased with the total households supported through rental assistance activities funded by CDBG, ESG, HOME, and HOPWA funding. Due to sharply increased construction costs and a labor shortage in the construction field, it was difficult for the City to rehabilitate as many units as originally projected. Additionally, one subgrantee awarded funding did not expend any of Salt Lake City’s federal funding during the program year. Rising housing costs led to a smaller number of households supported through the acquisition of existing units. At this time, no future annual action plans are anticipated to change. Housing activities provided critical support in the form of subsidies for low to moderate income families with AMI’s ranging from 0-80%. Tenant-based rental assistance, short term rental/utility assistance, rapid re-housing, housing rehabilitation, and direct financial assistance supported a wide range of households in varying circumstance with a shared need of housing assistance.</w:t>
    </w:r>
  </w:p>
  <w:p w14:paraId="1AEC0034" w14:textId="77777777" w:rsidR="005F3FCF" w:rsidRPr="00407732" w:rsidRDefault="005F3FCF" w:rsidP="00B10F1E">
    <w:pPr>
      <w:spacing w:line="360" w:lineRule="auto"/>
      <w:rPr>
        <w:rFonts w:ascii="Calibri" w:hAnsi="Calibri" w:cs="Calibri"/>
        <w:color w:val="404040"/>
        <w:szCs w:val="20"/>
      </w:rPr>
    </w:pPr>
  </w:p>
  <w:p w14:paraId="6AD0997D" w14:textId="77777777" w:rsidR="005F3FCF" w:rsidRPr="00407732" w:rsidRDefault="005F3FCF" w:rsidP="00B10F1E">
    <w:pPr>
      <w:spacing w:line="360" w:lineRule="auto"/>
      <w:rPr>
        <w:rFonts w:ascii="Calibri" w:hAnsi="Calibri" w:cs="Calibri"/>
        <w:color w:val="404040"/>
        <w:szCs w:val="20"/>
      </w:rPr>
    </w:pPr>
    <w:r w:rsidRPr="00407732">
      <w:rPr>
        <w:rFonts w:ascii="Calibri" w:hAnsi="Calibri" w:cs="Calibri"/>
        <w:color w:val="404040"/>
        <w:szCs w:val="20"/>
      </w:rPr>
      <w:t>As the City works towards creating its next five-year Consolidated Plan, it will continue evaluating its efforts in affordable housing to ensure that funding is utilized effectively</w:t>
    </w:r>
    <w:r>
      <w:rPr>
        <w:rFonts w:ascii="Calibri" w:hAnsi="Calibri" w:cs="Calibri"/>
        <w:color w:val="404040"/>
        <w:szCs w:val="20"/>
      </w:rPr>
      <w:t>.</w:t>
    </w:r>
    <w:r w:rsidRPr="00407732">
      <w:rPr>
        <w:rFonts w:ascii="Calibri" w:hAnsi="Calibri" w:cs="Calibri"/>
        <w:color w:val="404040"/>
        <w:szCs w:val="20"/>
      </w:rPr>
      <w:t xml:space="preserve"> The need for affordable housing will continue to grow as the population of the City expands and the vacancy rate remains low. It is critical for the City to expand its efforts in providing decent, safe, and affordable housing to its residents, especially its low-income residents and vulnerable populations. Increased rates of homelessness and rising construction and maintenance costs signal the need for City assistance to ensure that affordable housing is created and preserved within the community. </w:t>
    </w:r>
  </w:p>
  <w:p w14:paraId="5F9D3F01" w14:textId="77777777" w:rsidR="005F3FCF" w:rsidRPr="00407732" w:rsidRDefault="005F3FCF" w:rsidP="00407732">
    <w:pPr>
      <w:spacing w:line="360" w:lineRule="auto"/>
      <w:rPr>
        <w:rFonts w:ascii="Calibri" w:hAnsi="Calibri" w:cs="Calibri"/>
        <w:color w:val="404040"/>
        <w:szCs w:val="20"/>
      </w:rPr>
    </w:pPr>
  </w:p>
  <w:p w14:paraId="2E86E71A" w14:textId="77777777" w:rsidR="005F3FCF" w:rsidRPr="00407732" w:rsidRDefault="005F3FCF" w:rsidP="00407732">
    <w:pPr>
      <w:spacing w:line="360" w:lineRule="auto"/>
      <w:rPr>
        <w:rFonts w:ascii="Calibri" w:hAnsi="Calibri" w:cs="Calibri"/>
        <w:color w:val="404040"/>
        <w:szCs w:val="20"/>
      </w:rPr>
    </w:pPr>
    <w:r w:rsidRPr="00407732">
      <w:rPr>
        <w:rFonts w:ascii="Calibri" w:hAnsi="Calibri" w:cs="Calibri"/>
        <w:color w:val="404040"/>
        <w:szCs w:val="20"/>
      </w:rPr>
      <w:t xml:space="preserve">Include the number of extremely low-income, low-income, and moderate-income persons served by each activity where information on income by family size is required to determine the eligibility of the activity.  </w:t>
    </w:r>
  </w:p>
  <w:p w14:paraId="085C8CD7" w14:textId="77777777" w:rsidR="005F3FCF" w:rsidRDefault="005F3FCF" w:rsidP="00B10F1E"/>
  <w:p w14:paraId="6193D704" w14:textId="77777777" w:rsidR="005F3FCF" w:rsidRPr="00BF2DE4" w:rsidRDefault="005F3FCF" w:rsidP="00B10F1E">
    <w:pPr>
      <w:spacing w:line="276" w:lineRule="auto"/>
      <w:ind w:right="360"/>
      <w:rPr>
        <w:rFonts w:ascii="Calibri" w:hAnsi="Calibri" w:cs="Calibri"/>
        <w:b/>
        <w:color w:val="F79646"/>
        <w:szCs w:val="20"/>
      </w:rPr>
    </w:pPr>
    <w:r w:rsidRPr="00BF2DE4">
      <w:rPr>
        <w:rFonts w:ascii="Calibri" w:hAnsi="Calibri" w:cs="Calibri"/>
        <w:b/>
        <w:color w:val="404040"/>
        <w:szCs w:val="20"/>
      </w:rPr>
      <w:t>Table 13 – Number of Persons Served</w:t>
    </w:r>
    <w:r w:rsidRPr="00BF2DE4">
      <w:rPr>
        <w:rFonts w:ascii="Calibri" w:hAnsi="Calibri" w:cs="Calibri"/>
        <w:b/>
        <w:color w:val="F79646"/>
        <w:szCs w:val="20"/>
      </w:rPr>
      <w:t xml:space="preserve"> </w:t>
    </w:r>
  </w:p>
  <w:tbl>
    <w:tblPr>
      <w:tblW w:w="6240" w:type="dxa"/>
      <w:tblInd w:w="-10" w:type="dxa"/>
      <w:tblLook w:val="04A0" w:firstRow="1" w:lastRow="0" w:firstColumn="1" w:lastColumn="0" w:noHBand="0" w:noVBand="1"/>
    </w:tblPr>
    <w:tblGrid>
      <w:gridCol w:w="2900"/>
      <w:gridCol w:w="2000"/>
      <w:gridCol w:w="1340"/>
    </w:tblGrid>
    <w:tr w:rsidR="005F3FCF" w:rsidRPr="00BF2DE4" w14:paraId="49D7603A" w14:textId="77777777" w:rsidTr="005F3FCF">
      <w:trPr>
        <w:trHeight w:val="582"/>
      </w:trPr>
      <w:tc>
        <w:tcPr>
          <w:tcW w:w="2900" w:type="dxa"/>
          <w:tcBorders>
            <w:top w:val="single" w:sz="8" w:space="0" w:color="auto"/>
            <w:left w:val="single" w:sz="8" w:space="0" w:color="auto"/>
            <w:bottom w:val="single" w:sz="8" w:space="0" w:color="auto"/>
            <w:right w:val="single" w:sz="8" w:space="0" w:color="auto"/>
          </w:tcBorders>
          <w:shd w:val="clear" w:color="auto" w:fill="C6D9F1"/>
          <w:vAlign w:val="center"/>
          <w:hideMark/>
        </w:tcPr>
        <w:p w14:paraId="7FAC9628" w14:textId="77777777" w:rsidR="005F3FCF" w:rsidRPr="00BF2DE4" w:rsidRDefault="005F3FCF" w:rsidP="00816745">
          <w:pPr>
            <w:rPr>
              <w:rFonts w:ascii="Calibri" w:eastAsia="Times New Roman" w:hAnsi="Calibri"/>
              <w:b/>
              <w:bCs/>
              <w:color w:val="404040"/>
              <w:szCs w:val="20"/>
            </w:rPr>
          </w:pPr>
          <w:r w:rsidRPr="00BF2DE4">
            <w:rPr>
              <w:rFonts w:ascii="Calibri" w:eastAsia="Times New Roman" w:hAnsi="Calibri"/>
              <w:b/>
              <w:bCs/>
              <w:color w:val="404040"/>
              <w:szCs w:val="20"/>
            </w:rPr>
            <w:t>Number of Persons Served</w:t>
          </w:r>
        </w:p>
      </w:tc>
      <w:tc>
        <w:tcPr>
          <w:tcW w:w="2000" w:type="dxa"/>
          <w:tcBorders>
            <w:top w:val="single" w:sz="8" w:space="0" w:color="auto"/>
            <w:left w:val="nil"/>
            <w:bottom w:val="single" w:sz="8" w:space="0" w:color="auto"/>
            <w:right w:val="single" w:sz="8" w:space="0" w:color="auto"/>
          </w:tcBorders>
          <w:shd w:val="clear" w:color="auto" w:fill="C6D9F1"/>
          <w:vAlign w:val="center"/>
          <w:hideMark/>
        </w:tcPr>
        <w:p w14:paraId="1B097757" w14:textId="77777777" w:rsidR="005F3FCF" w:rsidRPr="00BF2DE4" w:rsidRDefault="005F3FCF" w:rsidP="00816745">
          <w:pPr>
            <w:jc w:val="center"/>
            <w:rPr>
              <w:rFonts w:ascii="Calibri" w:eastAsia="Times New Roman" w:hAnsi="Calibri"/>
              <w:b/>
              <w:bCs/>
              <w:color w:val="404040"/>
              <w:szCs w:val="20"/>
            </w:rPr>
          </w:pPr>
          <w:r w:rsidRPr="00BF2DE4">
            <w:rPr>
              <w:rFonts w:ascii="Calibri" w:eastAsia="Times New Roman" w:hAnsi="Calibri"/>
              <w:b/>
              <w:bCs/>
              <w:color w:val="404040"/>
              <w:szCs w:val="20"/>
            </w:rPr>
            <w:t>CDBG Actual</w:t>
          </w:r>
        </w:p>
      </w:tc>
      <w:tc>
        <w:tcPr>
          <w:tcW w:w="1340" w:type="dxa"/>
          <w:tcBorders>
            <w:top w:val="single" w:sz="8" w:space="0" w:color="auto"/>
            <w:left w:val="nil"/>
            <w:bottom w:val="single" w:sz="8" w:space="0" w:color="auto"/>
            <w:right w:val="single" w:sz="8" w:space="0" w:color="auto"/>
          </w:tcBorders>
          <w:shd w:val="clear" w:color="auto" w:fill="C6D9F1"/>
          <w:vAlign w:val="center"/>
          <w:hideMark/>
        </w:tcPr>
        <w:p w14:paraId="5534135B" w14:textId="77777777" w:rsidR="005F3FCF" w:rsidRPr="00BF2DE4" w:rsidRDefault="005F3FCF" w:rsidP="00816745">
          <w:pPr>
            <w:jc w:val="center"/>
            <w:rPr>
              <w:rFonts w:ascii="Calibri" w:eastAsia="Times New Roman" w:hAnsi="Calibri"/>
              <w:b/>
              <w:color w:val="404040"/>
              <w:szCs w:val="20"/>
            </w:rPr>
          </w:pPr>
          <w:r w:rsidRPr="00BF2DE4">
            <w:rPr>
              <w:rFonts w:ascii="Calibri" w:eastAsia="Times New Roman" w:hAnsi="Calibri"/>
              <w:b/>
              <w:color w:val="404040"/>
              <w:szCs w:val="20"/>
            </w:rPr>
            <w:t>HOME Actual</w:t>
          </w:r>
        </w:p>
      </w:tc>
    </w:tr>
    <w:tr w:rsidR="005F3FCF" w:rsidRPr="00BF2DE4" w14:paraId="4D552E64" w14:textId="77777777" w:rsidTr="005F3FCF">
      <w:trPr>
        <w:trHeight w:val="294"/>
      </w:trPr>
      <w:tc>
        <w:tcPr>
          <w:tcW w:w="2900" w:type="dxa"/>
          <w:tcBorders>
            <w:top w:val="nil"/>
            <w:left w:val="single" w:sz="8" w:space="0" w:color="auto"/>
            <w:bottom w:val="single" w:sz="8" w:space="0" w:color="auto"/>
            <w:right w:val="single" w:sz="8" w:space="0" w:color="auto"/>
          </w:tcBorders>
          <w:shd w:val="clear" w:color="auto" w:fill="auto"/>
          <w:vAlign w:val="center"/>
          <w:hideMark/>
        </w:tcPr>
        <w:p w14:paraId="66936690" w14:textId="77777777" w:rsidR="005F3FCF" w:rsidRPr="00BF2DE4" w:rsidRDefault="005F3FCF" w:rsidP="00816745">
          <w:pPr>
            <w:rPr>
              <w:rFonts w:ascii="Calibri" w:eastAsia="Times New Roman" w:hAnsi="Calibri"/>
              <w:color w:val="404040"/>
              <w:szCs w:val="20"/>
            </w:rPr>
          </w:pPr>
          <w:r w:rsidRPr="00BF2DE4">
            <w:rPr>
              <w:rFonts w:ascii="Calibri" w:eastAsia="Times New Roman" w:hAnsi="Calibri"/>
              <w:color w:val="404040"/>
              <w:szCs w:val="20"/>
            </w:rPr>
            <w:t>Extremely Low-income</w:t>
          </w:r>
        </w:p>
      </w:tc>
      <w:tc>
        <w:tcPr>
          <w:tcW w:w="2000" w:type="dxa"/>
          <w:tcBorders>
            <w:top w:val="nil"/>
            <w:left w:val="nil"/>
            <w:bottom w:val="single" w:sz="8" w:space="0" w:color="auto"/>
            <w:right w:val="single" w:sz="8" w:space="0" w:color="auto"/>
          </w:tcBorders>
          <w:shd w:val="clear" w:color="auto" w:fill="auto"/>
          <w:vAlign w:val="center"/>
          <w:hideMark/>
        </w:tcPr>
        <w:p w14:paraId="3FD285D1" w14:textId="77777777" w:rsidR="005F3FCF" w:rsidRPr="00BF2DE4" w:rsidRDefault="005F3FCF" w:rsidP="00816745">
          <w:pPr>
            <w:jc w:val="center"/>
            <w:rPr>
              <w:rFonts w:ascii="Calibri" w:eastAsia="Times New Roman" w:hAnsi="Calibri"/>
              <w:color w:val="404040"/>
              <w:szCs w:val="20"/>
            </w:rPr>
          </w:pPr>
          <w:r>
            <w:rPr>
              <w:rFonts w:ascii="Calibri" w:eastAsia="Times New Roman" w:hAnsi="Calibri"/>
              <w:color w:val="404040"/>
              <w:szCs w:val="20"/>
            </w:rPr>
            <w:t>2,046</w:t>
          </w:r>
        </w:p>
      </w:tc>
      <w:tc>
        <w:tcPr>
          <w:tcW w:w="1340" w:type="dxa"/>
          <w:tcBorders>
            <w:top w:val="nil"/>
            <w:left w:val="nil"/>
            <w:bottom w:val="single" w:sz="8" w:space="0" w:color="auto"/>
            <w:right w:val="single" w:sz="8" w:space="0" w:color="auto"/>
          </w:tcBorders>
          <w:shd w:val="clear" w:color="auto" w:fill="auto"/>
          <w:vAlign w:val="center"/>
          <w:hideMark/>
        </w:tcPr>
        <w:p w14:paraId="0A648529" w14:textId="77777777" w:rsidR="005F3FCF" w:rsidRPr="00BF2DE4" w:rsidRDefault="005F3FCF" w:rsidP="00816745">
          <w:pPr>
            <w:jc w:val="center"/>
            <w:rPr>
              <w:rFonts w:ascii="Calibri" w:eastAsia="Times New Roman" w:hAnsi="Calibri"/>
              <w:color w:val="404040"/>
              <w:szCs w:val="20"/>
            </w:rPr>
          </w:pPr>
          <w:r>
            <w:rPr>
              <w:rFonts w:ascii="Calibri" w:eastAsia="Times New Roman" w:hAnsi="Calibri"/>
              <w:color w:val="404040"/>
              <w:szCs w:val="20"/>
            </w:rPr>
            <w:t>330</w:t>
          </w:r>
        </w:p>
      </w:tc>
    </w:tr>
    <w:tr w:rsidR="005F3FCF" w:rsidRPr="00BF2DE4" w14:paraId="05F8ABFC" w14:textId="77777777" w:rsidTr="005F3FCF">
      <w:trPr>
        <w:trHeight w:val="294"/>
      </w:trPr>
      <w:tc>
        <w:tcPr>
          <w:tcW w:w="2900" w:type="dxa"/>
          <w:tcBorders>
            <w:top w:val="nil"/>
            <w:left w:val="single" w:sz="8" w:space="0" w:color="auto"/>
            <w:bottom w:val="single" w:sz="8" w:space="0" w:color="auto"/>
            <w:right w:val="single" w:sz="8" w:space="0" w:color="auto"/>
          </w:tcBorders>
          <w:shd w:val="clear" w:color="auto" w:fill="auto"/>
          <w:vAlign w:val="center"/>
          <w:hideMark/>
        </w:tcPr>
        <w:p w14:paraId="57E18A85" w14:textId="77777777" w:rsidR="005F3FCF" w:rsidRPr="00BF2DE4" w:rsidRDefault="005F3FCF" w:rsidP="00816745">
          <w:pPr>
            <w:rPr>
              <w:rFonts w:ascii="Calibri" w:eastAsia="Times New Roman" w:hAnsi="Calibri"/>
              <w:color w:val="404040"/>
              <w:szCs w:val="20"/>
            </w:rPr>
          </w:pPr>
          <w:r w:rsidRPr="00BF2DE4">
            <w:rPr>
              <w:rFonts w:ascii="Calibri" w:eastAsia="Times New Roman" w:hAnsi="Calibri"/>
              <w:color w:val="404040"/>
              <w:szCs w:val="20"/>
            </w:rPr>
            <w:t>Low-income</w:t>
          </w:r>
        </w:p>
      </w:tc>
      <w:tc>
        <w:tcPr>
          <w:tcW w:w="2000" w:type="dxa"/>
          <w:tcBorders>
            <w:top w:val="nil"/>
            <w:left w:val="nil"/>
            <w:bottom w:val="single" w:sz="8" w:space="0" w:color="auto"/>
            <w:right w:val="single" w:sz="8" w:space="0" w:color="auto"/>
          </w:tcBorders>
          <w:shd w:val="clear" w:color="auto" w:fill="auto"/>
          <w:vAlign w:val="center"/>
          <w:hideMark/>
        </w:tcPr>
        <w:p w14:paraId="028BE224" w14:textId="77777777" w:rsidR="005F3FCF" w:rsidRPr="00BF2DE4" w:rsidRDefault="005F3FCF" w:rsidP="00816745">
          <w:pPr>
            <w:jc w:val="center"/>
            <w:rPr>
              <w:rFonts w:ascii="Calibri" w:eastAsia="Times New Roman" w:hAnsi="Calibri"/>
              <w:color w:val="404040"/>
              <w:szCs w:val="20"/>
            </w:rPr>
          </w:pPr>
          <w:r>
            <w:rPr>
              <w:rFonts w:ascii="Calibri" w:eastAsia="Times New Roman" w:hAnsi="Calibri"/>
              <w:color w:val="404040"/>
              <w:szCs w:val="20"/>
            </w:rPr>
            <w:t>464</w:t>
          </w:r>
        </w:p>
      </w:tc>
      <w:tc>
        <w:tcPr>
          <w:tcW w:w="1340" w:type="dxa"/>
          <w:tcBorders>
            <w:top w:val="nil"/>
            <w:left w:val="nil"/>
            <w:bottom w:val="single" w:sz="8" w:space="0" w:color="auto"/>
            <w:right w:val="single" w:sz="8" w:space="0" w:color="auto"/>
          </w:tcBorders>
          <w:shd w:val="clear" w:color="auto" w:fill="auto"/>
          <w:vAlign w:val="center"/>
          <w:hideMark/>
        </w:tcPr>
        <w:p w14:paraId="4B6F400A" w14:textId="77777777" w:rsidR="005F3FCF" w:rsidRPr="00BF2DE4" w:rsidRDefault="005F3FCF" w:rsidP="00816745">
          <w:pPr>
            <w:jc w:val="center"/>
            <w:rPr>
              <w:rFonts w:ascii="Calibri" w:eastAsia="Times New Roman" w:hAnsi="Calibri"/>
              <w:color w:val="404040"/>
              <w:szCs w:val="20"/>
            </w:rPr>
          </w:pPr>
          <w:r>
            <w:rPr>
              <w:rFonts w:ascii="Calibri" w:eastAsia="Times New Roman" w:hAnsi="Calibri"/>
              <w:color w:val="404040"/>
              <w:szCs w:val="20"/>
            </w:rPr>
            <w:t>22</w:t>
          </w:r>
        </w:p>
      </w:tc>
    </w:tr>
    <w:tr w:rsidR="005F3FCF" w:rsidRPr="00BF2DE4" w14:paraId="235D43E0" w14:textId="77777777" w:rsidTr="005F3FCF">
      <w:trPr>
        <w:trHeight w:val="294"/>
      </w:trPr>
      <w:tc>
        <w:tcPr>
          <w:tcW w:w="2900" w:type="dxa"/>
          <w:tcBorders>
            <w:top w:val="nil"/>
            <w:left w:val="single" w:sz="8" w:space="0" w:color="auto"/>
            <w:bottom w:val="single" w:sz="8" w:space="0" w:color="auto"/>
            <w:right w:val="single" w:sz="8" w:space="0" w:color="auto"/>
          </w:tcBorders>
          <w:shd w:val="clear" w:color="auto" w:fill="auto"/>
          <w:vAlign w:val="center"/>
          <w:hideMark/>
        </w:tcPr>
        <w:p w14:paraId="2FEA9FB1" w14:textId="77777777" w:rsidR="005F3FCF" w:rsidRPr="00BF2DE4" w:rsidRDefault="005F3FCF" w:rsidP="00816745">
          <w:pPr>
            <w:rPr>
              <w:rFonts w:ascii="Calibri" w:eastAsia="Times New Roman" w:hAnsi="Calibri"/>
              <w:color w:val="404040"/>
              <w:szCs w:val="20"/>
            </w:rPr>
          </w:pPr>
          <w:r w:rsidRPr="00BF2DE4">
            <w:rPr>
              <w:rFonts w:ascii="Calibri" w:eastAsia="Times New Roman" w:hAnsi="Calibri"/>
              <w:color w:val="404040"/>
              <w:szCs w:val="20"/>
            </w:rPr>
            <w:t>Moderate-income</w:t>
          </w:r>
        </w:p>
      </w:tc>
      <w:tc>
        <w:tcPr>
          <w:tcW w:w="2000" w:type="dxa"/>
          <w:tcBorders>
            <w:top w:val="nil"/>
            <w:left w:val="nil"/>
            <w:bottom w:val="single" w:sz="8" w:space="0" w:color="auto"/>
            <w:right w:val="single" w:sz="8" w:space="0" w:color="auto"/>
          </w:tcBorders>
          <w:shd w:val="clear" w:color="auto" w:fill="auto"/>
          <w:vAlign w:val="center"/>
          <w:hideMark/>
        </w:tcPr>
        <w:p w14:paraId="56FD052B" w14:textId="77777777" w:rsidR="005F3FCF" w:rsidRPr="00BF2DE4" w:rsidRDefault="005F3FCF" w:rsidP="00816745">
          <w:pPr>
            <w:jc w:val="center"/>
            <w:rPr>
              <w:rFonts w:ascii="Calibri" w:eastAsia="Times New Roman" w:hAnsi="Calibri"/>
              <w:color w:val="404040"/>
              <w:szCs w:val="20"/>
            </w:rPr>
          </w:pPr>
          <w:r>
            <w:rPr>
              <w:rFonts w:ascii="Calibri" w:eastAsia="Times New Roman" w:hAnsi="Calibri"/>
              <w:color w:val="404040"/>
              <w:szCs w:val="20"/>
            </w:rPr>
            <w:t>79</w:t>
          </w:r>
        </w:p>
      </w:tc>
      <w:tc>
        <w:tcPr>
          <w:tcW w:w="1340" w:type="dxa"/>
          <w:tcBorders>
            <w:top w:val="nil"/>
            <w:left w:val="nil"/>
            <w:bottom w:val="single" w:sz="8" w:space="0" w:color="auto"/>
            <w:right w:val="single" w:sz="8" w:space="0" w:color="auto"/>
          </w:tcBorders>
          <w:shd w:val="clear" w:color="auto" w:fill="auto"/>
          <w:vAlign w:val="center"/>
          <w:hideMark/>
        </w:tcPr>
        <w:p w14:paraId="43BC217B" w14:textId="77777777" w:rsidR="005F3FCF" w:rsidRPr="00BF2DE4" w:rsidRDefault="005F3FCF" w:rsidP="00816745">
          <w:pPr>
            <w:jc w:val="center"/>
            <w:rPr>
              <w:rFonts w:ascii="Calibri" w:eastAsia="Times New Roman" w:hAnsi="Calibri"/>
              <w:color w:val="404040"/>
              <w:szCs w:val="20"/>
            </w:rPr>
          </w:pPr>
          <w:r>
            <w:rPr>
              <w:rFonts w:ascii="Calibri" w:eastAsia="Times New Roman" w:hAnsi="Calibri"/>
              <w:color w:val="404040"/>
              <w:szCs w:val="20"/>
            </w:rPr>
            <w:t>10</w:t>
          </w:r>
        </w:p>
      </w:tc>
    </w:tr>
    <w:tr w:rsidR="005F3FCF" w:rsidRPr="00BF2DE4" w14:paraId="78607920" w14:textId="77777777" w:rsidTr="005F3FCF">
      <w:trPr>
        <w:trHeight w:val="294"/>
      </w:trPr>
      <w:tc>
        <w:tcPr>
          <w:tcW w:w="2900" w:type="dxa"/>
          <w:tcBorders>
            <w:top w:val="nil"/>
            <w:left w:val="single" w:sz="8" w:space="0" w:color="auto"/>
            <w:bottom w:val="single" w:sz="8" w:space="0" w:color="auto"/>
            <w:right w:val="single" w:sz="8" w:space="0" w:color="auto"/>
          </w:tcBorders>
          <w:shd w:val="clear" w:color="auto" w:fill="auto"/>
          <w:vAlign w:val="center"/>
          <w:hideMark/>
        </w:tcPr>
        <w:p w14:paraId="4C01BA32" w14:textId="77777777" w:rsidR="005F3FCF" w:rsidRPr="00BF2DE4" w:rsidRDefault="005F3FCF" w:rsidP="00816745">
          <w:pPr>
            <w:rPr>
              <w:rFonts w:ascii="Calibri" w:eastAsia="Times New Roman" w:hAnsi="Calibri"/>
              <w:b/>
              <w:bCs/>
              <w:color w:val="404040"/>
              <w:szCs w:val="20"/>
            </w:rPr>
          </w:pPr>
          <w:r w:rsidRPr="00BF2DE4">
            <w:rPr>
              <w:rFonts w:ascii="Calibri" w:eastAsia="Times New Roman" w:hAnsi="Calibri"/>
              <w:b/>
              <w:bCs/>
              <w:color w:val="404040"/>
              <w:szCs w:val="20"/>
            </w:rPr>
            <w:t>Total</w:t>
          </w:r>
        </w:p>
      </w:tc>
      <w:tc>
        <w:tcPr>
          <w:tcW w:w="2000" w:type="dxa"/>
          <w:tcBorders>
            <w:top w:val="nil"/>
            <w:left w:val="nil"/>
            <w:bottom w:val="single" w:sz="8" w:space="0" w:color="auto"/>
            <w:right w:val="single" w:sz="8" w:space="0" w:color="auto"/>
          </w:tcBorders>
          <w:shd w:val="clear" w:color="auto" w:fill="auto"/>
          <w:vAlign w:val="center"/>
          <w:hideMark/>
        </w:tcPr>
        <w:p w14:paraId="7950F77D" w14:textId="77777777" w:rsidR="005F3FCF" w:rsidRPr="00BF2DE4" w:rsidRDefault="005F3FCF" w:rsidP="00816745">
          <w:pPr>
            <w:jc w:val="center"/>
            <w:rPr>
              <w:rFonts w:ascii="Calibri" w:eastAsia="Times New Roman" w:hAnsi="Calibri"/>
              <w:b/>
              <w:bCs/>
              <w:color w:val="404040"/>
              <w:szCs w:val="20"/>
            </w:rPr>
          </w:pPr>
          <w:r>
            <w:rPr>
              <w:rFonts w:ascii="Calibri" w:eastAsia="Times New Roman" w:hAnsi="Calibri"/>
              <w:b/>
              <w:bCs/>
              <w:color w:val="404040"/>
              <w:szCs w:val="20"/>
            </w:rPr>
            <w:t>2,589</w:t>
          </w:r>
        </w:p>
      </w:tc>
      <w:tc>
        <w:tcPr>
          <w:tcW w:w="1340" w:type="dxa"/>
          <w:tcBorders>
            <w:top w:val="nil"/>
            <w:left w:val="nil"/>
            <w:bottom w:val="single" w:sz="8" w:space="0" w:color="auto"/>
            <w:right w:val="single" w:sz="8" w:space="0" w:color="auto"/>
          </w:tcBorders>
          <w:shd w:val="clear" w:color="auto" w:fill="auto"/>
          <w:vAlign w:val="center"/>
          <w:hideMark/>
        </w:tcPr>
        <w:p w14:paraId="323362C2" w14:textId="77777777" w:rsidR="005F3FCF" w:rsidRPr="00BF2DE4" w:rsidRDefault="005F3FCF" w:rsidP="00816745">
          <w:pPr>
            <w:jc w:val="center"/>
            <w:rPr>
              <w:rFonts w:ascii="Calibri" w:eastAsia="Times New Roman" w:hAnsi="Calibri"/>
              <w:b/>
              <w:color w:val="404040"/>
              <w:szCs w:val="20"/>
            </w:rPr>
          </w:pPr>
          <w:r>
            <w:rPr>
              <w:rFonts w:ascii="Calibri" w:eastAsia="Times New Roman" w:hAnsi="Calibri"/>
              <w:b/>
              <w:color w:val="404040"/>
              <w:szCs w:val="20"/>
            </w:rPr>
            <w:t>362</w:t>
          </w:r>
        </w:p>
      </w:tc>
    </w:tr>
  </w:tbl>
  <w:p w14:paraId="2813B9DC" w14:textId="77777777" w:rsidR="005F3FCF" w:rsidRDefault="005F3FCF" w:rsidP="00B10F1E"/>
  <w:p w14:paraId="17CE02DE" w14:textId="77777777" w:rsidR="005F3FCF" w:rsidRPr="00407732" w:rsidRDefault="005F3FCF" w:rsidP="00B10F1E">
    <w:pPr>
      <w:spacing w:line="360" w:lineRule="auto"/>
      <w:rPr>
        <w:rFonts w:ascii="Calibri" w:hAnsi="Calibri" w:cs="Calibri"/>
        <w:color w:val="404040"/>
        <w:szCs w:val="20"/>
      </w:rPr>
    </w:pPr>
    <w:r w:rsidRPr="00407732">
      <w:rPr>
        <w:rFonts w:ascii="Calibri" w:hAnsi="Calibri" w:cs="Calibri"/>
        <w:color w:val="404040"/>
        <w:szCs w:val="20"/>
      </w:rPr>
      <w:t>The goals outlined in Salt Lake City’s 2015-2019 Consolidated Plan, Neighborhoods of Opportunity, provided direction for program year 2017-2018 projects and activities. The Consolidated Plan encourages capacity in neighborhoods with concentrated poverty and supported at risk populations by prioritizing goals that increased access to housing, education, health, transportation, and economic development.</w:t>
    </w:r>
  </w:p>
  <w:p w14:paraId="5550BF3C" w14:textId="77777777" w:rsidR="005F3FCF" w:rsidRPr="00407732" w:rsidRDefault="005F3FCF" w:rsidP="00B10F1E">
    <w:pPr>
      <w:spacing w:line="360" w:lineRule="auto"/>
      <w:rPr>
        <w:rFonts w:ascii="Calibri" w:hAnsi="Calibri" w:cs="Calibri"/>
        <w:color w:val="404040"/>
        <w:szCs w:val="20"/>
      </w:rPr>
    </w:pPr>
  </w:p>
  <w:p w14:paraId="15C550AB" w14:textId="77777777" w:rsidR="005F3FCF" w:rsidRPr="00407732" w:rsidRDefault="005F3FCF" w:rsidP="00B10F1E">
    <w:pPr>
      <w:spacing w:line="360" w:lineRule="auto"/>
      <w:rPr>
        <w:rFonts w:ascii="Calibri" w:hAnsi="Calibri" w:cs="Calibri"/>
        <w:color w:val="404040"/>
        <w:szCs w:val="20"/>
      </w:rPr>
    </w:pPr>
    <w:r w:rsidRPr="00407732">
      <w:rPr>
        <w:rFonts w:ascii="Calibri" w:hAnsi="Calibri" w:cs="Calibri"/>
        <w:color w:val="404040"/>
        <w:szCs w:val="20"/>
      </w:rPr>
      <w:t>The City worked towards reducing the gap in a number of socioeconomic indicators, such as improving housing affordability, school-readiness of young children, employment skills of at-risk adults, access to transportation for low-income households, and economic diversity within neighborhoods; this progress should lead to more opportunity for lower-income individuals within these neighborhoods and the surrounding areas.</w:t>
    </w:r>
  </w:p>
  <w:p w14:paraId="4DB46ADD" w14:textId="77777777" w:rsidR="005F3FCF" w:rsidRPr="00407732" w:rsidRDefault="005F3FCF" w:rsidP="00B10F1E">
    <w:pPr>
      <w:spacing w:line="360" w:lineRule="auto"/>
      <w:rPr>
        <w:rFonts w:ascii="Calibri" w:hAnsi="Calibri" w:cs="Calibri"/>
        <w:color w:val="404040"/>
        <w:szCs w:val="20"/>
      </w:rPr>
    </w:pPr>
  </w:p>
  <w:p w14:paraId="1D7489B6" w14:textId="77777777" w:rsidR="005F3FCF" w:rsidRPr="00407732" w:rsidRDefault="005F3FCF" w:rsidP="00B10F1E">
    <w:pPr>
      <w:spacing w:line="360" w:lineRule="auto"/>
      <w:rPr>
        <w:rFonts w:ascii="Calibri" w:hAnsi="Calibri" w:cs="Calibri"/>
        <w:color w:val="404040"/>
        <w:szCs w:val="20"/>
      </w:rPr>
    </w:pPr>
    <w:r w:rsidRPr="00407732">
      <w:rPr>
        <w:rFonts w:ascii="Calibri" w:hAnsi="Calibri" w:cs="Calibri"/>
        <w:color w:val="404040"/>
        <w:szCs w:val="20"/>
      </w:rPr>
      <w:t xml:space="preserve">Vulnerable populations continue to need an extensive support system to ensure access to critical resources, services, and housing assistance. The most vulnerable populations include victims of domestic violence, persons living with HIV/AIDS, low-income elderly persons, persons with disabilities, families experiencing homelessness, and the chronically homeless. </w:t>
    </w:r>
  </w:p>
  <w:p w14:paraId="1AD3D466" w14:textId="77777777" w:rsidR="005F3FCF" w:rsidRDefault="005F3FCF" w:rsidP="00B10F1E">
    <w:pPr>
      <w:rPr>
        <w:rFonts w:asciiTheme="minorHAnsi" w:hAnsiTheme="minorHAnsi"/>
        <w:szCs w:val="20"/>
      </w:rPr>
    </w:pPr>
  </w:p>
  <w:p w14:paraId="4B881942" w14:textId="77777777" w:rsidR="005F3FCF" w:rsidRPr="00D73F6A" w:rsidRDefault="005F3FCF" w:rsidP="00D73F6A">
    <w:pPr>
      <w:spacing w:line="276" w:lineRule="auto"/>
      <w:ind w:right="360"/>
      <w:rPr>
        <w:rFonts w:asciiTheme="minorHAnsi" w:hAnsiTheme="minorHAnsi" w:cstheme="minorHAnsi"/>
        <w:i/>
        <w:color w:val="1F497D" w:themeColor="text2"/>
        <w:sz w:val="18"/>
        <w:szCs w:val="18"/>
      </w:rPr>
    </w:pPr>
    <w:r>
      <w:rPr>
        <w:rFonts w:asciiTheme="minorHAnsi" w:hAnsiTheme="minorHAnsi" w:cstheme="minorHAnsi"/>
        <w:b/>
        <w:color w:val="FF0000"/>
        <w:szCs w:val="20"/>
      </w:rPr>
      <w:br w:type="page"/>
    </w:r>
    <w:r w:rsidRPr="00D73F6A">
      <w:rPr>
        <w:rFonts w:asciiTheme="minorHAnsi" w:hAnsiTheme="minorHAnsi" w:cstheme="minorHAnsi"/>
        <w:b/>
        <w:color w:val="1F497D" w:themeColor="text2"/>
        <w:sz w:val="24"/>
      </w:rPr>
      <w:t xml:space="preserve">CR-25 HOMELESS AND OTHER SPECIAL NEEDS– </w:t>
    </w:r>
    <w:r w:rsidRPr="00D73F6A">
      <w:rPr>
        <w:rFonts w:asciiTheme="minorHAnsi" w:hAnsiTheme="minorHAnsi" w:cstheme="minorHAnsi"/>
        <w:i/>
        <w:color w:val="1F497D" w:themeColor="text2"/>
        <w:sz w:val="18"/>
        <w:szCs w:val="18"/>
      </w:rPr>
      <w:t>91.220 (d); 91.220(e); 91.320 (d); 91.320(e); 91.520 (c)</w:t>
    </w:r>
    <w:r>
      <w:rPr>
        <w:rFonts w:asciiTheme="minorHAnsi" w:hAnsiTheme="minorHAnsi" w:cstheme="minorHAnsi"/>
        <w:i/>
        <w:color w:val="1F497D" w:themeColor="text2"/>
        <w:sz w:val="18"/>
        <w:szCs w:val="18"/>
      </w:rPr>
      <w:t xml:space="preserve">  </w:t>
    </w:r>
  </w:p>
  <w:p w14:paraId="3F3DC867" w14:textId="77777777" w:rsidR="005F3FCF" w:rsidRPr="00BF2DE4" w:rsidRDefault="005F3FCF" w:rsidP="00D73F6A">
    <w:pPr>
      <w:rPr>
        <w:rFonts w:ascii="Calibri" w:hAnsi="Calibri" w:cs="Calibri"/>
        <w:b/>
        <w:color w:val="404040"/>
        <w:szCs w:val="20"/>
      </w:rPr>
    </w:pPr>
    <w:r w:rsidRPr="00BF2DE4">
      <w:rPr>
        <w:rFonts w:ascii="Calibri" w:hAnsi="Calibri" w:cs="Calibri"/>
        <w:b/>
        <w:color w:val="404040"/>
        <w:szCs w:val="20"/>
      </w:rPr>
      <w:t>EVALUATE THE CITY’S PROGRESS IN MEETING ITS SPECIFFIC OBJECTIVES FOR REDUCING AND ENDING HOMELESSNESS THROUGH THE FOLLOWING:</w:t>
    </w:r>
  </w:p>
  <w:p w14:paraId="403DDF93" w14:textId="77777777" w:rsidR="005F3FCF" w:rsidRPr="00BF2DE4" w:rsidRDefault="005F3FCF" w:rsidP="00D73F6A">
    <w:pPr>
      <w:rPr>
        <w:rFonts w:ascii="Calibri" w:hAnsi="Calibri" w:cs="Calibri"/>
        <w:b/>
        <w:color w:val="404040"/>
        <w:szCs w:val="20"/>
      </w:rPr>
    </w:pPr>
  </w:p>
  <w:p w14:paraId="20B6E12C" w14:textId="77777777" w:rsidR="005F3FCF" w:rsidRPr="00BF2DE4" w:rsidRDefault="005F3FCF" w:rsidP="00D73F6A">
    <w:pPr>
      <w:spacing w:line="360" w:lineRule="auto"/>
      <w:rPr>
        <w:rFonts w:ascii="Calibri" w:hAnsi="Calibri" w:cs="Calibri"/>
        <w:b/>
        <w:color w:val="404040"/>
        <w:szCs w:val="20"/>
      </w:rPr>
    </w:pPr>
    <w:r w:rsidRPr="00BF2DE4">
      <w:rPr>
        <w:rFonts w:ascii="Calibri" w:hAnsi="Calibri" w:cs="Calibri"/>
        <w:b/>
        <w:color w:val="404040"/>
        <w:szCs w:val="20"/>
      </w:rPr>
      <w:t>How is the City reaching out to homeless persons (especially unsheltered persons) and assessing their individual needs?</w:t>
    </w:r>
  </w:p>
  <w:p w14:paraId="22E91580" w14:textId="77777777" w:rsidR="005F3FCF" w:rsidRDefault="005F3FCF" w:rsidP="00D73F6A">
    <w:pPr>
      <w:spacing w:line="360" w:lineRule="auto"/>
      <w:rPr>
        <w:rFonts w:ascii="Calibri" w:hAnsi="Calibri" w:cs="Calibri"/>
        <w:color w:val="404040"/>
        <w:szCs w:val="20"/>
      </w:rPr>
    </w:pPr>
    <w:r>
      <w:rPr>
        <w:rFonts w:ascii="Calibri" w:hAnsi="Calibri" w:cs="Calibri"/>
        <w:color w:val="404040"/>
        <w:szCs w:val="20"/>
      </w:rPr>
      <w:t>Over the last year, Salt Lake City has participated in a statewide effort to improve services provided to those experiencing homelessness. The City is committed to working alongside community partners to provide both sheltered and unsheltered individual with the basic resources needed to transition individuals from homelessness to stable housing and self-sufficiency. The State of Utah’s Annual Point in Time count provides data that is utilized to assess the current state of homelessness and evaluate the impact of current and proposed projects that serve this vulnerable population.</w:t>
    </w:r>
  </w:p>
  <w:p w14:paraId="62EA9209" w14:textId="77777777" w:rsidR="005F3FCF" w:rsidRDefault="005F3FCF" w:rsidP="00D73F6A">
    <w:pPr>
      <w:spacing w:line="360" w:lineRule="auto"/>
      <w:rPr>
        <w:rFonts w:ascii="Calibri" w:hAnsi="Calibri" w:cs="Calibri"/>
        <w:color w:val="404040"/>
        <w:szCs w:val="20"/>
      </w:rPr>
    </w:pPr>
  </w:p>
  <w:p w14:paraId="5BF1487F" w14:textId="77777777" w:rsidR="005F3FCF" w:rsidRDefault="005F3FCF" w:rsidP="00D73F6A">
    <w:pPr>
      <w:spacing w:line="360" w:lineRule="auto"/>
      <w:rPr>
        <w:rFonts w:ascii="Calibri" w:hAnsi="Calibri" w:cs="Calibri"/>
        <w:color w:val="404040"/>
        <w:szCs w:val="20"/>
      </w:rPr>
    </w:pPr>
    <w:r>
      <w:rPr>
        <w:rFonts w:ascii="Calibri" w:hAnsi="Calibri" w:cs="Calibri"/>
        <w:color w:val="404040"/>
        <w:szCs w:val="20"/>
      </w:rPr>
      <w:t>During the program year, Salt Lake City funded multiple programs serving homeless persons outside of emergency shelter to ensure that all citizens, including unsheltered persons, had access to critical resources. One of these programs was a dental service program for individuals experiencing homelessness. Individuals experiencing homelessness were able to access free dental services, including cleanings, restorations, and preventative care education. During assessment, intake workers coordinate with other agencies to determine eligibility and refer clients to other local service providers for necessary services. Another program provided medical outreach to assess the health needs of unsheltered persons and recommend additional services to enhance the well-being of this population.</w:t>
    </w:r>
  </w:p>
  <w:p w14:paraId="5277192F" w14:textId="77777777" w:rsidR="005F3FCF" w:rsidRPr="00F44D45" w:rsidRDefault="005F3FCF" w:rsidP="00D73F6A">
    <w:pPr>
      <w:spacing w:line="360" w:lineRule="auto"/>
      <w:rPr>
        <w:rFonts w:ascii="Calibri" w:hAnsi="Calibri" w:cs="Calibri"/>
        <w:color w:val="404040"/>
        <w:szCs w:val="20"/>
      </w:rPr>
    </w:pPr>
    <w:r>
      <w:rPr>
        <w:rFonts w:ascii="Calibri" w:hAnsi="Calibri" w:cs="Calibri"/>
        <w:color w:val="404040"/>
        <w:szCs w:val="20"/>
      </w:rPr>
      <w:t xml:space="preserve"> </w:t>
    </w:r>
  </w:p>
  <w:p w14:paraId="3E0E133D" w14:textId="77777777" w:rsidR="005F3FCF" w:rsidRPr="00BF2DE4" w:rsidRDefault="005F3FCF" w:rsidP="00D73F6A">
    <w:pPr>
      <w:spacing w:line="360" w:lineRule="auto"/>
      <w:rPr>
        <w:rFonts w:ascii="Calibri" w:hAnsi="Calibri" w:cs="Calibri"/>
        <w:b/>
        <w:color w:val="404040"/>
        <w:szCs w:val="20"/>
      </w:rPr>
    </w:pPr>
    <w:r w:rsidRPr="00BF2DE4">
      <w:rPr>
        <w:rFonts w:ascii="Calibri" w:hAnsi="Calibri" w:cs="Calibri"/>
        <w:b/>
        <w:color w:val="404040"/>
        <w:szCs w:val="20"/>
      </w:rPr>
      <w:t>How is the City addressing the emergency shelter and transitional housing needs of homeless persons?</w:t>
    </w:r>
  </w:p>
  <w:p w14:paraId="3D04EBF8" w14:textId="77777777" w:rsidR="005F3FCF" w:rsidRDefault="005F3FCF" w:rsidP="00D73F6A">
    <w:pPr>
      <w:spacing w:line="360" w:lineRule="auto"/>
      <w:rPr>
        <w:rFonts w:ascii="Calibri" w:hAnsi="Calibri" w:cs="Calibri"/>
        <w:color w:val="404040"/>
        <w:szCs w:val="20"/>
      </w:rPr>
    </w:pPr>
    <w:r>
      <w:rPr>
        <w:rFonts w:ascii="Calibri" w:hAnsi="Calibri" w:cs="Calibri"/>
        <w:color w:val="404040"/>
        <w:szCs w:val="20"/>
      </w:rPr>
      <w:t xml:space="preserve">Individuals and families experiencing homelessness have a variety of needs at different stages of their homeless experience. The City utilizes federal funding to support emergency shelter programs that give households immediate access to supportive services and provide temporary shelter from the elements. Transitional housing programs operated within the community provide housing for up to 24 months that is coupled with case management and other supportive services that are necessary to establish a more permanent housing situation. </w:t>
    </w:r>
  </w:p>
  <w:p w14:paraId="00DD56A6" w14:textId="77777777" w:rsidR="005F3FCF" w:rsidRDefault="005F3FCF" w:rsidP="00D73F6A">
    <w:pPr>
      <w:spacing w:line="360" w:lineRule="auto"/>
      <w:rPr>
        <w:rFonts w:ascii="Calibri" w:hAnsi="Calibri" w:cs="Calibri"/>
        <w:color w:val="404040"/>
        <w:szCs w:val="20"/>
      </w:rPr>
    </w:pPr>
  </w:p>
  <w:p w14:paraId="4651D1B5" w14:textId="77777777" w:rsidR="005F3FCF" w:rsidRDefault="005F3FCF" w:rsidP="00D73F6A">
    <w:pPr>
      <w:spacing w:line="360" w:lineRule="auto"/>
      <w:rPr>
        <w:rFonts w:ascii="Calibri" w:hAnsi="Calibri" w:cs="Calibri"/>
        <w:color w:val="404040"/>
        <w:szCs w:val="20"/>
      </w:rPr>
    </w:pPr>
    <w:r>
      <w:rPr>
        <w:rFonts w:ascii="Calibri" w:hAnsi="Calibri" w:cs="Calibri"/>
        <w:color w:val="404040"/>
        <w:szCs w:val="20"/>
      </w:rPr>
      <w:t xml:space="preserve">ESG, HOME, and HOPWA federal grant funding is provided to local nonprofit agencies that specialize in providing housing assistance and supportive services that help households exit homelessness and enter housing stability. During the program year, the City provided federal funding support to multiple emergency shelter providers. ESG funding supported operations at the Youth Resource Center operated by Volunteers of America, Utah; this location provides emergency shelter, education and employment services, and case management to homeless street youths ages 15-24. This resource center is a critical piece of the homeless service continuum in Salt Lake City, as homeless youth under 18 are unable to access other emergency shelters due to state law. Additionally, the City supports programs that address the emergency shelter and housing needs of homeless persons through City general funds. </w:t>
    </w:r>
  </w:p>
  <w:p w14:paraId="4BE6D775" w14:textId="77777777" w:rsidR="005F3FCF" w:rsidRDefault="005F3FCF" w:rsidP="00D73F6A">
    <w:pPr>
      <w:spacing w:line="360" w:lineRule="auto"/>
      <w:rPr>
        <w:rFonts w:ascii="Calibri" w:hAnsi="Calibri" w:cs="Calibri"/>
        <w:color w:val="404040"/>
        <w:szCs w:val="20"/>
      </w:rPr>
    </w:pPr>
  </w:p>
  <w:p w14:paraId="71E48C7A" w14:textId="77777777" w:rsidR="005F3FCF" w:rsidRDefault="005F3FCF" w:rsidP="00D73F6A">
    <w:pPr>
      <w:spacing w:line="360" w:lineRule="auto"/>
      <w:rPr>
        <w:rFonts w:ascii="Calibri" w:hAnsi="Calibri" w:cs="Calibri"/>
        <w:color w:val="404040"/>
        <w:szCs w:val="20"/>
      </w:rPr>
    </w:pPr>
    <w:r>
      <w:rPr>
        <w:rFonts w:ascii="Calibri" w:hAnsi="Calibri" w:cs="Calibri"/>
        <w:color w:val="404040"/>
        <w:szCs w:val="20"/>
      </w:rPr>
      <w:t xml:space="preserve">Over the last year, the City has participated in a statewide evaluation of the current emergency shelter model in Salt Lake and received valuable input from the community, including service providers, citizens, and households experiencing in homeless. New homeless resource centers are under construction and requests for proposals for operating these centers have been completed by a nonprofit agency. As the emergency shelter model transitions over the next two years, the City will be evaluating outcomes and gathering additional community input on determining how to best support the new facilities. </w:t>
    </w:r>
  </w:p>
  <w:p w14:paraId="67EE1084" w14:textId="77777777" w:rsidR="005F3FCF" w:rsidRPr="008C02C9" w:rsidRDefault="005F3FCF" w:rsidP="00D73F6A">
    <w:pPr>
      <w:spacing w:line="360" w:lineRule="auto"/>
      <w:rPr>
        <w:rFonts w:ascii="Calibri" w:hAnsi="Calibri" w:cs="Calibri"/>
        <w:color w:val="404040"/>
        <w:szCs w:val="20"/>
      </w:rPr>
    </w:pPr>
  </w:p>
  <w:p w14:paraId="32FC7CE2" w14:textId="77777777" w:rsidR="005F3FCF" w:rsidRPr="00BF2DE4" w:rsidRDefault="005F3FCF" w:rsidP="00D73F6A">
    <w:pPr>
      <w:spacing w:line="360" w:lineRule="auto"/>
      <w:rPr>
        <w:rFonts w:ascii="Calibri" w:hAnsi="Calibri" w:cs="Calibri"/>
        <w:b/>
        <w:color w:val="404040"/>
        <w:szCs w:val="20"/>
      </w:rPr>
    </w:pPr>
    <w:r w:rsidRPr="00BF2DE4">
      <w:rPr>
        <w:rFonts w:ascii="Calibri" w:hAnsi="Calibri" w:cs="Calibri"/>
        <w:b/>
        <w:color w:val="404040"/>
        <w:szCs w:val="20"/>
      </w:rPr>
      <w:t>How is the City helping low-income individuals and families avoid becoming homeless, especially extremely low-income individuals and families and those who are likely to become homeless after being discharged from publicly funded institutions and systems of care (such as health care facilities, mental health facilities, foster care and other youth facilities, and corrections programs and institutions); and, receiving assistance from public or private agencies that address housing, health, social services, employment, education or youth needs?</w:t>
    </w:r>
  </w:p>
  <w:p w14:paraId="1B4FB748" w14:textId="77777777" w:rsidR="005F3FCF" w:rsidRDefault="005F3FCF" w:rsidP="00D73F6A">
    <w:pPr>
      <w:spacing w:line="360" w:lineRule="auto"/>
      <w:rPr>
        <w:rFonts w:ascii="Calibri" w:hAnsi="Calibri" w:cs="Calibri"/>
        <w:color w:val="404040"/>
        <w:szCs w:val="20"/>
      </w:rPr>
    </w:pPr>
  </w:p>
  <w:p w14:paraId="5C36FC14" w14:textId="77777777" w:rsidR="005F3FCF" w:rsidRDefault="005F3FCF" w:rsidP="00D73F6A">
    <w:pPr>
      <w:spacing w:line="360" w:lineRule="auto"/>
      <w:rPr>
        <w:rFonts w:ascii="Calibri" w:hAnsi="Calibri" w:cs="Calibri"/>
        <w:color w:val="404040"/>
        <w:szCs w:val="20"/>
      </w:rPr>
    </w:pPr>
    <w:r>
      <w:rPr>
        <w:rFonts w:ascii="Calibri" w:hAnsi="Calibri" w:cs="Calibri"/>
        <w:color w:val="404040"/>
        <w:szCs w:val="20"/>
      </w:rPr>
      <w:t xml:space="preserve">The City works with participating agencies in the Salt Lake County Continuum of Care to divert families and individuals from entering the homeless service system and prevent households at imminent risk of homelessness from losing housing stability. The City regularly participates in meetings with other service providers and partners to discuss individuals being discharged from publicly funded institutions to coordinate housing options available immediately upon release. Agencies such as Utah Community Action and The Road Home provide funding to stabilize families and veterans who are at imminent risk for homelessness. Prevention and diversion staff, funded by Salt Lake County and the State of Utah, are present at emergency shelters and in close contact with other public agencies to help households avoid experiencing homelessness. </w:t>
    </w:r>
  </w:p>
  <w:p w14:paraId="44716A93" w14:textId="77777777" w:rsidR="005F3FCF" w:rsidRDefault="005F3FCF" w:rsidP="00D73F6A">
    <w:pPr>
      <w:spacing w:line="360" w:lineRule="auto"/>
      <w:rPr>
        <w:rFonts w:ascii="Calibri" w:hAnsi="Calibri" w:cs="Calibri"/>
        <w:b/>
        <w:color w:val="404040"/>
        <w:szCs w:val="20"/>
      </w:rPr>
    </w:pPr>
  </w:p>
  <w:p w14:paraId="4E12650A" w14:textId="77777777" w:rsidR="005F3FCF" w:rsidRPr="00BF2DE4" w:rsidRDefault="005F3FCF" w:rsidP="00D73F6A">
    <w:pPr>
      <w:spacing w:line="360" w:lineRule="auto"/>
      <w:rPr>
        <w:rFonts w:ascii="Calibri" w:hAnsi="Calibri" w:cs="Calibri"/>
        <w:b/>
        <w:color w:val="404040"/>
        <w:szCs w:val="20"/>
      </w:rPr>
    </w:pPr>
    <w:r w:rsidRPr="00BF2DE4">
      <w:rPr>
        <w:rFonts w:ascii="Calibri" w:hAnsi="Calibri" w:cs="Calibri"/>
        <w:b/>
        <w:color w:val="404040"/>
        <w:szCs w:val="20"/>
      </w:rPr>
      <w:t>How is the City 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14:paraId="32BB1018" w14:textId="77777777" w:rsidR="005F3FCF" w:rsidRPr="00BF2DE4" w:rsidRDefault="005F3FCF" w:rsidP="00D73F6A">
    <w:pPr>
      <w:rPr>
        <w:rFonts w:asciiTheme="minorHAnsi" w:hAnsiTheme="minorHAnsi"/>
        <w:szCs w:val="20"/>
      </w:rPr>
    </w:pPr>
  </w:p>
  <w:p w14:paraId="4D652BEE" w14:textId="77777777" w:rsidR="005F3FCF" w:rsidRDefault="005F3FCF" w:rsidP="00D73F6A">
    <w:pPr>
      <w:spacing w:line="360" w:lineRule="auto"/>
      <w:rPr>
        <w:rFonts w:ascii="Calibri" w:hAnsi="Calibri" w:cs="Calibri"/>
        <w:color w:val="404040"/>
        <w:szCs w:val="20"/>
      </w:rPr>
    </w:pPr>
    <w:r>
      <w:rPr>
        <w:rFonts w:ascii="Calibri" w:hAnsi="Calibri" w:cs="Calibri"/>
        <w:color w:val="404040"/>
        <w:szCs w:val="20"/>
      </w:rPr>
      <w:t xml:space="preserve">Salt Lake City, along with its service partners, work with individuals experiencing homelessness to assist them with transitioning from living on the streets or in emergency shelter to permanent housing and self-sufficiency. To that end, the City works with local developers to prioritize housing projects with units that are affordable. The mayor and city council have supported City efforts to make affordable housing more attractive to developers through fee waivers and deferred loan payments. </w:t>
    </w:r>
  </w:p>
  <w:p w14:paraId="3D5320AE" w14:textId="77777777" w:rsidR="005F3FCF" w:rsidRDefault="005F3FCF" w:rsidP="00D73F6A">
    <w:pPr>
      <w:spacing w:line="360" w:lineRule="auto"/>
      <w:rPr>
        <w:rFonts w:ascii="Calibri" w:hAnsi="Calibri" w:cs="Calibri"/>
        <w:color w:val="404040"/>
        <w:szCs w:val="20"/>
      </w:rPr>
    </w:pPr>
  </w:p>
  <w:p w14:paraId="3919772C" w14:textId="77777777" w:rsidR="005F3FCF" w:rsidRPr="00955F80" w:rsidRDefault="005F3FCF" w:rsidP="00D73F6A">
    <w:pPr>
      <w:spacing w:line="360" w:lineRule="auto"/>
      <w:rPr>
        <w:rFonts w:ascii="Calibri" w:hAnsi="Calibri" w:cs="Calibri"/>
        <w:color w:val="404040"/>
        <w:szCs w:val="20"/>
      </w:rPr>
    </w:pPr>
    <w:r>
      <w:rPr>
        <w:rFonts w:ascii="Calibri" w:hAnsi="Calibri" w:cs="Calibri"/>
        <w:color w:val="404040"/>
        <w:szCs w:val="20"/>
      </w:rPr>
      <w:t xml:space="preserve">Last program year, HAND developed a new affordable housing plan, </w:t>
    </w:r>
    <w:r>
      <w:rPr>
        <w:rFonts w:ascii="Calibri" w:hAnsi="Calibri" w:cs="Calibri"/>
        <w:i/>
        <w:color w:val="404040"/>
        <w:szCs w:val="20"/>
      </w:rPr>
      <w:t>Growing SLC</w:t>
    </w:r>
    <w:r>
      <w:rPr>
        <w:rFonts w:ascii="Calibri" w:hAnsi="Calibri" w:cs="Calibri"/>
        <w:color w:val="404040"/>
        <w:szCs w:val="20"/>
      </w:rPr>
      <w:t xml:space="preserve">, which was the first comprehensive, citywide housing plan in Salt Lake in nearly two decades. This plan has guided staff in conversations regarding the creation of new tools to build affordable units. The City released a Renovation Pilot Program at the end of the program year; this program was created to ensure that currently existing affordable units are preserved and not lost to market rate increases. The program emphasized the need for rehabilitation of existing housing stock to ensure that affordable units are safe, decent, and structurally sound. Funding for this program will be awarded during the 2018-2019 program year. </w:t>
    </w:r>
  </w:p>
  <w:p w14:paraId="20FDA329" w14:textId="77777777" w:rsidR="005F3FCF" w:rsidRDefault="005F3FCF" w:rsidP="00D73F6A"/>
  <w:p w14:paraId="3D691D02" w14:textId="77777777" w:rsidR="005F3FCF" w:rsidRPr="00BF2DE4" w:rsidRDefault="005F3FCF" w:rsidP="00C91F30">
    <w:pPr>
      <w:rPr>
        <w:rFonts w:ascii="Calibri" w:hAnsi="Calibri" w:cs="Calibri"/>
        <w:i/>
        <w:color w:val="FF0000"/>
        <w:sz w:val="18"/>
        <w:szCs w:val="18"/>
      </w:rPr>
    </w:pPr>
    <w:r>
      <w:rPr>
        <w:rFonts w:asciiTheme="minorHAnsi" w:hAnsiTheme="minorHAnsi" w:cstheme="minorHAnsi"/>
        <w:b/>
        <w:color w:val="FF0000"/>
        <w:szCs w:val="20"/>
      </w:rPr>
      <w:br w:type="page"/>
    </w:r>
    <w:r w:rsidRPr="00C91F30">
      <w:rPr>
        <w:rFonts w:ascii="Calibri" w:hAnsi="Calibri" w:cs="Calibri"/>
        <w:b/>
        <w:color w:val="1F497D"/>
        <w:sz w:val="24"/>
      </w:rPr>
      <w:t xml:space="preserve"> CR-30 PUBLIC HOUSING </w:t>
    </w:r>
    <w:r w:rsidRPr="00BF2DE4">
      <w:rPr>
        <w:rFonts w:ascii="Calibri" w:hAnsi="Calibri" w:cs="Calibri"/>
        <w:i/>
        <w:color w:val="1F497D"/>
        <w:sz w:val="18"/>
        <w:szCs w:val="18"/>
      </w:rPr>
      <w:t xml:space="preserve">– 91.220 (h); 91.320(j) </w:t>
    </w:r>
  </w:p>
  <w:p w14:paraId="048AA9A6" w14:textId="77777777" w:rsidR="005F3FCF" w:rsidRPr="00BF2DE4" w:rsidRDefault="005F3FCF" w:rsidP="00C91F30">
    <w:pPr>
      <w:spacing w:line="276" w:lineRule="auto"/>
      <w:ind w:right="360"/>
      <w:rPr>
        <w:rFonts w:ascii="Calibri" w:hAnsi="Calibri" w:cs="Calibri"/>
        <w:b/>
        <w:color w:val="FF0000"/>
        <w:szCs w:val="20"/>
      </w:rPr>
    </w:pPr>
  </w:p>
  <w:p w14:paraId="569B0990" w14:textId="77777777" w:rsidR="005F3FCF" w:rsidRDefault="005F3FCF" w:rsidP="00C91F30">
    <w:pPr>
      <w:spacing w:line="360" w:lineRule="auto"/>
      <w:ind w:right="360"/>
      <w:rPr>
        <w:rFonts w:ascii="Calibri" w:hAnsi="Calibri" w:cs="Calibri"/>
        <w:b/>
        <w:color w:val="404040"/>
        <w:szCs w:val="20"/>
      </w:rPr>
    </w:pPr>
    <w:r w:rsidRPr="00BF2DE4">
      <w:rPr>
        <w:rFonts w:ascii="Calibri" w:hAnsi="Calibri" w:cs="Calibri"/>
        <w:b/>
        <w:color w:val="404040"/>
        <w:szCs w:val="20"/>
      </w:rPr>
      <w:t xml:space="preserve">Actions taken to address the needs of public housing </w:t>
    </w:r>
  </w:p>
  <w:p w14:paraId="14CAC55D" w14:textId="77777777" w:rsidR="005F3FCF" w:rsidRDefault="005F3FCF" w:rsidP="00C91F30">
    <w:pPr>
      <w:spacing w:line="360" w:lineRule="auto"/>
      <w:ind w:right="360"/>
      <w:rPr>
        <w:rFonts w:ascii="Calibri" w:hAnsi="Calibri" w:cs="Calibri"/>
        <w:color w:val="404040"/>
        <w:szCs w:val="20"/>
      </w:rPr>
    </w:pPr>
    <w:r>
      <w:rPr>
        <w:rFonts w:ascii="Calibri" w:hAnsi="Calibri" w:cs="Calibri"/>
        <w:color w:val="404040"/>
        <w:szCs w:val="20"/>
      </w:rPr>
      <w:t xml:space="preserve">The Housing Authority of Salt Lake City (HASLC) is the responsible agency for administering housing choice voucher programs, managing public housing, and developing and preserving affordable housing units with Salt Lake City. The mission of the HASLC is to provide rent subsidies and promote affordable housing for low-income persons residing within Salt Lake City. The HASLC currently manages an inventory of 389 public housing units designated for low-income seniors and people with disabilities. </w:t>
    </w:r>
  </w:p>
  <w:p w14:paraId="4202316A" w14:textId="77777777" w:rsidR="005F3FCF" w:rsidRDefault="005F3FCF" w:rsidP="00C91F30">
    <w:pPr>
      <w:spacing w:line="360" w:lineRule="auto"/>
      <w:ind w:right="360"/>
      <w:rPr>
        <w:rFonts w:ascii="Calibri" w:hAnsi="Calibri" w:cs="Calibri"/>
        <w:color w:val="404040"/>
        <w:szCs w:val="20"/>
      </w:rPr>
    </w:pPr>
  </w:p>
  <w:p w14:paraId="692E84ED" w14:textId="77777777" w:rsidR="005F3FCF" w:rsidRDefault="005F3FCF" w:rsidP="00C91F30">
    <w:pPr>
      <w:spacing w:line="360" w:lineRule="auto"/>
      <w:ind w:right="360"/>
      <w:rPr>
        <w:rFonts w:ascii="Calibri" w:hAnsi="Calibri" w:cs="Calibri"/>
        <w:color w:val="404040"/>
        <w:szCs w:val="20"/>
      </w:rPr>
    </w:pPr>
    <w:r>
      <w:rPr>
        <w:rFonts w:ascii="Calibri" w:hAnsi="Calibri" w:cs="Calibri"/>
        <w:color w:val="404040"/>
        <w:szCs w:val="20"/>
      </w:rPr>
      <w:t xml:space="preserve">The HASLC manages multiple voucher programs that provide housing subsidies to a variety of low-income populations, including veterans, victims of domestic violence, and chronically homeless individuals. The HASLC administers the Housing Choice Voucher program within City boundaries, which provides rental assistance to households at or below 50% of AMI. Approximately 2,800 low-income families, individuals with disabilities, elderly persons, and chronically homeless individuals benefit from this program. Other housing choice voucher programs administered by the HASLC include Veterans Affairs Supportive Housing Vouchers, Shelter Plus Care Vouchers, Section 8 Moderate Rehabilitation, and Multifamily Project Based Vouchers. HASCL has also partnered with GIV to begin development of a new 100 unit PSH project, Pamela’s Place. </w:t>
    </w:r>
  </w:p>
  <w:p w14:paraId="38AE54A3" w14:textId="77777777" w:rsidR="005F3FCF" w:rsidRPr="00592656" w:rsidRDefault="005F3FCF" w:rsidP="00C91F30">
    <w:pPr>
      <w:spacing w:line="360" w:lineRule="auto"/>
      <w:ind w:right="360"/>
      <w:rPr>
        <w:rFonts w:ascii="Calibri" w:hAnsi="Calibri" w:cs="Calibri"/>
        <w:color w:val="404040"/>
        <w:szCs w:val="20"/>
      </w:rPr>
    </w:pPr>
  </w:p>
  <w:p w14:paraId="12F1B135" w14:textId="77777777" w:rsidR="005F3FCF" w:rsidRDefault="005F3FCF" w:rsidP="00C91F30">
    <w:pPr>
      <w:spacing w:line="360" w:lineRule="auto"/>
      <w:ind w:right="360"/>
      <w:rPr>
        <w:rFonts w:ascii="Calibri" w:hAnsi="Calibri" w:cs="Calibri"/>
        <w:color w:val="404040"/>
        <w:szCs w:val="20"/>
      </w:rPr>
    </w:pPr>
    <w:r>
      <w:rPr>
        <w:rFonts w:ascii="Calibri" w:hAnsi="Calibri" w:cs="Calibri"/>
        <w:color w:val="404040"/>
        <w:szCs w:val="20"/>
      </w:rPr>
      <w:t xml:space="preserve">Additionally, the HASLC has heavily pursued funding opportunities for new affordable housing developments over the past year. Projects currently in development include a permanent supportive housing complex with an onsite clinic and 100 units for chronically homeless individuals, a unique housing complex of 54 units created in partnership with the Urban Indian Center, a local nonprofit, designed to target the unique needs of the low-income Native American homeless population, and an 83 unit building, designed with the Asian Association of Utah, projected to serve homeless refugee and immigrant households. </w:t>
    </w:r>
  </w:p>
  <w:p w14:paraId="5D27F660" w14:textId="77777777" w:rsidR="005F3FCF" w:rsidRDefault="005F3FCF" w:rsidP="00C91F30">
    <w:pPr>
      <w:spacing w:line="360" w:lineRule="auto"/>
      <w:ind w:right="360"/>
      <w:rPr>
        <w:rFonts w:ascii="Calibri" w:hAnsi="Calibri" w:cs="Calibri"/>
        <w:color w:val="404040"/>
        <w:szCs w:val="20"/>
      </w:rPr>
    </w:pPr>
  </w:p>
  <w:p w14:paraId="61239C96" w14:textId="77777777" w:rsidR="005F3FCF" w:rsidRPr="00DD16E4" w:rsidRDefault="005F3FCF" w:rsidP="00C91F30">
    <w:pPr>
      <w:spacing w:line="360" w:lineRule="auto"/>
      <w:ind w:right="360"/>
      <w:rPr>
        <w:rFonts w:ascii="Calibri" w:hAnsi="Calibri" w:cs="Calibri"/>
        <w:color w:val="404040"/>
        <w:szCs w:val="20"/>
      </w:rPr>
    </w:pPr>
    <w:r>
      <w:rPr>
        <w:rFonts w:ascii="Calibri" w:hAnsi="Calibri" w:cs="Calibri"/>
        <w:color w:val="404040"/>
        <w:szCs w:val="20"/>
      </w:rPr>
      <w:t xml:space="preserve">During the program year, the Housing Authority of the County of Salt Lake opened a 60 unit transit-oriented affordable housing complex for persons with disabilities and chronically homeless individuals. The Housing Authority of the County of Salt Lake is in the process of securing funding for a 50 unit complex that will serve homeless refugee and immigrant families with larger household sizes. This project is a partnership between the County Housing Authority and the International Rescue Committee in Salt Lake City and is expected to be completed within the next three years. </w:t>
    </w:r>
  </w:p>
  <w:p w14:paraId="2E3B0CEC" w14:textId="77777777" w:rsidR="005F3FCF" w:rsidRPr="00BF2DE4" w:rsidRDefault="005F3FCF" w:rsidP="00C91F30">
    <w:pPr>
      <w:spacing w:line="360" w:lineRule="auto"/>
      <w:ind w:right="360"/>
      <w:rPr>
        <w:rFonts w:ascii="Calibri" w:hAnsi="Calibri" w:cs="Calibri"/>
        <w:b/>
        <w:color w:val="404040"/>
        <w:szCs w:val="20"/>
      </w:rPr>
    </w:pPr>
  </w:p>
  <w:p w14:paraId="2A6B78D3" w14:textId="77777777" w:rsidR="005F3FCF" w:rsidRDefault="005F3FCF" w:rsidP="00C91F30">
    <w:pPr>
      <w:spacing w:line="360" w:lineRule="auto"/>
      <w:rPr>
        <w:rFonts w:ascii="Calibri" w:hAnsi="Calibri" w:cs="Arial"/>
        <w:b/>
        <w:color w:val="404040"/>
      </w:rPr>
    </w:pPr>
    <w:r w:rsidRPr="00BF2DE4">
      <w:rPr>
        <w:rFonts w:ascii="Calibri" w:hAnsi="Calibri" w:cs="Arial"/>
        <w:b/>
        <w:color w:val="404040"/>
      </w:rPr>
      <w:t>Payment in Lieu of Taxes:</w:t>
    </w:r>
  </w:p>
  <w:p w14:paraId="78070E3E" w14:textId="77777777" w:rsidR="005F3FCF" w:rsidRDefault="005F3FCF" w:rsidP="00C91F30">
    <w:pPr>
      <w:spacing w:line="360" w:lineRule="auto"/>
      <w:rPr>
        <w:rFonts w:ascii="Calibri" w:hAnsi="Calibri" w:cs="Arial"/>
        <w:color w:val="404040"/>
      </w:rPr>
    </w:pPr>
    <w:r>
      <w:rPr>
        <w:rFonts w:ascii="Calibri" w:hAnsi="Calibri" w:cs="Arial"/>
        <w:color w:val="404040"/>
      </w:rPr>
      <w:t xml:space="preserve">The City provides support to the Housing Authority through the Housing Authority Payment in Lieu of Taxes (PILOT) funds it pays. This contribution supports the Homeless Programs administered by the HASLC. These programs include Sunrise Metro Apartments, a permanent supportive housing complex for chronically homeless individuals, Valor House, a transitional housing complex for homeless veterans with extensive supportive services provided by the local Department of Veterans Affairs, and Freedom Landing and Cedar Crest, two properties for homeless or formerly homeless veterans. </w:t>
    </w:r>
  </w:p>
  <w:p w14:paraId="41BA4753" w14:textId="77777777" w:rsidR="005F3FCF" w:rsidRPr="00BF2DE4" w:rsidRDefault="005F3FCF" w:rsidP="00C91F30">
    <w:pPr>
      <w:spacing w:line="360" w:lineRule="auto"/>
      <w:rPr>
        <w:rFonts w:ascii="Calibri" w:hAnsi="Calibri" w:cs="Arial"/>
        <w:color w:val="404040"/>
      </w:rPr>
    </w:pPr>
  </w:p>
  <w:p w14:paraId="224F1D16" w14:textId="77777777" w:rsidR="005F3FCF" w:rsidRDefault="005F3FCF" w:rsidP="00C91F30">
    <w:pPr>
      <w:spacing w:line="360" w:lineRule="auto"/>
      <w:ind w:right="360"/>
      <w:rPr>
        <w:rFonts w:ascii="Calibri" w:hAnsi="Calibri" w:cs="Arial"/>
        <w:b/>
        <w:color w:val="404040"/>
      </w:rPr>
    </w:pPr>
    <w:r w:rsidRPr="00BF2DE4">
      <w:rPr>
        <w:rFonts w:ascii="Calibri" w:hAnsi="Calibri" w:cs="Arial"/>
        <w:b/>
        <w:color w:val="404040"/>
      </w:rPr>
      <w:t xml:space="preserve">Actions taken to encourage public housing residents to become more involved in management and participate in homeownership </w:t>
    </w:r>
  </w:p>
  <w:p w14:paraId="501B97FA" w14:textId="77777777" w:rsidR="005F3FCF" w:rsidRDefault="005F3FCF" w:rsidP="00C91F30">
    <w:pPr>
      <w:spacing w:line="360" w:lineRule="auto"/>
      <w:ind w:right="360"/>
      <w:rPr>
        <w:rFonts w:ascii="Calibri" w:hAnsi="Calibri" w:cs="Arial"/>
        <w:color w:val="404040"/>
      </w:rPr>
    </w:pPr>
    <w:r>
      <w:rPr>
        <w:rFonts w:ascii="Calibri" w:hAnsi="Calibri" w:cs="Arial"/>
        <w:color w:val="404040"/>
      </w:rPr>
      <w:t>The City and County Housing Authorities provide opportunities to tenant residents to provide feedback and suggestions to enhance how management impacts residents. Each organization has resident advisory boards for select housing projects and for the overall organization. Meetings are held on a regular basis to allow residents to describe their experiences in housing and have a healthy dialogue with management regarding unmet needs and service improvements.</w:t>
    </w:r>
  </w:p>
  <w:p w14:paraId="4DA23A7F" w14:textId="77777777" w:rsidR="005F3FCF" w:rsidRDefault="005F3FCF" w:rsidP="00C91F30">
    <w:pPr>
      <w:spacing w:line="360" w:lineRule="auto"/>
      <w:ind w:right="360"/>
      <w:rPr>
        <w:rFonts w:ascii="Calibri" w:hAnsi="Calibri" w:cs="Arial"/>
        <w:color w:val="404040"/>
      </w:rPr>
    </w:pPr>
  </w:p>
  <w:p w14:paraId="63AAEA75" w14:textId="77777777" w:rsidR="005F3FCF" w:rsidRDefault="005F3FCF" w:rsidP="00C91F30">
    <w:pPr>
      <w:spacing w:line="360" w:lineRule="auto"/>
      <w:ind w:right="360"/>
      <w:rPr>
        <w:rFonts w:ascii="Calibri" w:hAnsi="Calibri" w:cs="Arial"/>
        <w:color w:val="404040"/>
      </w:rPr>
    </w:pPr>
    <w:r>
      <w:rPr>
        <w:rFonts w:ascii="Calibri" w:hAnsi="Calibri" w:cs="Arial"/>
        <w:color w:val="404040"/>
      </w:rPr>
      <w:t>Housing case managers assess each client on an individual basis to determine the best course of action regarding the client’s housing stability. Clients who are interested in home ownership and ready to move forward with a new housing opportunity are referred to community partners who provide pre-purchase home counseling. There are multiple organizations within the City that provide such counseling and other services relevant to homeownership for low-income families, such as down payment assistance, including Community Development Corporation of Utah and Neighborworks America, Salt Lake.</w:t>
    </w:r>
  </w:p>
  <w:p w14:paraId="2EF17FEB" w14:textId="77777777" w:rsidR="005F3FCF" w:rsidRPr="00BF2DE4" w:rsidRDefault="005F3FCF" w:rsidP="00C91F30">
    <w:pPr>
      <w:spacing w:line="360" w:lineRule="auto"/>
      <w:ind w:right="360"/>
      <w:rPr>
        <w:rFonts w:ascii="Calibri" w:hAnsi="Calibri" w:cs="Arial"/>
        <w:color w:val="404040"/>
      </w:rPr>
    </w:pPr>
  </w:p>
  <w:p w14:paraId="01C5260E" w14:textId="77777777" w:rsidR="005F3FCF" w:rsidRPr="00BF2DE4" w:rsidRDefault="005F3FCF" w:rsidP="00C91F30">
    <w:pPr>
      <w:spacing w:line="360" w:lineRule="auto"/>
      <w:ind w:right="360"/>
      <w:rPr>
        <w:rFonts w:ascii="Calibri" w:hAnsi="Calibri" w:cs="Calibri"/>
        <w:b/>
        <w:color w:val="404040"/>
        <w:szCs w:val="20"/>
      </w:rPr>
    </w:pPr>
    <w:r w:rsidRPr="00BF2DE4">
      <w:rPr>
        <w:rFonts w:ascii="Calibri" w:hAnsi="Calibri" w:cs="Calibri"/>
        <w:b/>
        <w:color w:val="404040"/>
        <w:szCs w:val="20"/>
      </w:rPr>
      <w:t xml:space="preserve">Actions taken to provide assistance to troubled PHA’s  </w:t>
    </w:r>
  </w:p>
  <w:p w14:paraId="035185BC" w14:textId="77777777" w:rsidR="005F3FCF" w:rsidRPr="00BA34F6" w:rsidRDefault="005F3FCF" w:rsidP="00BA34F6">
    <w:pPr>
      <w:spacing w:line="360" w:lineRule="auto"/>
      <w:ind w:right="360"/>
      <w:rPr>
        <w:rFonts w:ascii="Calibri" w:hAnsi="Calibri" w:cs="Arial"/>
        <w:color w:val="404040"/>
      </w:rPr>
    </w:pPr>
    <w:r w:rsidRPr="00BA34F6">
      <w:rPr>
        <w:rFonts w:ascii="Calibri" w:hAnsi="Calibri" w:cs="Arial"/>
        <w:color w:val="404040"/>
      </w:rPr>
      <w:t>The City works hand in hand with the local housing authorities to provide support and align priorities to ensure funding is leveraged efficiently and services offered are not duplicative. Both the Housing Authority of Salt Lake City and the Housing Authority of Salt Lake County are designated as high performers. The Housing Authority of Salt Lake City is aggressively pursuing affordable housing development projects through City, County, and low-income housing tax credit funding. HAND will continue to partner with these organizations and collaborate on affordable housing opportunities within the community.</w:t>
    </w:r>
  </w:p>
  <w:p w14:paraId="69843BF0" w14:textId="77777777" w:rsidR="005F3FCF" w:rsidRDefault="005F3FCF" w:rsidP="00C91F30">
    <w:pPr>
      <w:rPr>
        <w:rFonts w:asciiTheme="minorHAnsi" w:hAnsiTheme="minorHAnsi" w:cstheme="minorHAnsi"/>
        <w:b/>
        <w:color w:val="FF0000"/>
        <w:szCs w:val="20"/>
      </w:rPr>
    </w:pPr>
  </w:p>
  <w:p w14:paraId="10FC5155" w14:textId="77777777" w:rsidR="005F3FCF" w:rsidRPr="00F7751B" w:rsidRDefault="005F3FCF" w:rsidP="00DA09CA">
    <w:pPr>
      <w:spacing w:line="276" w:lineRule="auto"/>
      <w:ind w:right="360"/>
      <w:rPr>
        <w:rFonts w:asciiTheme="minorHAnsi" w:hAnsiTheme="minorHAnsi" w:cstheme="minorHAnsi"/>
        <w:i/>
        <w:color w:val="1F497D" w:themeColor="text2"/>
        <w:sz w:val="18"/>
        <w:szCs w:val="18"/>
      </w:rPr>
    </w:pPr>
    <w:r>
      <w:rPr>
        <w:rFonts w:asciiTheme="minorHAnsi" w:hAnsiTheme="minorHAnsi" w:cstheme="minorHAnsi"/>
        <w:b/>
        <w:color w:val="FF0000"/>
        <w:szCs w:val="20"/>
      </w:rPr>
      <w:br w:type="page"/>
    </w:r>
    <w:r w:rsidRPr="009629AD">
      <w:rPr>
        <w:rFonts w:asciiTheme="minorHAnsi" w:hAnsiTheme="minorHAnsi" w:cstheme="minorHAnsi"/>
        <w:b/>
        <w:color w:val="1F497D" w:themeColor="text2"/>
        <w:sz w:val="24"/>
      </w:rPr>
      <w:t>CR-</w:t>
    </w:r>
    <w:r>
      <w:rPr>
        <w:rFonts w:asciiTheme="minorHAnsi" w:hAnsiTheme="minorHAnsi" w:cstheme="minorHAnsi"/>
        <w:b/>
        <w:color w:val="1F497D" w:themeColor="text2"/>
        <w:sz w:val="24"/>
      </w:rPr>
      <w:t xml:space="preserve">35 OTHER ACTIONS </w:t>
    </w:r>
    <w:r>
      <w:rPr>
        <w:rFonts w:asciiTheme="minorHAnsi" w:hAnsiTheme="minorHAnsi" w:cstheme="minorHAnsi"/>
        <w:i/>
        <w:color w:val="1F497D" w:themeColor="text2"/>
        <w:sz w:val="18"/>
        <w:szCs w:val="18"/>
      </w:rPr>
      <w:t>– 91.220 (j-k); 91.320(i-j)</w:t>
    </w:r>
  </w:p>
  <w:p w14:paraId="3AC8F256" w14:textId="77777777" w:rsidR="005F3FCF" w:rsidRPr="00C91F30" w:rsidRDefault="005F3FCF" w:rsidP="00C91F30">
    <w:pPr>
      <w:spacing w:line="360" w:lineRule="auto"/>
      <w:ind w:right="360"/>
      <w:rPr>
        <w:rFonts w:ascii="Calibri" w:hAnsi="Calibri" w:cs="Calibri"/>
        <w:b/>
        <w:color w:val="404040"/>
        <w:szCs w:val="20"/>
      </w:rPr>
    </w:pPr>
    <w:r w:rsidRPr="00C91F30">
      <w:rPr>
        <w:rFonts w:ascii="Calibri" w:hAnsi="Calibri" w:cs="Calibri"/>
        <w:b/>
        <w:color w:val="404040"/>
        <w:szCs w:val="20"/>
      </w:rPr>
      <w:t xml:space="preserve">Actions taken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 </w:t>
    </w:r>
  </w:p>
  <w:p w14:paraId="4A059985" w14:textId="77777777" w:rsidR="005F3FCF" w:rsidRPr="00C91F30" w:rsidRDefault="005F3FCF" w:rsidP="00C91F30">
    <w:pPr>
      <w:spacing w:line="360" w:lineRule="auto"/>
      <w:rPr>
        <w:rFonts w:ascii="Calibri" w:hAnsi="Calibri"/>
        <w:color w:val="404040"/>
        <w:szCs w:val="20"/>
      </w:rPr>
    </w:pPr>
    <w:r w:rsidRPr="00C91F30">
      <w:rPr>
        <w:rFonts w:ascii="Calibri" w:hAnsi="Calibri"/>
        <w:color w:val="404040"/>
        <w:szCs w:val="20"/>
      </w:rPr>
      <w:t xml:space="preserve">The most critical public policy barriers (direct and indirect) to the production and preservation of affordable housing include the following: </w:t>
    </w:r>
  </w:p>
  <w:p w14:paraId="53DF59B5" w14:textId="77777777" w:rsidR="005F3FCF" w:rsidRPr="00C91F30" w:rsidRDefault="005F3FCF" w:rsidP="00C91F30">
    <w:pPr>
      <w:spacing w:line="360" w:lineRule="auto"/>
      <w:rPr>
        <w:rFonts w:ascii="Calibri" w:hAnsi="Calibri"/>
        <w:color w:val="404040"/>
        <w:szCs w:val="20"/>
      </w:rPr>
    </w:pPr>
  </w:p>
  <w:p w14:paraId="3A815F27" w14:textId="77777777" w:rsidR="005F3FCF" w:rsidRPr="005F3FCF" w:rsidRDefault="005F3FCF" w:rsidP="00C91F30">
    <w:pPr>
      <w:numPr>
        <w:ilvl w:val="0"/>
        <w:numId w:val="11"/>
      </w:numPr>
      <w:spacing w:line="360" w:lineRule="auto"/>
      <w:ind w:left="1440"/>
      <w:contextualSpacing/>
    </w:pPr>
    <w:r w:rsidRPr="005F3FCF">
      <w:br w:type="page"/>
    </w:r>
    <w:r w:rsidRPr="00C91F30">
      <w:rPr>
        <w:rFonts w:ascii="Calibri" w:hAnsi="Calibri" w:cs="Calibri"/>
        <w:color w:val="404040"/>
        <w:szCs w:val="20"/>
      </w:rPr>
      <w:t>Land costs</w:t>
    </w:r>
  </w:p>
  <w:p w14:paraId="0A92E40F" w14:textId="77777777" w:rsidR="005F3FCF" w:rsidRPr="00C91F30" w:rsidRDefault="005F3FCF" w:rsidP="00C91F30">
    <w:pPr>
      <w:numPr>
        <w:ilvl w:val="0"/>
        <w:numId w:val="11"/>
      </w:numPr>
      <w:spacing w:line="360" w:lineRule="auto"/>
      <w:ind w:left="1440"/>
      <w:contextualSpacing/>
      <w:rPr>
        <w:rFonts w:ascii="Calibri" w:hAnsi="Calibri"/>
        <w:color w:val="404040"/>
        <w:szCs w:val="20"/>
      </w:rPr>
    </w:pPr>
    <w:r w:rsidRPr="00C91F30">
      <w:rPr>
        <w:rFonts w:ascii="Calibri" w:hAnsi="Calibri"/>
        <w:color w:val="404040"/>
        <w:szCs w:val="20"/>
      </w:rPr>
      <w:t>Construction costs</w:t>
    </w:r>
  </w:p>
  <w:p w14:paraId="4043C161" w14:textId="77777777" w:rsidR="005F3FCF" w:rsidRPr="00C91F30" w:rsidRDefault="005F3FCF" w:rsidP="00C91F30">
    <w:pPr>
      <w:numPr>
        <w:ilvl w:val="0"/>
        <w:numId w:val="11"/>
      </w:numPr>
      <w:spacing w:line="360" w:lineRule="auto"/>
      <w:ind w:left="1440"/>
      <w:contextualSpacing/>
      <w:rPr>
        <w:rFonts w:ascii="Calibri" w:hAnsi="Calibri"/>
        <w:color w:val="404040"/>
        <w:szCs w:val="20"/>
      </w:rPr>
    </w:pPr>
    <w:r w:rsidRPr="00C91F30">
      <w:rPr>
        <w:rFonts w:ascii="Calibri" w:hAnsi="Calibri"/>
        <w:color w:val="404040"/>
        <w:szCs w:val="20"/>
      </w:rPr>
      <w:t>Development and rehabilitation financing</w:t>
    </w:r>
  </w:p>
  <w:p w14:paraId="025E8D58" w14:textId="77777777" w:rsidR="005F3FCF" w:rsidRPr="00C91F30" w:rsidRDefault="005F3FCF" w:rsidP="00C91F30">
    <w:pPr>
      <w:numPr>
        <w:ilvl w:val="0"/>
        <w:numId w:val="11"/>
      </w:numPr>
      <w:spacing w:line="360" w:lineRule="auto"/>
      <w:ind w:left="1440"/>
      <w:contextualSpacing/>
      <w:rPr>
        <w:rFonts w:ascii="Calibri" w:hAnsi="Calibri"/>
        <w:color w:val="404040"/>
        <w:szCs w:val="20"/>
      </w:rPr>
    </w:pPr>
    <w:r w:rsidRPr="00C91F30">
      <w:rPr>
        <w:rFonts w:ascii="Calibri" w:hAnsi="Calibri"/>
        <w:color w:val="404040"/>
        <w:szCs w:val="20"/>
      </w:rPr>
      <w:t>Housing rehabilitation complexities</w:t>
    </w:r>
  </w:p>
  <w:p w14:paraId="00611A0D" w14:textId="77777777" w:rsidR="005F3FCF" w:rsidRPr="00C91F30" w:rsidRDefault="005F3FCF" w:rsidP="00C91F30">
    <w:pPr>
      <w:numPr>
        <w:ilvl w:val="0"/>
        <w:numId w:val="11"/>
      </w:numPr>
      <w:spacing w:line="360" w:lineRule="auto"/>
      <w:ind w:left="1440"/>
      <w:contextualSpacing/>
      <w:rPr>
        <w:rFonts w:ascii="Calibri" w:hAnsi="Calibri"/>
        <w:color w:val="404040"/>
        <w:szCs w:val="20"/>
      </w:rPr>
    </w:pPr>
    <w:r w:rsidRPr="00C91F30">
      <w:rPr>
        <w:rFonts w:ascii="Calibri" w:hAnsi="Calibri"/>
        <w:color w:val="404040"/>
        <w:szCs w:val="20"/>
      </w:rPr>
      <w:t>Foreclosures and loan modifications</w:t>
    </w:r>
  </w:p>
  <w:p w14:paraId="2831173A" w14:textId="77777777" w:rsidR="005F3FCF" w:rsidRPr="00C91F30" w:rsidRDefault="005F3FCF" w:rsidP="00C91F30">
    <w:pPr>
      <w:numPr>
        <w:ilvl w:val="0"/>
        <w:numId w:val="11"/>
      </w:numPr>
      <w:spacing w:line="360" w:lineRule="auto"/>
      <w:ind w:left="1440"/>
      <w:contextualSpacing/>
      <w:rPr>
        <w:rFonts w:ascii="Calibri" w:hAnsi="Calibri"/>
        <w:color w:val="404040"/>
        <w:szCs w:val="20"/>
      </w:rPr>
    </w:pPr>
    <w:r w:rsidRPr="00C91F30">
      <w:rPr>
        <w:rFonts w:ascii="Calibri" w:hAnsi="Calibri"/>
        <w:color w:val="404040"/>
        <w:szCs w:val="20"/>
      </w:rPr>
      <w:t>Neighborhood market conditions</w:t>
    </w:r>
  </w:p>
  <w:p w14:paraId="7E54E6E0" w14:textId="77777777" w:rsidR="005F3FCF" w:rsidRPr="00C91F30" w:rsidRDefault="005F3FCF" w:rsidP="00C91F30">
    <w:pPr>
      <w:numPr>
        <w:ilvl w:val="0"/>
        <w:numId w:val="11"/>
      </w:numPr>
      <w:spacing w:line="360" w:lineRule="auto"/>
      <w:ind w:left="1440"/>
      <w:contextualSpacing/>
      <w:rPr>
        <w:rFonts w:ascii="Calibri" w:hAnsi="Calibri"/>
        <w:color w:val="404040"/>
        <w:szCs w:val="20"/>
      </w:rPr>
    </w:pPr>
    <w:r w:rsidRPr="00C91F30">
      <w:rPr>
        <w:rFonts w:ascii="Calibri" w:hAnsi="Calibri"/>
        <w:color w:val="404040"/>
        <w:szCs w:val="20"/>
      </w:rPr>
      <w:t>Economic conditions</w:t>
    </w:r>
  </w:p>
  <w:p w14:paraId="1A2A1504" w14:textId="77777777" w:rsidR="005F3FCF" w:rsidRPr="00C91F30" w:rsidRDefault="005F3FCF" w:rsidP="00C91F30">
    <w:pPr>
      <w:numPr>
        <w:ilvl w:val="0"/>
        <w:numId w:val="11"/>
      </w:numPr>
      <w:spacing w:line="360" w:lineRule="auto"/>
      <w:ind w:left="1440"/>
      <w:contextualSpacing/>
      <w:rPr>
        <w:rFonts w:ascii="Calibri" w:hAnsi="Calibri" w:cs="Calibri"/>
        <w:color w:val="404040"/>
        <w:szCs w:val="20"/>
      </w:rPr>
    </w:pPr>
    <w:r w:rsidRPr="00C91F30">
      <w:rPr>
        <w:rFonts w:ascii="Calibri" w:hAnsi="Calibri" w:cs="Calibri"/>
        <w:color w:val="404040"/>
        <w:szCs w:val="20"/>
      </w:rPr>
      <w:t>Land use regulations</w:t>
    </w:r>
  </w:p>
  <w:p w14:paraId="5B74F4D2" w14:textId="77777777" w:rsidR="005F3FCF" w:rsidRPr="00C91F30" w:rsidRDefault="005F3FCF" w:rsidP="00C91F30">
    <w:pPr>
      <w:numPr>
        <w:ilvl w:val="0"/>
        <w:numId w:val="11"/>
      </w:numPr>
      <w:spacing w:line="360" w:lineRule="auto"/>
      <w:ind w:left="1440"/>
      <w:contextualSpacing/>
      <w:rPr>
        <w:rFonts w:ascii="Calibri" w:hAnsi="Calibri"/>
        <w:color w:val="404040"/>
        <w:szCs w:val="20"/>
      </w:rPr>
    </w:pPr>
    <w:r w:rsidRPr="00C91F30">
      <w:rPr>
        <w:rFonts w:ascii="Calibri" w:hAnsi="Calibri"/>
        <w:color w:val="404040"/>
        <w:szCs w:val="20"/>
      </w:rPr>
      <w:t>Development fees and assessments</w:t>
    </w:r>
  </w:p>
  <w:p w14:paraId="30E1093C" w14:textId="77777777" w:rsidR="005F3FCF" w:rsidRPr="00C91F30" w:rsidRDefault="005F3FCF" w:rsidP="00C91F30">
    <w:pPr>
      <w:numPr>
        <w:ilvl w:val="0"/>
        <w:numId w:val="11"/>
      </w:numPr>
      <w:spacing w:line="360" w:lineRule="auto"/>
      <w:ind w:left="1440"/>
      <w:contextualSpacing/>
      <w:rPr>
        <w:rFonts w:ascii="Calibri" w:hAnsi="Calibri"/>
        <w:color w:val="404040"/>
        <w:szCs w:val="20"/>
      </w:rPr>
    </w:pPr>
    <w:r w:rsidRPr="00C91F30">
      <w:rPr>
        <w:rFonts w:ascii="Calibri" w:hAnsi="Calibri"/>
        <w:color w:val="404040"/>
        <w:szCs w:val="20"/>
      </w:rPr>
      <w:t>Permit processing procedures</w:t>
    </w:r>
  </w:p>
  <w:p w14:paraId="442C20AF" w14:textId="77777777" w:rsidR="005F3FCF" w:rsidRPr="00C91F30" w:rsidRDefault="005F3FCF" w:rsidP="00C91F30">
    <w:pPr>
      <w:numPr>
        <w:ilvl w:val="0"/>
        <w:numId w:val="11"/>
      </w:numPr>
      <w:spacing w:line="360" w:lineRule="auto"/>
      <w:ind w:left="1440"/>
      <w:contextualSpacing/>
      <w:rPr>
        <w:rFonts w:ascii="Calibri" w:hAnsi="Calibri" w:cs="Calibri"/>
        <w:color w:val="404040"/>
        <w:szCs w:val="20"/>
      </w:rPr>
    </w:pPr>
    <w:r w:rsidRPr="00C91F30">
      <w:rPr>
        <w:rFonts w:ascii="Calibri" w:hAnsi="Calibri" w:cs="Calibri"/>
        <w:color w:val="404040"/>
        <w:szCs w:val="20"/>
      </w:rPr>
      <w:t>Lack of zoning and development incentives</w:t>
    </w:r>
  </w:p>
  <w:p w14:paraId="6BEEA3E7" w14:textId="77777777" w:rsidR="005F3FCF" w:rsidRPr="005F3FCF" w:rsidRDefault="005F3FCF" w:rsidP="00C91F30">
    <w:pPr>
      <w:spacing w:line="360" w:lineRule="auto"/>
      <w:ind w:left="1080"/>
    </w:pPr>
    <w:r w:rsidRPr="005F3FCF">
      <w:br w:type="page"/>
    </w:r>
  </w:p>
  <w:p w14:paraId="11DB0DD0" w14:textId="77777777" w:rsidR="005F3FCF" w:rsidRPr="00C91F30" w:rsidRDefault="005F3FCF" w:rsidP="00C91F30">
    <w:pPr>
      <w:spacing w:line="360" w:lineRule="auto"/>
      <w:rPr>
        <w:rFonts w:ascii="Calibri" w:hAnsi="Calibri"/>
        <w:color w:val="404040"/>
        <w:szCs w:val="20"/>
      </w:rPr>
    </w:pPr>
    <w:r w:rsidRPr="00C91F30">
      <w:rPr>
        <w:rFonts w:ascii="Calibri" w:hAnsi="Calibri"/>
        <w:color w:val="404040"/>
        <w:szCs w:val="20"/>
      </w:rPr>
      <w:t xml:space="preserve">While these continue to be, and will continue to be barriers, the City is committed to finding ways to address these issues to the extent possible. </w:t>
    </w:r>
  </w:p>
  <w:p w14:paraId="1BAD9292" w14:textId="77777777" w:rsidR="005F3FCF" w:rsidRPr="00C91F30" w:rsidRDefault="005F3FCF" w:rsidP="00C91F30">
    <w:pPr>
      <w:spacing w:line="360" w:lineRule="auto"/>
      <w:rPr>
        <w:rFonts w:ascii="Calibri" w:hAnsi="Calibri"/>
        <w:color w:val="404040"/>
        <w:szCs w:val="20"/>
      </w:rPr>
    </w:pPr>
  </w:p>
  <w:p w14:paraId="6CDCB2BE" w14:textId="77777777" w:rsidR="005F3FCF" w:rsidRPr="00C91F30" w:rsidRDefault="005F3FCF" w:rsidP="00C91F30">
    <w:pPr>
      <w:spacing w:line="360" w:lineRule="auto"/>
      <w:rPr>
        <w:rFonts w:ascii="Calibri" w:hAnsi="Calibri"/>
        <w:color w:val="404040"/>
        <w:szCs w:val="20"/>
      </w:rPr>
    </w:pPr>
    <w:r w:rsidRPr="00C91F30">
      <w:rPr>
        <w:rFonts w:ascii="Calibri" w:eastAsia="Calibri" w:hAnsi="Calibri" w:cs="Verdana"/>
        <w:bCs/>
        <w:color w:val="404040"/>
        <w:szCs w:val="20"/>
      </w:rPr>
      <w:t>Effort</w:t>
    </w:r>
    <w:r>
      <w:rPr>
        <w:rFonts w:ascii="Calibri" w:eastAsia="Calibri" w:hAnsi="Calibri" w:cs="Verdana"/>
        <w:bCs/>
        <w:color w:val="404040"/>
        <w:szCs w:val="20"/>
      </w:rPr>
      <w:t>s for the program year included</w:t>
    </w:r>
    <w:r w:rsidRPr="00C91F30">
      <w:rPr>
        <w:rFonts w:ascii="Calibri" w:eastAsia="Calibri" w:hAnsi="Calibri" w:cs="Verdana"/>
        <w:bCs/>
        <w:color w:val="404040"/>
        <w:szCs w:val="20"/>
      </w:rPr>
      <w:t xml:space="preserve"> working to reduce barriers to affordable housing through the following planning </w:t>
    </w:r>
    <w:r w:rsidRPr="00C91F30">
      <w:rPr>
        <w:rFonts w:ascii="Calibri" w:hAnsi="Calibri" w:cs="Calibri Light"/>
        <w:color w:val="404040"/>
        <w:szCs w:val="20"/>
      </w:rPr>
      <w:t>efforts and initiatives:</w:t>
    </w:r>
  </w:p>
  <w:p w14:paraId="69C21CB4" w14:textId="77777777" w:rsidR="005F3FCF" w:rsidRPr="00C91F30" w:rsidRDefault="005F3FCF" w:rsidP="00C91F30">
    <w:pPr>
      <w:numPr>
        <w:ilvl w:val="0"/>
        <w:numId w:val="12"/>
      </w:numPr>
      <w:spacing w:line="360" w:lineRule="auto"/>
      <w:contextualSpacing/>
      <w:rPr>
        <w:rFonts w:ascii="Calibri" w:hAnsi="Calibri" w:cs="Calibri Light"/>
        <w:color w:val="404040"/>
        <w:szCs w:val="20"/>
      </w:rPr>
    </w:pPr>
    <w:r w:rsidRPr="00C91F30">
      <w:rPr>
        <w:rFonts w:ascii="Calibri" w:hAnsi="Calibri" w:cs="Calibri Light"/>
        <w:color w:val="404040"/>
        <w:szCs w:val="20"/>
      </w:rPr>
      <w:t>Citywide Housing Plan: The trends outlined are not new to city officials. This represents the latest data on a growing crisis of housing affordability and choice in Salt Lake. HAND has been focused on this trend for the past several years and has been aligning its federal resources with other City funds to combat the compounding factors affecting residents at all income levels:</w:t>
    </w:r>
  </w:p>
  <w:p w14:paraId="56D424FE" w14:textId="77777777" w:rsidR="005F3FCF" w:rsidRPr="00C91F30" w:rsidRDefault="005F3FCF" w:rsidP="00C91F30">
    <w:pPr>
      <w:numPr>
        <w:ilvl w:val="1"/>
        <w:numId w:val="12"/>
      </w:numPr>
      <w:spacing w:line="360" w:lineRule="auto"/>
      <w:contextualSpacing/>
      <w:rPr>
        <w:rFonts w:ascii="Calibri" w:hAnsi="Calibri" w:cs="Calibri Light"/>
        <w:color w:val="404040"/>
        <w:szCs w:val="20"/>
      </w:rPr>
    </w:pPr>
    <w:r w:rsidRPr="00C91F30">
      <w:rPr>
        <w:rFonts w:ascii="Calibri" w:hAnsi="Calibri" w:cs="Calibri Light"/>
        <w:color w:val="404040"/>
        <w:szCs w:val="20"/>
      </w:rPr>
      <w:t>Rapid home price increases,</w:t>
    </w:r>
  </w:p>
  <w:p w14:paraId="239C0AED" w14:textId="77777777" w:rsidR="005F3FCF" w:rsidRPr="00C91F30" w:rsidRDefault="005F3FCF" w:rsidP="00C91F30">
    <w:pPr>
      <w:numPr>
        <w:ilvl w:val="1"/>
        <w:numId w:val="12"/>
      </w:numPr>
      <w:spacing w:line="360" w:lineRule="auto"/>
      <w:contextualSpacing/>
      <w:rPr>
        <w:rFonts w:ascii="Calibri" w:hAnsi="Calibri" w:cs="Calibri Light"/>
        <w:color w:val="404040"/>
        <w:szCs w:val="20"/>
      </w:rPr>
    </w:pPr>
    <w:r w:rsidRPr="00C91F30">
      <w:rPr>
        <w:rFonts w:ascii="Calibri" w:hAnsi="Calibri" w:cs="Calibri Light"/>
        <w:color w:val="404040"/>
        <w:szCs w:val="20"/>
      </w:rPr>
      <w:t>Stagnant wages, and</w:t>
    </w:r>
  </w:p>
  <w:p w14:paraId="345BFA18" w14:textId="77777777" w:rsidR="005F3FCF" w:rsidRPr="00C91F30" w:rsidRDefault="005F3FCF" w:rsidP="00C91F30">
    <w:pPr>
      <w:numPr>
        <w:ilvl w:val="1"/>
        <w:numId w:val="12"/>
      </w:numPr>
      <w:spacing w:line="360" w:lineRule="auto"/>
      <w:contextualSpacing/>
      <w:rPr>
        <w:rFonts w:ascii="Calibri" w:hAnsi="Calibri" w:cs="Calibri Light"/>
        <w:color w:val="404040"/>
        <w:szCs w:val="20"/>
      </w:rPr>
    </w:pPr>
    <w:r w:rsidRPr="00C91F30">
      <w:rPr>
        <w:rFonts w:ascii="Calibri" w:hAnsi="Calibri" w:cs="Calibri Light"/>
        <w:color w:val="404040"/>
        <w:szCs w:val="20"/>
      </w:rPr>
      <w:t>Historically high land value which is driving an increase in rental rates.</w:t>
    </w:r>
  </w:p>
  <w:p w14:paraId="479635F2" w14:textId="77777777" w:rsidR="005F3FCF" w:rsidRPr="00C91F30" w:rsidRDefault="005F3FCF" w:rsidP="00C91F30">
    <w:pPr>
      <w:spacing w:line="360" w:lineRule="auto"/>
      <w:ind w:left="720"/>
      <w:contextualSpacing/>
      <w:rPr>
        <w:rFonts w:ascii="Calibri" w:hAnsi="Calibri" w:cs="Calibri Light"/>
        <w:color w:val="404040"/>
        <w:szCs w:val="20"/>
      </w:rPr>
    </w:pPr>
  </w:p>
  <w:p w14:paraId="68A06CD6" w14:textId="77777777" w:rsidR="005F3FCF" w:rsidRPr="00C91F30" w:rsidRDefault="005F3FCF" w:rsidP="00C91F30">
    <w:pPr>
      <w:spacing w:line="360" w:lineRule="auto"/>
      <w:rPr>
        <w:rFonts w:ascii="Calibri" w:hAnsi="Calibri" w:cs="Calibri Light"/>
        <w:color w:val="404040"/>
        <w:szCs w:val="20"/>
      </w:rPr>
    </w:pPr>
    <w:r w:rsidRPr="00C91F30">
      <w:rPr>
        <w:rFonts w:ascii="Calibri" w:hAnsi="Calibri" w:cs="Calibri Light"/>
        <w:color w:val="404040"/>
        <w:szCs w:val="20"/>
      </w:rPr>
      <w:t xml:space="preserve">HAND continues to implement the citywide housing master plan, </w:t>
    </w:r>
    <w:r w:rsidRPr="00C91F30">
      <w:rPr>
        <w:rFonts w:ascii="Calibri" w:hAnsi="Calibri" w:cs="Calibri Light"/>
        <w:i/>
        <w:iCs/>
        <w:color w:val="404040"/>
        <w:szCs w:val="20"/>
      </w:rPr>
      <w:t>Growing SLC</w:t>
    </w:r>
    <w:r w:rsidRPr="00C91F30">
      <w:rPr>
        <w:rFonts w:ascii="Calibri" w:hAnsi="Calibri" w:cs="Calibri Light"/>
        <w:color w:val="404040"/>
        <w:szCs w:val="20"/>
      </w:rPr>
      <w:t xml:space="preserve">: A Five Year Housing Plan, 2018-2022. The plan outlines a thoughtful strategy for ensuring long-term affordability and preservation that continues to enhance neighborhoods, while balancing their unique needs. </w:t>
    </w:r>
    <w:r w:rsidRPr="00C91F30">
      <w:rPr>
        <w:rFonts w:ascii="Calibri" w:hAnsi="Calibri" w:cs="Calibri Light"/>
        <w:i/>
        <w:iCs/>
        <w:color w:val="404040"/>
        <w:szCs w:val="20"/>
      </w:rPr>
      <w:t xml:space="preserve">Growing SLC </w:t>
    </w:r>
    <w:r w:rsidRPr="00C91F30">
      <w:rPr>
        <w:rFonts w:ascii="Calibri" w:hAnsi="Calibri" w:cs="Calibri Light"/>
        <w:color w:val="404040"/>
        <w:szCs w:val="20"/>
      </w:rPr>
      <w:t>lays out a number of comprehensive solutions and policies to address the lack (an estimated 7,500 units) of affordable housing for households earning 40% or below the Area Median Income. To date, HAND has completed the following housing plan goals:</w:t>
    </w:r>
  </w:p>
  <w:p w14:paraId="6D7C4B78" w14:textId="77777777" w:rsidR="005F3FCF" w:rsidRPr="00C91F30" w:rsidRDefault="005F3FCF" w:rsidP="00C91F30">
    <w:pPr>
      <w:numPr>
        <w:ilvl w:val="0"/>
        <w:numId w:val="36"/>
      </w:numPr>
      <w:spacing w:line="360" w:lineRule="auto"/>
      <w:contextualSpacing/>
      <w:rPr>
        <w:rFonts w:ascii="Calibri" w:hAnsi="Calibri" w:cs="Calibri Light"/>
        <w:color w:val="404040"/>
        <w:szCs w:val="20"/>
      </w:rPr>
    </w:pPr>
    <w:r w:rsidRPr="00C91F30">
      <w:rPr>
        <w:rFonts w:ascii="Calibri" w:hAnsi="Calibri" w:cs="Calibri Light"/>
        <w:color w:val="404040"/>
        <w:szCs w:val="20"/>
      </w:rPr>
      <w:t xml:space="preserve">Modifications to Transit Station Area zoning to increase points for affordable housing developers, which will result </w:t>
    </w:r>
    <w:r>
      <w:rPr>
        <w:rFonts w:ascii="Calibri" w:hAnsi="Calibri" w:cs="Calibri Light"/>
        <w:color w:val="404040"/>
        <w:szCs w:val="20"/>
      </w:rPr>
      <w:t xml:space="preserve">in more affordable housing developments occurring near transit station areas. </w:t>
    </w:r>
  </w:p>
  <w:p w14:paraId="546832DA" w14:textId="77777777" w:rsidR="005F3FCF" w:rsidRPr="00C91F30" w:rsidRDefault="005F3FCF" w:rsidP="00C91F30">
    <w:pPr>
      <w:numPr>
        <w:ilvl w:val="0"/>
        <w:numId w:val="36"/>
      </w:numPr>
      <w:spacing w:line="360" w:lineRule="auto"/>
      <w:contextualSpacing/>
      <w:rPr>
        <w:rFonts w:ascii="Calibri" w:hAnsi="Calibri" w:cs="Calibri Light"/>
        <w:color w:val="404040"/>
        <w:szCs w:val="20"/>
      </w:rPr>
    </w:pPr>
    <w:r w:rsidRPr="00C91F30">
      <w:rPr>
        <w:rFonts w:ascii="Calibri" w:hAnsi="Calibri" w:cs="Calibri Light"/>
        <w:color w:val="404040"/>
        <w:szCs w:val="20"/>
      </w:rPr>
      <w:t>A Blue Ribbon Commission was convened to identify funding strategies and partnerships.</w:t>
    </w:r>
  </w:p>
  <w:p w14:paraId="3C73C391" w14:textId="77777777" w:rsidR="005F3FCF" w:rsidRPr="00C91F30" w:rsidRDefault="005F3FCF" w:rsidP="00C91F30">
    <w:pPr>
      <w:numPr>
        <w:ilvl w:val="0"/>
        <w:numId w:val="36"/>
      </w:numPr>
      <w:spacing w:line="360" w:lineRule="auto"/>
      <w:contextualSpacing/>
      <w:rPr>
        <w:rFonts w:ascii="Calibri" w:hAnsi="Calibri" w:cs="Calibri Light"/>
        <w:color w:val="404040"/>
        <w:szCs w:val="20"/>
      </w:rPr>
    </w:pPr>
    <w:r w:rsidRPr="00C91F30">
      <w:rPr>
        <w:rFonts w:ascii="Calibri" w:hAnsi="Calibri" w:cs="Calibri Light"/>
        <w:color w:val="404040"/>
        <w:szCs w:val="20"/>
      </w:rPr>
      <w:t>A long-term, sustainable affordable housing funding source was secured in the form of the Sales Tax Increase.</w:t>
    </w:r>
  </w:p>
  <w:p w14:paraId="40225A82" w14:textId="77777777" w:rsidR="005F3FCF" w:rsidRPr="00C91F30" w:rsidRDefault="005F3FCF" w:rsidP="00C91F30">
    <w:pPr>
      <w:numPr>
        <w:ilvl w:val="0"/>
        <w:numId w:val="36"/>
      </w:numPr>
      <w:spacing w:line="360" w:lineRule="auto"/>
      <w:contextualSpacing/>
      <w:rPr>
        <w:rFonts w:ascii="Calibri" w:hAnsi="Calibri" w:cs="Calibri Light"/>
        <w:color w:val="404040"/>
        <w:szCs w:val="20"/>
      </w:rPr>
    </w:pPr>
    <w:r w:rsidRPr="00C91F30">
      <w:rPr>
        <w:rFonts w:ascii="Calibri" w:hAnsi="Calibri" w:cs="Calibri Light"/>
        <w:color w:val="404040"/>
        <w:szCs w:val="20"/>
      </w:rPr>
      <w:t>The creation of an Affordable Housing Community Land Trust that has already secured six owner-occupied homes.</w:t>
    </w:r>
  </w:p>
  <w:p w14:paraId="00F6F5FC" w14:textId="77777777" w:rsidR="005F3FCF" w:rsidRPr="00C91F30" w:rsidRDefault="005F3FCF" w:rsidP="00C91F30">
    <w:pPr>
      <w:numPr>
        <w:ilvl w:val="0"/>
        <w:numId w:val="36"/>
      </w:numPr>
      <w:spacing w:line="360" w:lineRule="auto"/>
      <w:contextualSpacing/>
      <w:rPr>
        <w:rFonts w:ascii="Calibri" w:hAnsi="Calibri" w:cs="Calibri Light"/>
        <w:color w:val="404040"/>
        <w:szCs w:val="20"/>
      </w:rPr>
    </w:pPr>
    <w:r w:rsidRPr="00C91F30">
      <w:rPr>
        <w:rFonts w:ascii="Calibri" w:hAnsi="Calibri" w:cs="Calibri Light"/>
        <w:color w:val="404040"/>
        <w:szCs w:val="20"/>
      </w:rPr>
      <w:t>Launched an Affordable Housing Renovation Pilot Program for landlords to improve the quality of affordable rental units.</w:t>
    </w:r>
  </w:p>
  <w:p w14:paraId="1D478656" w14:textId="77777777" w:rsidR="005F3FCF" w:rsidRPr="00C91F30" w:rsidRDefault="005F3FCF" w:rsidP="00C91F30">
    <w:pPr>
      <w:numPr>
        <w:ilvl w:val="0"/>
        <w:numId w:val="36"/>
      </w:numPr>
      <w:spacing w:line="360" w:lineRule="auto"/>
      <w:contextualSpacing/>
      <w:rPr>
        <w:rFonts w:ascii="Calibri" w:hAnsi="Calibri" w:cs="Calibri Light"/>
        <w:color w:val="404040"/>
        <w:szCs w:val="20"/>
      </w:rPr>
    </w:pPr>
    <w:r w:rsidRPr="00C91F30">
      <w:rPr>
        <w:rFonts w:ascii="Calibri" w:hAnsi="Calibri" w:cs="Calibri Light"/>
        <w:color w:val="404040"/>
        <w:szCs w:val="20"/>
      </w:rPr>
      <w:t xml:space="preserve">The publication of an online Housing Dashboard to provide residents, community advocates, business leaders, and elected officials with high quality data to drive decision-making, and to track the progress of </w:t>
    </w:r>
    <w:r w:rsidRPr="00C91F30">
      <w:rPr>
        <w:rFonts w:ascii="Calibri" w:hAnsi="Calibri" w:cs="Calibri Light"/>
        <w:i/>
        <w:iCs/>
        <w:color w:val="404040"/>
        <w:szCs w:val="20"/>
      </w:rPr>
      <w:t>Growing SLC</w:t>
    </w:r>
    <w:r w:rsidRPr="00C91F30">
      <w:rPr>
        <w:rFonts w:ascii="Calibri" w:hAnsi="Calibri" w:cs="Calibri Light"/>
        <w:color w:val="404040"/>
        <w:szCs w:val="20"/>
      </w:rPr>
      <w:t>.</w:t>
    </w:r>
  </w:p>
  <w:p w14:paraId="5BF95726" w14:textId="77777777" w:rsidR="005F3FCF" w:rsidRPr="00C91F30" w:rsidRDefault="005F3FCF" w:rsidP="00C91F30">
    <w:pPr>
      <w:spacing w:line="360" w:lineRule="auto"/>
      <w:ind w:left="720"/>
      <w:contextualSpacing/>
      <w:rPr>
        <w:rFonts w:ascii="Calibri" w:hAnsi="Calibri" w:cs="Calibri Light"/>
        <w:color w:val="404040"/>
        <w:szCs w:val="20"/>
      </w:rPr>
    </w:pPr>
  </w:p>
  <w:p w14:paraId="07914435" w14:textId="77777777" w:rsidR="005F3FCF" w:rsidRPr="00C91F30" w:rsidRDefault="005F3FCF" w:rsidP="00C91F30">
    <w:pPr>
      <w:spacing w:line="360" w:lineRule="auto"/>
      <w:rPr>
        <w:rFonts w:ascii="Calibri" w:hAnsi="Calibri" w:cs="Calibri Light"/>
        <w:color w:val="404040"/>
        <w:szCs w:val="20"/>
      </w:rPr>
    </w:pPr>
    <w:r w:rsidRPr="00C91F30">
      <w:rPr>
        <w:rFonts w:ascii="Calibri" w:hAnsi="Calibri" w:cs="Calibri Light"/>
        <w:color w:val="404040"/>
        <w:szCs w:val="20"/>
      </w:rPr>
      <w:t xml:space="preserve">To further spur more construction of affordable housing, two new initiatives have recently been launched. One, an expanded fee waiver program for developers seeking to build mixed-income residential projects if they set aside at least 20% of their units for moderate-income tenants. The second, a strengthened policy aimed at preserving existing residential units by requiring </w:t>
    </w:r>
    <w:r>
      <w:rPr>
        <w:rFonts w:ascii="Calibri" w:hAnsi="Calibri" w:cs="Calibri Light"/>
        <w:color w:val="404040"/>
        <w:szCs w:val="20"/>
      </w:rPr>
      <w:t xml:space="preserve">any residential demolition result in either replaced units, saved units or a fee that will assist the City in replacing the units. </w:t>
    </w:r>
  </w:p>
  <w:p w14:paraId="6AF2568E" w14:textId="77777777" w:rsidR="005F3FCF" w:rsidRPr="00C91F30" w:rsidRDefault="005F3FCF" w:rsidP="00C91F30">
    <w:pPr>
      <w:spacing w:line="360" w:lineRule="auto"/>
      <w:ind w:left="720"/>
      <w:contextualSpacing/>
      <w:rPr>
        <w:rFonts w:ascii="Calibri" w:hAnsi="Calibri" w:cs="Calibri Light"/>
        <w:color w:val="404040"/>
        <w:szCs w:val="20"/>
      </w:rPr>
    </w:pPr>
  </w:p>
  <w:p w14:paraId="6DEF735A" w14:textId="77777777" w:rsidR="005F3FCF" w:rsidRPr="00C91F30" w:rsidRDefault="005F3FCF" w:rsidP="00C91F30">
    <w:pPr>
      <w:spacing w:line="360" w:lineRule="auto"/>
      <w:rPr>
        <w:rFonts w:ascii="Calibri" w:hAnsi="Calibri" w:cs="Calibri Light"/>
        <w:color w:val="404040"/>
        <w:szCs w:val="20"/>
      </w:rPr>
    </w:pPr>
    <w:r w:rsidRPr="00C91F30">
      <w:rPr>
        <w:rFonts w:ascii="Calibri" w:hAnsi="Calibri" w:cs="Calibri Light"/>
        <w:color w:val="404040"/>
        <w:szCs w:val="20"/>
      </w:rPr>
      <w:t>HAND is committed to addressing the City’s affordable housing crisis by exploring a myriad of ways to encourage developers to build as many new and innovative affordable housing units as possible.</w:t>
    </w:r>
  </w:p>
  <w:p w14:paraId="162947F2" w14:textId="77777777" w:rsidR="005F3FCF" w:rsidRPr="00C91F30" w:rsidRDefault="005F3FCF" w:rsidP="00C91F30">
    <w:pPr>
      <w:spacing w:line="360" w:lineRule="auto"/>
      <w:ind w:left="720"/>
      <w:contextualSpacing/>
      <w:rPr>
        <w:rFonts w:ascii="Calibri" w:hAnsi="Calibri" w:cs="Calibri Light"/>
        <w:color w:val="404040"/>
        <w:szCs w:val="20"/>
      </w:rPr>
    </w:pPr>
  </w:p>
  <w:p w14:paraId="48B9D951" w14:textId="77777777" w:rsidR="005F3FCF" w:rsidRPr="00C91F30" w:rsidRDefault="005F3FCF" w:rsidP="00C91F30">
    <w:pPr>
      <w:numPr>
        <w:ilvl w:val="0"/>
        <w:numId w:val="12"/>
      </w:numPr>
      <w:spacing w:line="360" w:lineRule="auto"/>
      <w:contextualSpacing/>
      <w:rPr>
        <w:rFonts w:ascii="Calibri" w:hAnsi="Calibri" w:cs="Calibri Light"/>
        <w:color w:val="404040"/>
        <w:szCs w:val="20"/>
      </w:rPr>
    </w:pPr>
    <w:r w:rsidRPr="00C91F30">
      <w:rPr>
        <w:rFonts w:ascii="Calibri" w:hAnsi="Calibri" w:cs="Calibri Light"/>
        <w:color w:val="404040"/>
        <w:szCs w:val="20"/>
      </w:rPr>
      <w:t>Mayor’s Blue Ribbon Commission: Provided guidance in implementing long-term solutions to creating and preserving affordable housing in Salt Lake. Utilizing this guidance, HAND has helped facilitate the creation of approximately 1,500 units of affordable housing, including 242 units of permanent supportive housing, and is on track to create approximately 2</w:t>
    </w:r>
    <w:r>
      <w:rPr>
        <w:rFonts w:ascii="Calibri" w:hAnsi="Calibri" w:cs="Calibri Light"/>
        <w:color w:val="404040"/>
        <w:szCs w:val="20"/>
      </w:rPr>
      <w:t>,</w:t>
    </w:r>
    <w:r w:rsidRPr="00C91F30">
      <w:rPr>
        <w:rFonts w:ascii="Calibri" w:hAnsi="Calibri" w:cs="Calibri Light"/>
        <w:color w:val="404040"/>
        <w:szCs w:val="20"/>
      </w:rPr>
      <w:t xml:space="preserve">000 units by June 2019. </w:t>
    </w:r>
  </w:p>
  <w:p w14:paraId="1CD2E06E" w14:textId="77777777" w:rsidR="005F3FCF" w:rsidRPr="00C91F30" w:rsidRDefault="005F3FCF" w:rsidP="00C91F30">
    <w:pPr>
      <w:spacing w:line="360" w:lineRule="auto"/>
      <w:ind w:left="720"/>
      <w:contextualSpacing/>
      <w:rPr>
        <w:rFonts w:ascii="Calibri" w:hAnsi="Calibri" w:cs="Calibri Light"/>
        <w:color w:val="404040"/>
        <w:szCs w:val="20"/>
      </w:rPr>
    </w:pPr>
  </w:p>
  <w:p w14:paraId="60F893EE" w14:textId="77777777" w:rsidR="005F3FCF" w:rsidRPr="00C91F30" w:rsidRDefault="005F3FCF" w:rsidP="00C91F30">
    <w:pPr>
      <w:numPr>
        <w:ilvl w:val="0"/>
        <w:numId w:val="12"/>
      </w:numPr>
      <w:spacing w:line="360" w:lineRule="auto"/>
      <w:contextualSpacing/>
      <w:rPr>
        <w:rFonts w:ascii="Calibri" w:hAnsi="Calibri" w:cs="Calibri Light"/>
        <w:color w:val="404040"/>
        <w:szCs w:val="20"/>
      </w:rPr>
    </w:pPr>
    <w:r w:rsidRPr="00C91F30">
      <w:rPr>
        <w:rFonts w:ascii="Calibri" w:hAnsi="Calibri" w:cs="Calibri Light"/>
        <w:color w:val="404040"/>
        <w:szCs w:val="20"/>
      </w:rPr>
      <w:t>Community Land Trust for Affordable Housing: The Community Land Trust</w:t>
    </w:r>
    <w:r>
      <w:rPr>
        <w:rFonts w:ascii="Calibri" w:hAnsi="Calibri" w:cs="Calibri Light"/>
        <w:color w:val="404040"/>
        <w:szCs w:val="20"/>
      </w:rPr>
      <w:t xml:space="preserve"> (CLT)</w:t>
    </w:r>
    <w:r w:rsidRPr="00C91F30">
      <w:rPr>
        <w:rFonts w:ascii="Calibri" w:hAnsi="Calibri" w:cs="Calibri Light"/>
        <w:color w:val="404040"/>
        <w:szCs w:val="20"/>
      </w:rPr>
      <w:t xml:space="preserve"> model will allow income-qualifying households to purchase and own homes as personal property while the land under the home remains property of the trust. The purchaser will own the structure and the city will own the land. Partnership rooted in a shared investment in real property throughout the city and the desire the preserve and secure safe, quality housing stock for generations to come.</w:t>
    </w:r>
  </w:p>
  <w:p w14:paraId="3B50059A" w14:textId="77777777" w:rsidR="005F3FCF" w:rsidRPr="00C91F30" w:rsidRDefault="005F3FCF" w:rsidP="00C91F30">
    <w:pPr>
      <w:spacing w:line="360" w:lineRule="auto"/>
      <w:ind w:left="720"/>
      <w:contextualSpacing/>
      <w:rPr>
        <w:rFonts w:ascii="Calibri" w:hAnsi="Calibri" w:cs="Calibri Light"/>
        <w:color w:val="404040"/>
        <w:szCs w:val="20"/>
      </w:rPr>
    </w:pPr>
  </w:p>
  <w:p w14:paraId="07F3AD41" w14:textId="77777777" w:rsidR="005F3FCF" w:rsidRPr="00C91F30" w:rsidRDefault="005F3FCF" w:rsidP="00C618DC">
    <w:pPr>
      <w:spacing w:line="360" w:lineRule="auto"/>
      <w:ind w:left="720"/>
      <w:contextualSpacing/>
      <w:rPr>
        <w:rFonts w:ascii="Calibri" w:hAnsi="Calibri" w:cs="Calibri Light"/>
        <w:color w:val="404040"/>
        <w:szCs w:val="20"/>
      </w:rPr>
    </w:pPr>
    <w:r w:rsidRPr="00C91F30">
      <w:rPr>
        <w:rFonts w:ascii="Calibri" w:hAnsi="Calibri" w:cs="Calibri Light"/>
        <w:color w:val="404040"/>
        <w:szCs w:val="20"/>
      </w:rPr>
      <w:t>The CLT model will allow income-qualifying households to purchase a home while the land that home sits on remains in the Trust, so the City will own the land and purchaser will own the structure. If and when that household sells the home, they will be able to do so at a modest gain, thereby building equity while allowing another income-qualifying household the opportunity to purchase an affordabl</w:t>
    </w:r>
    <w:r>
      <w:rPr>
        <w:rFonts w:ascii="Calibri" w:hAnsi="Calibri" w:cs="Calibri Light"/>
        <w:color w:val="404040"/>
        <w:szCs w:val="20"/>
      </w:rPr>
      <w:t xml:space="preserve">e home. </w:t>
    </w:r>
    <w:r w:rsidRPr="00C91F30">
      <w:rPr>
        <w:rFonts w:ascii="Calibri" w:hAnsi="Calibri" w:cs="Calibri Light"/>
        <w:color w:val="404040"/>
        <w:szCs w:val="20"/>
      </w:rPr>
      <w:t>The CLT will start by holding city-owned single family home properties. Over time, the City will look to acquire and maintain multifamily structures, and eventually turning over the management of the Trust to an external non-profit.</w:t>
    </w:r>
  </w:p>
  <w:p w14:paraId="2A4A54F5" w14:textId="77777777" w:rsidR="005F3FCF" w:rsidRPr="00C91F30" w:rsidRDefault="005F3FCF" w:rsidP="00C91F30">
    <w:pPr>
      <w:spacing w:line="360" w:lineRule="auto"/>
      <w:ind w:left="720"/>
      <w:contextualSpacing/>
      <w:rPr>
        <w:rFonts w:ascii="Calibri" w:hAnsi="Calibri" w:cs="Calibri Light"/>
        <w:color w:val="404040"/>
        <w:szCs w:val="20"/>
      </w:rPr>
    </w:pPr>
  </w:p>
  <w:p w14:paraId="00A9F347" w14:textId="77777777" w:rsidR="005F3FCF" w:rsidRPr="00C91F30" w:rsidRDefault="005F3FCF" w:rsidP="00C91F30">
    <w:pPr>
      <w:numPr>
        <w:ilvl w:val="0"/>
        <w:numId w:val="12"/>
      </w:numPr>
      <w:spacing w:line="360" w:lineRule="auto"/>
      <w:contextualSpacing/>
      <w:rPr>
        <w:rFonts w:ascii="Calibri" w:hAnsi="Calibri" w:cs="Calibri Light"/>
        <w:color w:val="404040"/>
        <w:szCs w:val="20"/>
      </w:rPr>
    </w:pPr>
    <w:r w:rsidRPr="00C91F30">
      <w:rPr>
        <w:rFonts w:ascii="Calibri" w:hAnsi="Calibri" w:cs="Calibri Light"/>
        <w:color w:val="404040"/>
        <w:szCs w:val="20"/>
      </w:rPr>
      <w:t xml:space="preserve">House 20: The House 20 concept was developed in 2015 as a response to housing the top 20 users of emergency services in and around the Depot District. HAND relied on the Police and Fire Departments and The Road Home to help identify those single men and women who were the most frequent users of services. These are individuals who suffer from disabling conditions that create high barriers to stable housing, individuals who are in need of regular, ongoing supportive services. House 20 has helped transition some of the most vulnerable members of our community into permanent housing and has provided them with intensive case management. Those enrolled in the program have reduced their interactions with emergency services by approximately 75%. The original funding for the program has been exhausted, but HAND will continue to fund the program in the upcoming year with a portion of the revenue received from the sales tax increase. </w:t>
    </w:r>
  </w:p>
  <w:p w14:paraId="12E6AE15" w14:textId="77777777" w:rsidR="005F3FCF" w:rsidRPr="00C91F30" w:rsidRDefault="005F3FCF" w:rsidP="00C91F30">
    <w:pPr>
      <w:spacing w:line="360" w:lineRule="auto"/>
      <w:ind w:left="720"/>
      <w:contextualSpacing/>
      <w:rPr>
        <w:rFonts w:ascii="Calibri" w:hAnsi="Calibri" w:cs="Calibri Light"/>
        <w:color w:val="404040"/>
        <w:szCs w:val="20"/>
      </w:rPr>
    </w:pPr>
  </w:p>
  <w:p w14:paraId="36B11374" w14:textId="77777777" w:rsidR="005F3FCF" w:rsidRPr="00C91F30" w:rsidRDefault="005F3FCF" w:rsidP="00C91F30">
    <w:pPr>
      <w:numPr>
        <w:ilvl w:val="0"/>
        <w:numId w:val="12"/>
      </w:numPr>
      <w:spacing w:line="360" w:lineRule="auto"/>
      <w:contextualSpacing/>
      <w:rPr>
        <w:rFonts w:ascii="Calibri" w:hAnsi="Calibri" w:cs="Calibri Light"/>
        <w:color w:val="404040"/>
        <w:szCs w:val="20"/>
      </w:rPr>
    </w:pPr>
    <w:r w:rsidRPr="00C91F30">
      <w:rPr>
        <w:rFonts w:ascii="Calibri" w:hAnsi="Calibri" w:cs="Calibri Light"/>
        <w:color w:val="404040"/>
        <w:szCs w:val="20"/>
      </w:rPr>
      <w:t>Home Ownership Options: The City is continuing to provide down-payment assistance to low to moderate-income residents of the City. Previously the program only served first-time homebuyers, but was expanded during the 17-18 program year to offer any eligible resident the opportunity to purchase a home regardless of whether it was their first home purchase. It helps stabilize communities, provides incentive for neighborhood investments, and allows families to build wealth.</w:t>
    </w:r>
  </w:p>
  <w:p w14:paraId="4244147B" w14:textId="77777777" w:rsidR="005F3FCF" w:rsidRPr="00C91F30" w:rsidRDefault="005F3FCF" w:rsidP="00C91F30">
    <w:pPr>
      <w:spacing w:line="360" w:lineRule="auto"/>
      <w:ind w:left="720"/>
      <w:contextualSpacing/>
      <w:rPr>
        <w:rFonts w:ascii="Calibri" w:hAnsi="Calibri" w:cs="Calibri Light"/>
        <w:color w:val="404040"/>
        <w:szCs w:val="20"/>
      </w:rPr>
    </w:pPr>
  </w:p>
  <w:p w14:paraId="48D291D8" w14:textId="77777777" w:rsidR="005F3FCF" w:rsidRPr="00C91F30" w:rsidRDefault="005F3FCF" w:rsidP="00C91F30">
    <w:pPr>
      <w:numPr>
        <w:ilvl w:val="0"/>
        <w:numId w:val="12"/>
      </w:numPr>
      <w:spacing w:line="360" w:lineRule="auto"/>
      <w:contextualSpacing/>
      <w:rPr>
        <w:rFonts w:ascii="Calibri" w:hAnsi="Calibri" w:cs="Calibri Light"/>
        <w:color w:val="404040"/>
        <w:szCs w:val="20"/>
      </w:rPr>
    </w:pPr>
    <w:r w:rsidRPr="00C91F30">
      <w:rPr>
        <w:rFonts w:ascii="Calibri" w:hAnsi="Calibri" w:cs="Calibri Light"/>
        <w:color w:val="404040"/>
        <w:szCs w:val="20"/>
      </w:rPr>
      <w:t xml:space="preserve">Affordable Housing Initiative: The City is committed to providing a comprehensive housing initiative to address Salt Lake City’s lack of housing options affordable to low-wage workers and moderate income families, persons with disabilities and those on fixed incomes. By utilizing the Salt Lake City Housing Trust Fund and other community resources, the City will support the preservation, development, and rental assistance of housing units over the time period of the Consolidated Plan. The initiative will target these forms of assistance to extremely low-income renter households as well as expanding homeownership and housing opportunities for low to middle-income families and individuals. </w:t>
    </w:r>
  </w:p>
  <w:p w14:paraId="5131D92B" w14:textId="77777777" w:rsidR="005F3FCF" w:rsidRPr="00C91F30" w:rsidRDefault="005F3FCF" w:rsidP="00C91F30">
    <w:pPr>
      <w:spacing w:line="360" w:lineRule="auto"/>
      <w:ind w:left="720"/>
      <w:contextualSpacing/>
      <w:rPr>
        <w:rFonts w:ascii="Calibri" w:hAnsi="Calibri" w:cs="Calibri Light"/>
        <w:color w:val="404040"/>
        <w:szCs w:val="20"/>
      </w:rPr>
    </w:pPr>
  </w:p>
  <w:p w14:paraId="00652E53" w14:textId="77777777" w:rsidR="005F3FCF" w:rsidRPr="00C91F30" w:rsidRDefault="005F3FCF" w:rsidP="00C91F30">
    <w:pPr>
      <w:widowControl w:val="0"/>
      <w:autoSpaceDE w:val="0"/>
      <w:autoSpaceDN w:val="0"/>
      <w:adjustRightInd w:val="0"/>
      <w:spacing w:line="360" w:lineRule="auto"/>
      <w:rPr>
        <w:rFonts w:ascii="Calibri" w:eastAsia="Calibri" w:hAnsi="Calibri" w:cs="Verdana"/>
        <w:b/>
        <w:bCs/>
        <w:color w:val="404040"/>
        <w:szCs w:val="20"/>
      </w:rPr>
    </w:pPr>
    <w:r w:rsidRPr="00C91F30">
      <w:rPr>
        <w:rFonts w:ascii="Calibri" w:eastAsia="Calibri" w:hAnsi="Calibri" w:cs="Verdana"/>
        <w:b/>
        <w:bCs/>
        <w:color w:val="404040"/>
        <w:szCs w:val="20"/>
      </w:rPr>
      <w:t>Actions taken to address obstacles to meeting underserved needs:</w:t>
    </w:r>
  </w:p>
  <w:p w14:paraId="44AEE89D" w14:textId="77777777" w:rsidR="005F3FCF" w:rsidRPr="00C91F30" w:rsidRDefault="005F3FCF" w:rsidP="00C91F30">
    <w:pPr>
      <w:spacing w:line="360" w:lineRule="auto"/>
      <w:rPr>
        <w:rFonts w:ascii="Calibri" w:hAnsi="Calibri"/>
        <w:color w:val="404040"/>
        <w:szCs w:val="20"/>
      </w:rPr>
    </w:pPr>
    <w:r w:rsidRPr="00C91F30">
      <w:rPr>
        <w:rFonts w:ascii="Calibri" w:eastAsia="Calibri" w:hAnsi="Calibri" w:cs="Verdana"/>
        <w:bCs/>
        <w:color w:val="404040"/>
        <w:szCs w:val="20"/>
      </w:rPr>
      <w:t>The most substantial impediment in meeting underserved needs is a lack of funding and resources. Strategic shifts identified through Salt Lake City’s 2015-2019 Consolidated Plan provide</w:t>
    </w:r>
    <w:r w:rsidRPr="00C91F30">
      <w:rPr>
        <w:rFonts w:ascii="Calibri" w:hAnsi="Calibri"/>
        <w:color w:val="404040"/>
        <w:szCs w:val="20"/>
      </w:rPr>
      <w:t xml:space="preserve"> a framework for maximizing and leveraging federal funding to better focus funding to address underserved needs. Underserved needs and strategic actions are as follows:</w:t>
    </w:r>
  </w:p>
  <w:p w14:paraId="051EAD4D" w14:textId="77777777" w:rsidR="005F3FCF" w:rsidRPr="00C91F30" w:rsidRDefault="005F3FCF" w:rsidP="00C91F30">
    <w:pPr>
      <w:spacing w:line="360" w:lineRule="auto"/>
      <w:rPr>
        <w:rFonts w:ascii="Calibri" w:hAnsi="Calibri"/>
        <w:color w:val="404040"/>
        <w:szCs w:val="20"/>
      </w:rPr>
    </w:pPr>
  </w:p>
  <w:p w14:paraId="04EB11CF" w14:textId="77777777" w:rsidR="005F3FCF" w:rsidRPr="00C91F30" w:rsidRDefault="005F3FCF" w:rsidP="00C91F30">
    <w:pPr>
      <w:spacing w:line="360" w:lineRule="auto"/>
      <w:rPr>
        <w:rFonts w:ascii="Calibri" w:hAnsi="Calibri"/>
        <w:i/>
        <w:color w:val="404040"/>
        <w:szCs w:val="20"/>
      </w:rPr>
    </w:pPr>
    <w:r w:rsidRPr="00C91F30">
      <w:rPr>
        <w:rFonts w:ascii="Calibri" w:hAnsi="Calibri"/>
        <w:i/>
        <w:color w:val="404040"/>
        <w:szCs w:val="20"/>
      </w:rPr>
      <w:t>Underserved Need: Affordable housing</w:t>
    </w:r>
  </w:p>
  <w:p w14:paraId="4916D378" w14:textId="77777777" w:rsidR="005F3FCF" w:rsidRPr="00C91F30" w:rsidRDefault="005F3FCF" w:rsidP="00C91F30">
    <w:pPr>
      <w:numPr>
        <w:ilvl w:val="0"/>
        <w:numId w:val="13"/>
      </w:numPr>
      <w:spacing w:line="360" w:lineRule="auto"/>
      <w:contextualSpacing/>
      <w:rPr>
        <w:rFonts w:ascii="Calibri" w:hAnsi="Calibri"/>
        <w:color w:val="404040"/>
        <w:szCs w:val="20"/>
      </w:rPr>
    </w:pPr>
    <w:r w:rsidRPr="00C91F30">
      <w:rPr>
        <w:rFonts w:ascii="Calibri" w:hAnsi="Calibri"/>
        <w:color w:val="404040"/>
        <w:szCs w:val="20"/>
      </w:rPr>
      <w:t>Actions: Salt Lake City utilized federal and local resources to expand both rental and homeownership opportunities. In addition, the City is utilizing public land to leverage private capital for the development of affordable housing. These efforts will work to address the affordable housing gap in Salt Lake City.</w:t>
    </w:r>
  </w:p>
  <w:p w14:paraId="0BBB6EF3" w14:textId="77777777" w:rsidR="005F3FCF" w:rsidRPr="00C91F30" w:rsidRDefault="005F3FCF" w:rsidP="00C91F30">
    <w:pPr>
      <w:spacing w:line="360" w:lineRule="auto"/>
      <w:rPr>
        <w:rFonts w:ascii="Calibri" w:hAnsi="Calibri"/>
        <w:i/>
        <w:color w:val="404040"/>
        <w:szCs w:val="20"/>
      </w:rPr>
    </w:pPr>
  </w:p>
  <w:p w14:paraId="309C1747" w14:textId="77777777" w:rsidR="005F3FCF" w:rsidRPr="00C91F30" w:rsidRDefault="005F3FCF" w:rsidP="00C91F30">
    <w:pPr>
      <w:spacing w:line="360" w:lineRule="auto"/>
      <w:rPr>
        <w:rFonts w:ascii="Calibri" w:hAnsi="Calibri"/>
        <w:i/>
        <w:color w:val="404040"/>
        <w:szCs w:val="20"/>
      </w:rPr>
    </w:pPr>
    <w:r w:rsidRPr="00C91F30">
      <w:rPr>
        <w:rFonts w:ascii="Calibri" w:hAnsi="Calibri"/>
        <w:i/>
        <w:color w:val="404040"/>
        <w:szCs w:val="20"/>
      </w:rPr>
      <w:t>Underserved Need: Homelessness</w:t>
    </w:r>
  </w:p>
  <w:p w14:paraId="6F35BEB4" w14:textId="77777777" w:rsidR="005F3FCF" w:rsidRPr="00C91F30" w:rsidRDefault="005F3FCF" w:rsidP="00C91F30">
    <w:pPr>
      <w:numPr>
        <w:ilvl w:val="0"/>
        <w:numId w:val="13"/>
      </w:numPr>
      <w:spacing w:line="360" w:lineRule="auto"/>
      <w:contextualSpacing/>
      <w:rPr>
        <w:rFonts w:ascii="Calibri" w:hAnsi="Calibri"/>
        <w:color w:val="404040"/>
        <w:szCs w:val="20"/>
      </w:rPr>
    </w:pPr>
    <w:r w:rsidRPr="00C91F30">
      <w:rPr>
        <w:rFonts w:ascii="Calibri" w:hAnsi="Calibri"/>
        <w:color w:val="404040"/>
        <w:szCs w:val="20"/>
      </w:rPr>
      <w:t xml:space="preserve">Actions: Salt Lake City is working with housing and homeless service providers and Salt Lake County to coordinate and streamline processes for service delivery. By utilizing the VI-SPDAT pre-screen survey, providers are able to access and prioritize services based on chronicity and medical vulnerability. Improvements are also being made to the CoC’s coordinated assessment system. During the 17-18 program year, Salt Lake City continued the process of helping to create new homeless resource centers in the community. The site selection and design processes have now been completed and construction of the facilities is underway. The new resource centers should improve overall service delivery to those experiencing homelessness and should provide increased safety and security for those seeking services. </w:t>
    </w:r>
  </w:p>
  <w:p w14:paraId="7BE1FD44" w14:textId="77777777" w:rsidR="005F3FCF" w:rsidRPr="00C91F30" w:rsidRDefault="005F3FCF" w:rsidP="00C91F30">
    <w:pPr>
      <w:spacing w:line="360" w:lineRule="auto"/>
      <w:rPr>
        <w:rFonts w:ascii="Calibri" w:hAnsi="Calibri"/>
        <w:i/>
        <w:color w:val="404040"/>
        <w:szCs w:val="20"/>
      </w:rPr>
    </w:pPr>
  </w:p>
  <w:p w14:paraId="27BE1FE7" w14:textId="77777777" w:rsidR="005F3FCF" w:rsidRPr="00C91F30" w:rsidRDefault="005F3FCF" w:rsidP="00C91F30">
    <w:pPr>
      <w:spacing w:line="360" w:lineRule="auto"/>
      <w:rPr>
        <w:rFonts w:ascii="Calibri" w:hAnsi="Calibri"/>
        <w:i/>
        <w:color w:val="404040"/>
        <w:szCs w:val="20"/>
      </w:rPr>
    </w:pPr>
    <w:r w:rsidRPr="00C91F30">
      <w:rPr>
        <w:rFonts w:ascii="Calibri" w:hAnsi="Calibri"/>
        <w:i/>
        <w:color w:val="404040"/>
        <w:szCs w:val="20"/>
      </w:rPr>
      <w:t>Underserved Need: Special needs individuals</w:t>
    </w:r>
  </w:p>
  <w:p w14:paraId="43DAA0AF" w14:textId="77777777" w:rsidR="005F3FCF" w:rsidRPr="00C91F30" w:rsidRDefault="005F3FCF" w:rsidP="00C91F30">
    <w:pPr>
      <w:numPr>
        <w:ilvl w:val="0"/>
        <w:numId w:val="13"/>
      </w:numPr>
      <w:spacing w:line="360" w:lineRule="auto"/>
      <w:contextualSpacing/>
      <w:rPr>
        <w:rFonts w:ascii="Calibri" w:hAnsi="Calibri"/>
        <w:color w:val="404040"/>
        <w:szCs w:val="20"/>
      </w:rPr>
    </w:pPr>
    <w:r w:rsidRPr="00C91F30">
      <w:rPr>
        <w:rFonts w:ascii="Calibri" w:hAnsi="Calibri"/>
        <w:color w:val="404040"/>
        <w:szCs w:val="20"/>
      </w:rPr>
      <w:t>Actions: Salt Lake City has continued to address underserved needs for refugees, immigrants, the elderly, victims of domestic violence, persons living with HIV/AIDS, and persons with a disability by providing resources for basic needs, as well as resources to expand self-sufficiency. Federal funding was targeted to early childhood education for non-English speaking families and other at-risk children, has helped improve immediate and long-term outcomes for persons living with HIV/AIDS, has funded job training to vulnerable populations, and helped provide medical and hospice services for at risk populations.</w:t>
    </w:r>
  </w:p>
  <w:p w14:paraId="35532328" w14:textId="77777777" w:rsidR="005F3FCF" w:rsidRPr="00C91F30" w:rsidRDefault="005F3FCF" w:rsidP="00C91F30">
    <w:pPr>
      <w:spacing w:line="276" w:lineRule="auto"/>
      <w:ind w:right="360"/>
      <w:rPr>
        <w:rFonts w:ascii="Calibri" w:hAnsi="Calibri" w:cs="Calibri"/>
        <w:b/>
        <w:color w:val="FF0000"/>
        <w:szCs w:val="20"/>
      </w:rPr>
    </w:pPr>
  </w:p>
  <w:p w14:paraId="5178773E" w14:textId="77777777" w:rsidR="005F3FCF" w:rsidRPr="00C91F30" w:rsidRDefault="005F3FCF" w:rsidP="00C91F30">
    <w:pPr>
      <w:spacing w:line="360" w:lineRule="auto"/>
      <w:ind w:right="360"/>
      <w:rPr>
        <w:rFonts w:ascii="Calibri" w:hAnsi="Calibri" w:cs="Calibri"/>
        <w:b/>
        <w:color w:val="404040"/>
        <w:szCs w:val="20"/>
      </w:rPr>
    </w:pPr>
    <w:r w:rsidRPr="00C91F30">
      <w:rPr>
        <w:rFonts w:ascii="Calibri" w:hAnsi="Calibri" w:cs="Calibri"/>
        <w:b/>
        <w:color w:val="404040"/>
        <w:szCs w:val="20"/>
      </w:rPr>
      <w:t>Actions taken to reduce lead-based paint hazards.</w:t>
    </w:r>
  </w:p>
  <w:p w14:paraId="15836AD4" w14:textId="77777777" w:rsidR="005F3FCF" w:rsidRPr="00C91F30" w:rsidRDefault="005F3FCF" w:rsidP="00C91F30">
    <w:pPr>
      <w:spacing w:line="360" w:lineRule="auto"/>
      <w:rPr>
        <w:rFonts w:ascii="Calibri" w:hAnsi="Calibri" w:cs="Arial"/>
        <w:color w:val="404040"/>
      </w:rPr>
    </w:pPr>
    <w:r w:rsidRPr="00C91F30">
      <w:rPr>
        <w:rFonts w:ascii="Calibri" w:hAnsi="Calibri" w:cs="Arial"/>
        <w:color w:val="404040"/>
      </w:rPr>
      <w:t xml:space="preserve">The City continues to maintain “lead procedures” to ensure compliance with both HUD and EPA lead rules.  Many of our contractors have obtained EPA certification due to continued coordinated effort with Salt Lake County. Those that aren’t certified are required to use a certified sub-contractor to handle any lead related work that is included in his or her projects.  </w:t>
    </w:r>
  </w:p>
  <w:p w14:paraId="6DA610AB" w14:textId="77777777" w:rsidR="005F3FCF" w:rsidRPr="00C91F30" w:rsidRDefault="005F3FCF" w:rsidP="00C91F30">
    <w:pPr>
      <w:spacing w:line="360" w:lineRule="auto"/>
      <w:rPr>
        <w:rFonts w:ascii="Calibri" w:hAnsi="Calibri" w:cs="Arial"/>
        <w:color w:val="404040"/>
      </w:rPr>
    </w:pPr>
  </w:p>
  <w:p w14:paraId="16DA5F2B" w14:textId="77777777" w:rsidR="005F3FCF" w:rsidRPr="00C91F30" w:rsidRDefault="005F3FCF" w:rsidP="00C91F30">
    <w:pPr>
      <w:spacing w:line="360" w:lineRule="auto"/>
      <w:rPr>
        <w:rFonts w:ascii="Calibri" w:hAnsi="Calibri" w:cs="Arial"/>
        <w:color w:val="404040"/>
      </w:rPr>
    </w:pPr>
    <w:r w:rsidRPr="00C91F30">
      <w:rPr>
        <w:rFonts w:ascii="Calibri" w:hAnsi="Calibri" w:cs="Arial"/>
        <w:color w:val="404040"/>
      </w:rPr>
      <w:t xml:space="preserve">Our staff members have been trained in Lead issues, and when fully staffed the City looks to maintain a balance of Lead Risk Assessors and Certified Lead Inspectors to ensure the City stays compliant with lead requirements.  </w:t>
    </w:r>
  </w:p>
  <w:p w14:paraId="5281AF97" w14:textId="77777777" w:rsidR="005F3FCF" w:rsidRPr="00C91F30" w:rsidRDefault="005F3FCF" w:rsidP="00C91F30">
    <w:pPr>
      <w:spacing w:line="360" w:lineRule="auto"/>
      <w:rPr>
        <w:rFonts w:ascii="Calibri" w:hAnsi="Calibri" w:cs="Arial"/>
        <w:color w:val="404040"/>
      </w:rPr>
    </w:pPr>
  </w:p>
  <w:p w14:paraId="543A0BD2" w14:textId="77777777" w:rsidR="005F3FCF" w:rsidRPr="00C91F30" w:rsidRDefault="005F3FCF" w:rsidP="00C91F30">
    <w:pPr>
      <w:spacing w:line="360" w:lineRule="auto"/>
      <w:rPr>
        <w:rFonts w:ascii="Calibri" w:hAnsi="Calibri" w:cs="Arial"/>
        <w:color w:val="404040"/>
      </w:rPr>
    </w:pPr>
    <w:r w:rsidRPr="00C91F30">
      <w:rPr>
        <w:rFonts w:ascii="Calibri" w:hAnsi="Calibri" w:cs="Arial"/>
        <w:color w:val="404040"/>
      </w:rPr>
      <w:t>The City completes a risk assessment for each project that results in preparation of an official work description.  If an applicant decides not to pursue the project, they are given a copy of the risk assessment for their file in the event they want to do work in the future.  We do more risk assessments than we do projects.</w:t>
    </w:r>
  </w:p>
  <w:p w14:paraId="51E45A91" w14:textId="77777777" w:rsidR="005F3FCF" w:rsidRPr="00C91F30" w:rsidRDefault="005F3FCF" w:rsidP="00C91F30">
    <w:pPr>
      <w:spacing w:line="360" w:lineRule="auto"/>
      <w:rPr>
        <w:rFonts w:ascii="Calibri" w:hAnsi="Calibri" w:cs="Arial"/>
        <w:color w:val="404040"/>
      </w:rPr>
    </w:pPr>
  </w:p>
  <w:p w14:paraId="4073605E" w14:textId="77777777" w:rsidR="005F3FCF" w:rsidRPr="00C91F30" w:rsidRDefault="005F3FCF" w:rsidP="00C91F30">
    <w:pPr>
      <w:spacing w:line="360" w:lineRule="auto"/>
      <w:rPr>
        <w:rFonts w:ascii="Calibri" w:hAnsi="Calibri" w:cs="Arial"/>
        <w:color w:val="404040"/>
      </w:rPr>
    </w:pPr>
    <w:r w:rsidRPr="00C91F30">
      <w:rPr>
        <w:rFonts w:ascii="Calibri" w:hAnsi="Calibri" w:cs="Arial"/>
        <w:color w:val="404040"/>
      </w:rPr>
      <w:t xml:space="preserve">The City continues to work closely with Salt Lake County in the Lead Safe Housing Program, attending monthly meetings and distributing literature on the program every time we participate in an event or have opportunities </w:t>
    </w:r>
    <w:r>
      <w:rPr>
        <w:rFonts w:ascii="Calibri" w:hAnsi="Calibri" w:cs="Arial"/>
        <w:color w:val="404040"/>
      </w:rPr>
      <w:t xml:space="preserve">to communicate with community. </w:t>
    </w:r>
    <w:r w:rsidRPr="00C91F30">
      <w:rPr>
        <w:rFonts w:ascii="Calibri" w:hAnsi="Calibri" w:cs="Arial"/>
        <w:color w:val="404040"/>
      </w:rPr>
      <w:t>Any of our rehabilitation projects that qualify for county lead funding are referred to the county to ap</w:t>
    </w:r>
    <w:r>
      <w:rPr>
        <w:rFonts w:ascii="Calibri" w:hAnsi="Calibri" w:cs="Arial"/>
        <w:color w:val="404040"/>
      </w:rPr>
      <w:t xml:space="preserve">ply for the county lead grant. </w:t>
    </w:r>
    <w:r w:rsidRPr="00C91F30">
      <w:rPr>
        <w:rFonts w:ascii="Calibri" w:hAnsi="Calibri" w:cs="Arial"/>
        <w:color w:val="404040"/>
      </w:rPr>
      <w:t>If the project doesn’t qualify for county funding, the city will grant up to $5,000 to cover the additional costs thus completing any lead related work that needs to be accomplished.  We continue to find that many homeowners are still resistant to the concept of paying additional money to remediate lead dangers.</w:t>
    </w:r>
  </w:p>
  <w:p w14:paraId="2544BB02" w14:textId="77777777" w:rsidR="005F3FCF" w:rsidRPr="00C91F30" w:rsidRDefault="005F3FCF" w:rsidP="00C91F30">
    <w:pPr>
      <w:spacing w:line="360" w:lineRule="auto"/>
      <w:rPr>
        <w:rFonts w:ascii="Calibri" w:hAnsi="Calibri" w:cs="Arial"/>
        <w:color w:val="404040"/>
      </w:rPr>
    </w:pPr>
  </w:p>
  <w:p w14:paraId="58C712CB" w14:textId="77777777" w:rsidR="005F3FCF" w:rsidRPr="00C91F30" w:rsidRDefault="005F3FCF" w:rsidP="00C91F30">
    <w:pPr>
      <w:spacing w:line="360" w:lineRule="auto"/>
      <w:rPr>
        <w:rFonts w:ascii="Calibri" w:hAnsi="Calibri" w:cs="Arial"/>
        <w:color w:val="404040"/>
      </w:rPr>
    </w:pPr>
    <w:r w:rsidRPr="00C91F30">
      <w:rPr>
        <w:rFonts w:ascii="Calibri" w:hAnsi="Calibri" w:cs="Arial"/>
        <w:color w:val="404040"/>
      </w:rPr>
      <w:t xml:space="preserve">We do outreach in an ongoing manner, using mailings to households in our target areas, as well as participate at community open houses, </w:t>
    </w:r>
    <w:r>
      <w:rPr>
        <w:rFonts w:ascii="Calibri" w:hAnsi="Calibri" w:cs="Arial"/>
        <w:color w:val="404040"/>
      </w:rPr>
      <w:t xml:space="preserve">community festivals and fairs. </w:t>
    </w:r>
    <w:r w:rsidRPr="00C91F30">
      <w:rPr>
        <w:rFonts w:ascii="Calibri" w:hAnsi="Calibri" w:cs="Arial"/>
        <w:color w:val="404040"/>
      </w:rPr>
      <w:t>Staff always makes lead a major point for discussion in our ini</w:t>
    </w:r>
    <w:r>
      <w:rPr>
        <w:rFonts w:ascii="Calibri" w:hAnsi="Calibri" w:cs="Arial"/>
        <w:color w:val="404040"/>
      </w:rPr>
      <w:t xml:space="preserve">tial meetings with homeowners. </w:t>
    </w:r>
    <w:r w:rsidRPr="00C91F30">
      <w:rPr>
        <w:rFonts w:ascii="Calibri" w:hAnsi="Calibri" w:cs="Arial"/>
        <w:color w:val="404040"/>
      </w:rPr>
      <w:t xml:space="preserve">We are working with Salt Lake County to develop projects to address lead issues in cases where elevated blood lead levels have been found.  </w:t>
    </w:r>
  </w:p>
  <w:p w14:paraId="6828D221" w14:textId="77777777" w:rsidR="005F3FCF" w:rsidRPr="00C91F30" w:rsidRDefault="005F3FCF" w:rsidP="00C91F30">
    <w:pPr>
      <w:spacing w:line="276" w:lineRule="auto"/>
      <w:ind w:right="360"/>
      <w:rPr>
        <w:rFonts w:ascii="Calibri" w:hAnsi="Calibri" w:cs="Calibri"/>
        <w:b/>
        <w:color w:val="FF0000"/>
        <w:szCs w:val="20"/>
      </w:rPr>
    </w:pPr>
  </w:p>
  <w:p w14:paraId="01123AC5" w14:textId="77777777" w:rsidR="005F3FCF" w:rsidRPr="00C91F30" w:rsidRDefault="005F3FCF" w:rsidP="00C91F30">
    <w:pPr>
      <w:widowControl w:val="0"/>
      <w:autoSpaceDE w:val="0"/>
      <w:autoSpaceDN w:val="0"/>
      <w:adjustRightInd w:val="0"/>
      <w:spacing w:line="360" w:lineRule="auto"/>
      <w:rPr>
        <w:rFonts w:ascii="Calibri" w:eastAsia="Calibri" w:hAnsi="Calibri" w:cs="Verdana"/>
        <w:b/>
        <w:bCs/>
        <w:color w:val="404040"/>
        <w:szCs w:val="20"/>
      </w:rPr>
    </w:pPr>
    <w:r w:rsidRPr="00C91F30">
      <w:rPr>
        <w:rFonts w:ascii="Calibri" w:eastAsia="Calibri" w:hAnsi="Calibri" w:cs="Verdana"/>
        <w:b/>
        <w:bCs/>
        <w:color w:val="404040"/>
        <w:szCs w:val="20"/>
      </w:rPr>
      <w:t>Actions taken to reduce the number of poverty-level families:</w:t>
    </w:r>
  </w:p>
  <w:p w14:paraId="336557EE" w14:textId="77777777" w:rsidR="005F3FCF" w:rsidRPr="00C91F30" w:rsidRDefault="005F3FCF" w:rsidP="00C91F30">
    <w:pPr>
      <w:spacing w:line="360" w:lineRule="auto"/>
      <w:rPr>
        <w:rFonts w:ascii="Calibri" w:hAnsi="Calibri"/>
        <w:color w:val="404040"/>
        <w:szCs w:val="20"/>
      </w:rPr>
    </w:pPr>
    <w:r w:rsidRPr="00C91F30">
      <w:rPr>
        <w:rFonts w:ascii="Calibri" w:hAnsi="Calibri"/>
        <w:color w:val="404040"/>
        <w:szCs w:val="20"/>
      </w:rPr>
      <w:t>In a strategic effort to reduce the number of households living in poverty and prevent households at risk of moving in to poverty from doing so, Salt Lake City is focusing on a two-pronged approach:</w:t>
    </w:r>
  </w:p>
  <w:p w14:paraId="51EB206D" w14:textId="77777777" w:rsidR="005F3FCF" w:rsidRPr="00C91F30" w:rsidRDefault="005F3FCF" w:rsidP="00C91F30">
    <w:pPr>
      <w:spacing w:line="360" w:lineRule="auto"/>
      <w:rPr>
        <w:rFonts w:ascii="Calibri" w:hAnsi="Calibri"/>
        <w:color w:val="404040"/>
        <w:szCs w:val="20"/>
      </w:rPr>
    </w:pPr>
  </w:p>
  <w:p w14:paraId="4447C835" w14:textId="77777777" w:rsidR="005F3FCF" w:rsidRPr="00C91F30" w:rsidRDefault="005F3FCF" w:rsidP="00C91F30">
    <w:pPr>
      <w:numPr>
        <w:ilvl w:val="0"/>
        <w:numId w:val="18"/>
      </w:numPr>
      <w:spacing w:line="360" w:lineRule="auto"/>
      <w:contextualSpacing/>
      <w:rPr>
        <w:rFonts w:ascii="Calibri" w:hAnsi="Calibri"/>
        <w:color w:val="404040"/>
        <w:szCs w:val="20"/>
      </w:rPr>
    </w:pPr>
    <w:r w:rsidRPr="00C91F30">
      <w:rPr>
        <w:rFonts w:ascii="Calibri" w:hAnsi="Calibri"/>
        <w:color w:val="404040"/>
        <w:szCs w:val="20"/>
      </w:rPr>
      <w:t>Creating neighborhoods of opportunity to build capacity and expand resources within concentrated areas of poverty.</w:t>
    </w:r>
  </w:p>
  <w:p w14:paraId="10D869E1" w14:textId="77777777" w:rsidR="005F3FCF" w:rsidRPr="00C91F30" w:rsidRDefault="005F3FCF" w:rsidP="00C91F30">
    <w:pPr>
      <w:numPr>
        <w:ilvl w:val="0"/>
        <w:numId w:val="18"/>
      </w:numPr>
      <w:spacing w:line="360" w:lineRule="auto"/>
      <w:contextualSpacing/>
      <w:rPr>
        <w:rFonts w:ascii="Calibri" w:hAnsi="Calibri"/>
        <w:color w:val="404040"/>
        <w:szCs w:val="20"/>
      </w:rPr>
    </w:pPr>
    <w:r w:rsidRPr="00C91F30">
      <w:rPr>
        <w:rFonts w:ascii="Calibri" w:hAnsi="Calibri"/>
        <w:color w:val="404040"/>
        <w:szCs w:val="20"/>
      </w:rPr>
      <w:t>Support the city’s most vulnerable populations, including the chronically homeless, homeless families, food-insecure individuals, the disabled, persons living with HIV/AIDS, victims of domestic violence, at-risk children, individuals with substance use disorders, and the low-income elderly.</w:t>
    </w:r>
  </w:p>
  <w:p w14:paraId="5962A14C" w14:textId="77777777" w:rsidR="005F3FCF" w:rsidRPr="00C91F30" w:rsidRDefault="005F3FCF" w:rsidP="00C91F30">
    <w:pPr>
      <w:spacing w:line="360" w:lineRule="auto"/>
      <w:rPr>
        <w:rFonts w:ascii="Calibri" w:hAnsi="Calibri"/>
        <w:color w:val="404040"/>
        <w:szCs w:val="20"/>
      </w:rPr>
    </w:pPr>
  </w:p>
  <w:p w14:paraId="37D2C22B" w14:textId="77777777" w:rsidR="005F3FCF" w:rsidRPr="00C91F30" w:rsidRDefault="005F3FCF" w:rsidP="00C91F30">
    <w:pPr>
      <w:spacing w:line="360" w:lineRule="auto"/>
      <w:rPr>
        <w:rFonts w:ascii="Calibri" w:hAnsi="Calibri"/>
        <w:color w:val="404040"/>
        <w:szCs w:val="20"/>
      </w:rPr>
    </w:pPr>
    <w:r w:rsidRPr="00C91F30">
      <w:rPr>
        <w:rFonts w:ascii="Calibri" w:hAnsi="Calibri"/>
        <w:color w:val="404040"/>
        <w:szCs w:val="20"/>
      </w:rPr>
      <w:t>The City’s anti-poverty strategy aims to close the gap in a number of socioeconomic indicators, such improving housing affordability, school-readiness of young children, employment skills of at-risk adults, and access to transportation for low-income households. Efforts were focused on the following objectives:</w:t>
    </w:r>
  </w:p>
  <w:p w14:paraId="2B6FB221" w14:textId="77777777" w:rsidR="005F3FCF" w:rsidRPr="00C91F30" w:rsidRDefault="005F3FCF" w:rsidP="00C91F30">
    <w:pPr>
      <w:numPr>
        <w:ilvl w:val="0"/>
        <w:numId w:val="14"/>
      </w:numPr>
      <w:spacing w:line="360" w:lineRule="auto"/>
      <w:contextualSpacing/>
      <w:rPr>
        <w:rFonts w:ascii="Calibri" w:hAnsi="Calibri"/>
        <w:color w:val="404040"/>
        <w:szCs w:val="20"/>
      </w:rPr>
    </w:pPr>
    <w:r w:rsidRPr="00C91F30">
      <w:rPr>
        <w:rFonts w:ascii="Calibri" w:hAnsi="Calibri"/>
        <w:color w:val="404040"/>
        <w:szCs w:val="20"/>
      </w:rPr>
      <w:t>Assist low-income individuals to maximize their incomes</w:t>
    </w:r>
  </w:p>
  <w:p w14:paraId="771172E7" w14:textId="77777777" w:rsidR="005F3FCF" w:rsidRPr="00C91F30" w:rsidRDefault="005F3FCF" w:rsidP="00C91F30">
    <w:pPr>
      <w:numPr>
        <w:ilvl w:val="0"/>
        <w:numId w:val="14"/>
      </w:numPr>
      <w:spacing w:line="360" w:lineRule="auto"/>
      <w:contextualSpacing/>
      <w:rPr>
        <w:rFonts w:ascii="Calibri" w:hAnsi="Calibri"/>
        <w:color w:val="404040"/>
        <w:szCs w:val="20"/>
      </w:rPr>
    </w:pPr>
    <w:r w:rsidRPr="00C91F30">
      <w:rPr>
        <w:rFonts w:ascii="Calibri" w:hAnsi="Calibri"/>
        <w:color w:val="404040"/>
        <w:szCs w:val="20"/>
      </w:rPr>
      <w:t>Reduce the linkages between poor health and poverty</w:t>
    </w:r>
  </w:p>
  <w:p w14:paraId="7371FCBA" w14:textId="77777777" w:rsidR="005F3FCF" w:rsidRPr="00C91F30" w:rsidRDefault="005F3FCF" w:rsidP="00C91F30">
    <w:pPr>
      <w:numPr>
        <w:ilvl w:val="0"/>
        <w:numId w:val="14"/>
      </w:numPr>
      <w:spacing w:line="360" w:lineRule="auto"/>
      <w:contextualSpacing/>
      <w:rPr>
        <w:rFonts w:ascii="Calibri" w:hAnsi="Calibri"/>
        <w:color w:val="404040"/>
        <w:szCs w:val="20"/>
      </w:rPr>
    </w:pPr>
    <w:r w:rsidRPr="00C91F30">
      <w:rPr>
        <w:rFonts w:ascii="Calibri" w:hAnsi="Calibri"/>
        <w:color w:val="404040"/>
        <w:szCs w:val="20"/>
      </w:rPr>
      <w:t>Expand housing opportunities</w:t>
    </w:r>
  </w:p>
  <w:p w14:paraId="76F972AA" w14:textId="77777777" w:rsidR="005F3FCF" w:rsidRPr="00C91F30" w:rsidRDefault="005F3FCF" w:rsidP="00C91F30">
    <w:pPr>
      <w:numPr>
        <w:ilvl w:val="0"/>
        <w:numId w:val="14"/>
      </w:numPr>
      <w:spacing w:line="360" w:lineRule="auto"/>
      <w:contextualSpacing/>
      <w:rPr>
        <w:rFonts w:ascii="Calibri" w:hAnsi="Calibri"/>
        <w:color w:val="404040"/>
        <w:szCs w:val="20"/>
      </w:rPr>
    </w:pPr>
    <w:r w:rsidRPr="00C91F30">
      <w:rPr>
        <w:rFonts w:ascii="Calibri" w:hAnsi="Calibri"/>
        <w:color w:val="404040"/>
        <w:szCs w:val="20"/>
      </w:rPr>
      <w:t>Reduce the impacts of poverty on children</w:t>
    </w:r>
  </w:p>
  <w:p w14:paraId="5AB0D0C7" w14:textId="77777777" w:rsidR="005F3FCF" w:rsidRPr="00C91F30" w:rsidRDefault="005F3FCF" w:rsidP="00C91F30">
    <w:pPr>
      <w:numPr>
        <w:ilvl w:val="0"/>
        <w:numId w:val="14"/>
      </w:numPr>
      <w:spacing w:line="360" w:lineRule="auto"/>
      <w:contextualSpacing/>
      <w:rPr>
        <w:rFonts w:ascii="Calibri" w:hAnsi="Calibri"/>
        <w:color w:val="404040"/>
        <w:szCs w:val="20"/>
      </w:rPr>
    </w:pPr>
    <w:r w:rsidRPr="00C91F30">
      <w:rPr>
        <w:rFonts w:ascii="Calibri" w:hAnsi="Calibri"/>
        <w:color w:val="404040"/>
        <w:szCs w:val="20"/>
      </w:rPr>
      <w:t>Ensure that vulnerable populations have access to supportive services</w:t>
    </w:r>
  </w:p>
  <w:p w14:paraId="4C464739" w14:textId="77777777" w:rsidR="005F3FCF" w:rsidRPr="00C91F30" w:rsidRDefault="005F3FCF" w:rsidP="00C91F30">
    <w:pPr>
      <w:spacing w:line="360" w:lineRule="auto"/>
      <w:rPr>
        <w:rFonts w:ascii="Calibri" w:hAnsi="Calibri"/>
        <w:color w:val="404040"/>
        <w:szCs w:val="20"/>
      </w:rPr>
    </w:pPr>
  </w:p>
  <w:p w14:paraId="3F2722E2" w14:textId="77777777" w:rsidR="005F3FCF" w:rsidRPr="00C91F30" w:rsidRDefault="005F3FCF" w:rsidP="00C91F30">
    <w:pPr>
      <w:spacing w:line="360" w:lineRule="auto"/>
      <w:rPr>
        <w:rFonts w:ascii="Calibri" w:hAnsi="Calibri"/>
        <w:color w:val="404040"/>
        <w:szCs w:val="20"/>
      </w:rPr>
    </w:pPr>
    <w:r w:rsidRPr="00C91F30">
      <w:rPr>
        <w:rFonts w:ascii="Calibri" w:hAnsi="Calibri"/>
        <w:color w:val="404040"/>
        <w:szCs w:val="20"/>
      </w:rPr>
      <w:t>Federal entitlement funds allocated through this program year supported the City’s anti-poverty strategy through the following efforts:</w:t>
    </w:r>
  </w:p>
  <w:p w14:paraId="5B721563" w14:textId="77777777" w:rsidR="005F3FCF" w:rsidRPr="00C91F30" w:rsidRDefault="005F3FCF" w:rsidP="00C91F30">
    <w:pPr>
      <w:numPr>
        <w:ilvl w:val="0"/>
        <w:numId w:val="15"/>
      </w:numPr>
      <w:spacing w:line="360" w:lineRule="auto"/>
      <w:contextualSpacing/>
      <w:rPr>
        <w:rFonts w:ascii="Calibri" w:hAnsi="Calibri"/>
        <w:color w:val="404040"/>
        <w:szCs w:val="20"/>
      </w:rPr>
    </w:pPr>
    <w:r w:rsidRPr="00C91F30">
      <w:rPr>
        <w:rFonts w:ascii="Calibri" w:hAnsi="Calibri"/>
        <w:color w:val="404040"/>
        <w:szCs w:val="20"/>
      </w:rPr>
      <w:t>Provided job training for vulnerable populations</w:t>
    </w:r>
  </w:p>
  <w:p w14:paraId="42AB5646" w14:textId="77777777" w:rsidR="005F3FCF" w:rsidRPr="00C91F30" w:rsidRDefault="005F3FCF" w:rsidP="00C91F30">
    <w:pPr>
      <w:numPr>
        <w:ilvl w:val="0"/>
        <w:numId w:val="15"/>
      </w:numPr>
      <w:spacing w:line="360" w:lineRule="auto"/>
      <w:contextualSpacing/>
      <w:rPr>
        <w:rFonts w:ascii="Calibri" w:hAnsi="Calibri"/>
        <w:color w:val="404040"/>
        <w:szCs w:val="20"/>
      </w:rPr>
    </w:pPr>
    <w:r w:rsidRPr="00C91F30">
      <w:rPr>
        <w:rFonts w:ascii="Calibri" w:hAnsi="Calibri"/>
        <w:color w:val="404040"/>
        <w:szCs w:val="20"/>
      </w:rPr>
      <w:t>Provided early childhood education to limit the effects of intergenerational poverty</w:t>
    </w:r>
  </w:p>
  <w:p w14:paraId="42199711" w14:textId="77777777" w:rsidR="005F3FCF" w:rsidRPr="00C91F30" w:rsidRDefault="005F3FCF" w:rsidP="00C91F30">
    <w:pPr>
      <w:numPr>
        <w:ilvl w:val="0"/>
        <w:numId w:val="15"/>
      </w:numPr>
      <w:spacing w:line="360" w:lineRule="auto"/>
      <w:contextualSpacing/>
      <w:rPr>
        <w:rFonts w:ascii="Calibri" w:hAnsi="Calibri"/>
        <w:color w:val="404040"/>
        <w:szCs w:val="20"/>
      </w:rPr>
    </w:pPr>
    <w:r w:rsidRPr="00C91F30">
      <w:rPr>
        <w:rFonts w:ascii="Calibri" w:hAnsi="Calibri"/>
        <w:color w:val="404040"/>
        <w:szCs w:val="20"/>
      </w:rPr>
      <w:t>Provided essential supportive services for vulnerable populations</w:t>
    </w:r>
  </w:p>
  <w:p w14:paraId="6AC546A2" w14:textId="77777777" w:rsidR="005F3FCF" w:rsidRPr="00C91F30" w:rsidRDefault="005F3FCF" w:rsidP="00C91F30">
    <w:pPr>
      <w:numPr>
        <w:ilvl w:val="0"/>
        <w:numId w:val="15"/>
      </w:numPr>
      <w:spacing w:line="360" w:lineRule="auto"/>
      <w:contextualSpacing/>
      <w:rPr>
        <w:rFonts w:ascii="Calibri" w:hAnsi="Calibri"/>
        <w:color w:val="404040"/>
        <w:szCs w:val="20"/>
      </w:rPr>
    </w:pPr>
    <w:r w:rsidRPr="00C91F30">
      <w:rPr>
        <w:rFonts w:ascii="Calibri" w:hAnsi="Calibri"/>
        <w:color w:val="404040"/>
        <w:szCs w:val="20"/>
      </w:rPr>
      <w:t>Provided housing rehabilitation for low-income homeowners</w:t>
    </w:r>
  </w:p>
  <w:p w14:paraId="2D339E6D" w14:textId="77777777" w:rsidR="005F3FCF" w:rsidRPr="00C91F30" w:rsidRDefault="005F3FCF" w:rsidP="00C91F30">
    <w:pPr>
      <w:numPr>
        <w:ilvl w:val="0"/>
        <w:numId w:val="15"/>
      </w:numPr>
      <w:spacing w:line="360" w:lineRule="auto"/>
      <w:contextualSpacing/>
      <w:rPr>
        <w:rFonts w:ascii="Calibri" w:hAnsi="Calibri"/>
        <w:color w:val="404040"/>
        <w:szCs w:val="20"/>
      </w:rPr>
    </w:pPr>
    <w:r w:rsidRPr="00C91F30">
      <w:rPr>
        <w:rFonts w:ascii="Calibri" w:hAnsi="Calibri"/>
        <w:color w:val="404040"/>
        <w:szCs w:val="20"/>
      </w:rPr>
      <w:t>Expanded affordable housing opportunities</w:t>
    </w:r>
  </w:p>
  <w:p w14:paraId="305192E4" w14:textId="77777777" w:rsidR="005F3FCF" w:rsidRPr="00C91F30" w:rsidRDefault="005F3FCF" w:rsidP="00C91F30">
    <w:pPr>
      <w:numPr>
        <w:ilvl w:val="0"/>
        <w:numId w:val="15"/>
      </w:numPr>
      <w:spacing w:line="360" w:lineRule="auto"/>
      <w:contextualSpacing/>
      <w:rPr>
        <w:rFonts w:ascii="Calibri" w:hAnsi="Calibri"/>
        <w:color w:val="404040"/>
        <w:szCs w:val="20"/>
      </w:rPr>
    </w:pPr>
    <w:r w:rsidRPr="00C91F30">
      <w:rPr>
        <w:rFonts w:ascii="Calibri" w:hAnsi="Calibri"/>
        <w:color w:val="404040"/>
        <w:szCs w:val="20"/>
      </w:rPr>
      <w:t>Improved neighborhood/commercial infrastructure in concentrated areas of poverty</w:t>
    </w:r>
  </w:p>
  <w:p w14:paraId="447CFFC2" w14:textId="77777777" w:rsidR="005F3FCF" w:rsidRPr="00C91F30" w:rsidRDefault="005F3FCF" w:rsidP="00C91F30">
    <w:pPr>
      <w:widowControl w:val="0"/>
      <w:autoSpaceDE w:val="0"/>
      <w:autoSpaceDN w:val="0"/>
      <w:adjustRightInd w:val="0"/>
      <w:spacing w:line="360" w:lineRule="auto"/>
      <w:rPr>
        <w:rFonts w:ascii="Calibri" w:eastAsia="Calibri" w:hAnsi="Calibri" w:cs="Verdana"/>
        <w:b/>
        <w:bCs/>
        <w:color w:val="404040"/>
        <w:szCs w:val="20"/>
      </w:rPr>
    </w:pPr>
  </w:p>
  <w:p w14:paraId="0A6C8188" w14:textId="77777777" w:rsidR="005F3FCF" w:rsidRDefault="005F3FCF" w:rsidP="00C91F30">
    <w:pPr>
      <w:widowControl w:val="0"/>
      <w:autoSpaceDE w:val="0"/>
      <w:autoSpaceDN w:val="0"/>
      <w:adjustRightInd w:val="0"/>
      <w:spacing w:line="360" w:lineRule="auto"/>
      <w:rPr>
        <w:rFonts w:ascii="Calibri" w:eastAsia="Calibri" w:hAnsi="Calibri" w:cs="Verdana"/>
        <w:b/>
        <w:bCs/>
        <w:color w:val="404040"/>
        <w:szCs w:val="20"/>
      </w:rPr>
    </w:pPr>
  </w:p>
  <w:p w14:paraId="7FB1FFE4" w14:textId="77777777" w:rsidR="005F3FCF" w:rsidRPr="00C91F30" w:rsidRDefault="005F3FCF" w:rsidP="00C91F30">
    <w:pPr>
      <w:widowControl w:val="0"/>
      <w:autoSpaceDE w:val="0"/>
      <w:autoSpaceDN w:val="0"/>
      <w:adjustRightInd w:val="0"/>
      <w:spacing w:line="360" w:lineRule="auto"/>
      <w:rPr>
        <w:rFonts w:ascii="Calibri" w:eastAsia="Calibri" w:hAnsi="Calibri" w:cs="Verdana"/>
        <w:b/>
        <w:bCs/>
        <w:color w:val="404040"/>
        <w:szCs w:val="20"/>
      </w:rPr>
    </w:pPr>
    <w:r w:rsidRPr="00C91F30">
      <w:rPr>
        <w:rFonts w:ascii="Calibri" w:eastAsia="Calibri" w:hAnsi="Calibri" w:cs="Verdana"/>
        <w:b/>
        <w:bCs/>
        <w:color w:val="404040"/>
        <w:szCs w:val="20"/>
      </w:rPr>
      <w:t>Actions taken to develop institutional structure:</w:t>
    </w:r>
  </w:p>
  <w:p w14:paraId="6AB2C496" w14:textId="77777777" w:rsidR="005F3FCF" w:rsidRPr="00C91F30" w:rsidRDefault="005F3FCF" w:rsidP="00C91F30">
    <w:pPr>
      <w:spacing w:line="360" w:lineRule="auto"/>
      <w:rPr>
        <w:rFonts w:ascii="Calibri" w:eastAsia="Calibri" w:hAnsi="Calibri" w:cs="Verdana"/>
        <w:bCs/>
        <w:color w:val="404040"/>
        <w:szCs w:val="20"/>
      </w:rPr>
    </w:pPr>
    <w:r w:rsidRPr="00C91F30">
      <w:rPr>
        <w:rFonts w:ascii="Calibri" w:eastAsia="Calibri" w:hAnsi="Calibri" w:cs="Verdana"/>
        <w:bCs/>
        <w:color w:val="404040"/>
        <w:szCs w:val="20"/>
      </w:rPr>
      <w:t>As outlined in the 2015-2019 Consolidated Plan, Salt Lake City has taken a coordinated and strategic shift in allocating federal entitlement funds to place a stronger emphasis on community needs, goals, objectives and outcomes. This includes the following efforts to strengthen and develop institutional structure:</w:t>
    </w:r>
  </w:p>
  <w:p w14:paraId="672CAAF2" w14:textId="77777777" w:rsidR="005F3FCF" w:rsidRPr="00C91F30" w:rsidRDefault="005F3FCF" w:rsidP="00C91F30">
    <w:pPr>
      <w:numPr>
        <w:ilvl w:val="0"/>
        <w:numId w:val="16"/>
      </w:numPr>
      <w:spacing w:line="360" w:lineRule="auto"/>
      <w:contextualSpacing/>
      <w:rPr>
        <w:rFonts w:ascii="Calibri" w:eastAsia="Calibri" w:hAnsi="Calibri" w:cs="Verdana"/>
        <w:bCs/>
        <w:color w:val="404040"/>
        <w:szCs w:val="20"/>
      </w:rPr>
    </w:pPr>
    <w:r w:rsidRPr="00C91F30">
      <w:rPr>
        <w:rFonts w:ascii="Calibri" w:eastAsia="Calibri" w:hAnsi="Calibri" w:cs="Verdana"/>
        <w:bCs/>
        <w:color w:val="404040"/>
        <w:szCs w:val="20"/>
      </w:rPr>
      <w:t xml:space="preserve">Geographically targeted funding to racial and ethnic concentrated areas of poverty, with focus on the Central City/Central Ninth and Poplar Grove local target areas, to increase access to opportunity within these neighborhoods. </w:t>
    </w:r>
  </w:p>
  <w:p w14:paraId="37A6FACE" w14:textId="77777777" w:rsidR="005F3FCF" w:rsidRPr="00C91F30" w:rsidRDefault="005F3FCF" w:rsidP="00C91F30">
    <w:pPr>
      <w:numPr>
        <w:ilvl w:val="0"/>
        <w:numId w:val="16"/>
      </w:numPr>
      <w:spacing w:line="360" w:lineRule="auto"/>
      <w:contextualSpacing/>
      <w:rPr>
        <w:rFonts w:ascii="Calibri" w:eastAsia="Calibri" w:hAnsi="Calibri" w:cs="Verdana"/>
        <w:bCs/>
        <w:color w:val="404040"/>
        <w:szCs w:val="20"/>
      </w:rPr>
    </w:pPr>
    <w:r w:rsidRPr="00C91F30">
      <w:rPr>
        <w:rFonts w:ascii="Calibri" w:eastAsia="Calibri" w:hAnsi="Calibri" w:cs="Verdana"/>
        <w:bCs/>
        <w:color w:val="404040"/>
        <w:szCs w:val="20"/>
      </w:rPr>
      <w:t>Increased coordination between housing and supportive service providers to reduce/eliminate duplicative efforts, encourage partnerships, increase transparency, and standardize processes.</w:t>
    </w:r>
  </w:p>
  <w:p w14:paraId="1BF0721A" w14:textId="77777777" w:rsidR="005F3FCF" w:rsidRPr="00C91F30" w:rsidRDefault="005F3FCF" w:rsidP="00C91F30">
    <w:pPr>
      <w:numPr>
        <w:ilvl w:val="0"/>
        <w:numId w:val="16"/>
      </w:numPr>
      <w:spacing w:line="360" w:lineRule="auto"/>
      <w:contextualSpacing/>
      <w:rPr>
        <w:rFonts w:ascii="Calibri" w:hAnsi="Calibri"/>
        <w:color w:val="404040"/>
        <w:szCs w:val="20"/>
      </w:rPr>
    </w:pPr>
    <w:r w:rsidRPr="00C91F30">
      <w:rPr>
        <w:rFonts w:ascii="Calibri" w:hAnsi="Calibri"/>
        <w:color w:val="404040"/>
        <w:szCs w:val="20"/>
      </w:rPr>
      <w:t>Strengthened support for the city’s most vulnerable populations, including the chronically homeless, homeless families, food-insecure individuals, the disabled, persons living with HIV/AIDS, victims of domestic violence and the low-income elderly.</w:t>
    </w:r>
  </w:p>
  <w:p w14:paraId="72560AF0" w14:textId="77777777" w:rsidR="005F3FCF" w:rsidRPr="00C91F30" w:rsidRDefault="005F3FCF" w:rsidP="00C91F30">
    <w:pPr>
      <w:numPr>
        <w:ilvl w:val="0"/>
        <w:numId w:val="16"/>
      </w:numPr>
      <w:spacing w:line="360" w:lineRule="auto"/>
      <w:contextualSpacing/>
      <w:rPr>
        <w:rFonts w:ascii="Calibri" w:hAnsi="Calibri"/>
        <w:color w:val="404040"/>
        <w:szCs w:val="20"/>
      </w:rPr>
    </w:pPr>
    <w:r w:rsidRPr="00C91F30">
      <w:rPr>
        <w:rFonts w:ascii="Calibri" w:hAnsi="Calibri"/>
        <w:color w:val="404040"/>
        <w:szCs w:val="20"/>
      </w:rPr>
      <w:t>Supported housing efforts that connect residents with supportive services and programs that improve self-sufficiency.</w:t>
    </w:r>
  </w:p>
  <w:p w14:paraId="69EE7B91" w14:textId="77777777" w:rsidR="005F3FCF" w:rsidRPr="00C91F30" w:rsidRDefault="005F3FCF" w:rsidP="00C91F30">
    <w:pPr>
      <w:numPr>
        <w:ilvl w:val="0"/>
        <w:numId w:val="16"/>
      </w:numPr>
      <w:spacing w:line="360" w:lineRule="auto"/>
      <w:contextualSpacing/>
      <w:rPr>
        <w:rFonts w:ascii="Calibri" w:hAnsi="Calibri"/>
        <w:color w:val="404040"/>
        <w:szCs w:val="20"/>
      </w:rPr>
    </w:pPr>
    <w:r w:rsidRPr="00C91F30">
      <w:rPr>
        <w:rFonts w:ascii="Calibri" w:hAnsi="Calibri"/>
        <w:color w:val="404040"/>
        <w:szCs w:val="20"/>
      </w:rPr>
      <w:t xml:space="preserve">Provided technical assistance to agencies implementing projects with CDBG, ESG, HOME, and/or HOPWA funding to ensure compliance and support of program objectives. Technical assistance was provided to each agency that had not received funding from Salt Lake City in the past few years, or any agency that requested it to assist in strengthening their programs and the knowledge of staff members. </w:t>
    </w:r>
  </w:p>
  <w:p w14:paraId="7D07568B" w14:textId="77777777" w:rsidR="005F3FCF" w:rsidRPr="00C91F30" w:rsidRDefault="005F3FCF" w:rsidP="00C91F30">
    <w:pPr>
      <w:numPr>
        <w:ilvl w:val="0"/>
        <w:numId w:val="16"/>
      </w:numPr>
      <w:spacing w:line="360" w:lineRule="auto"/>
      <w:contextualSpacing/>
      <w:rPr>
        <w:rFonts w:ascii="Calibri" w:hAnsi="Calibri"/>
        <w:color w:val="404040"/>
        <w:szCs w:val="20"/>
      </w:rPr>
    </w:pPr>
    <w:r w:rsidRPr="00C91F30">
      <w:rPr>
        <w:rFonts w:ascii="Calibri" w:hAnsi="Calibri"/>
        <w:color w:val="404040"/>
        <w:szCs w:val="20"/>
      </w:rPr>
      <w:t>Supported employee training and certifications to expand the internal knowledge base on HUD programs, as well as housing and community development best practices.</w:t>
    </w:r>
  </w:p>
  <w:p w14:paraId="1D900FC7" w14:textId="77777777" w:rsidR="005F3FCF" w:rsidRPr="00C91F30" w:rsidRDefault="005F3FCF" w:rsidP="00C91F30">
    <w:pPr>
      <w:numPr>
        <w:ilvl w:val="0"/>
        <w:numId w:val="16"/>
      </w:numPr>
      <w:spacing w:line="360" w:lineRule="auto"/>
      <w:contextualSpacing/>
      <w:rPr>
        <w:rFonts w:ascii="Calibri" w:hAnsi="Calibri"/>
        <w:color w:val="404040"/>
        <w:szCs w:val="20"/>
      </w:rPr>
    </w:pPr>
    <w:r w:rsidRPr="00C91F30">
      <w:rPr>
        <w:rFonts w:ascii="Calibri" w:hAnsi="Calibri"/>
        <w:color w:val="404040"/>
        <w:szCs w:val="20"/>
      </w:rPr>
      <w:t xml:space="preserve">Sent staff to HUD led trainings including the HOPWA Institute and CPD Grant Training. </w:t>
    </w:r>
  </w:p>
  <w:p w14:paraId="3ABA13BE" w14:textId="77777777" w:rsidR="005F3FCF" w:rsidRPr="00C91F30" w:rsidRDefault="005F3FCF" w:rsidP="00C91F30">
    <w:pPr>
      <w:spacing w:line="360" w:lineRule="auto"/>
      <w:ind w:right="360"/>
      <w:rPr>
        <w:rFonts w:ascii="Calibri" w:hAnsi="Calibri" w:cs="Calibri"/>
        <w:b/>
        <w:color w:val="404040"/>
        <w:szCs w:val="20"/>
      </w:rPr>
    </w:pPr>
  </w:p>
  <w:p w14:paraId="0F9440AF" w14:textId="77777777" w:rsidR="005F3FCF" w:rsidRPr="00C91F30" w:rsidRDefault="005F3FCF" w:rsidP="00C91F30">
    <w:pPr>
      <w:widowControl w:val="0"/>
      <w:autoSpaceDE w:val="0"/>
      <w:autoSpaceDN w:val="0"/>
      <w:adjustRightInd w:val="0"/>
      <w:spacing w:line="360" w:lineRule="auto"/>
      <w:rPr>
        <w:rFonts w:ascii="Calibri" w:eastAsia="Calibri" w:hAnsi="Calibri" w:cs="Verdana"/>
        <w:b/>
        <w:bCs/>
        <w:color w:val="404040"/>
        <w:szCs w:val="20"/>
      </w:rPr>
    </w:pPr>
    <w:r w:rsidRPr="00C91F30">
      <w:rPr>
        <w:rFonts w:ascii="Calibri" w:eastAsia="Calibri" w:hAnsi="Calibri" w:cs="Verdana"/>
        <w:b/>
        <w:bCs/>
        <w:color w:val="404040"/>
        <w:szCs w:val="20"/>
      </w:rPr>
      <w:t>Actions taken to enhance coordination between public and private housing and social service agencies:</w:t>
    </w:r>
  </w:p>
  <w:p w14:paraId="45823930" w14:textId="77777777" w:rsidR="005F3FCF" w:rsidRPr="00C91F30" w:rsidRDefault="005F3FCF" w:rsidP="00C91F30">
    <w:pPr>
      <w:spacing w:line="360" w:lineRule="auto"/>
      <w:rPr>
        <w:rFonts w:ascii="Calibri" w:eastAsia="Calibri" w:hAnsi="Calibri" w:cs="Verdana"/>
        <w:bCs/>
        <w:color w:val="404040"/>
        <w:szCs w:val="20"/>
      </w:rPr>
    </w:pPr>
    <w:r w:rsidRPr="00C91F30">
      <w:rPr>
        <w:rFonts w:ascii="Calibri" w:eastAsia="Calibri" w:hAnsi="Calibri" w:cs="Verdana"/>
        <w:bCs/>
        <w:color w:val="404040"/>
        <w:szCs w:val="20"/>
      </w:rPr>
      <w:t>Salt Lake City recognizes the importance of coordination between supportive service and housing providers in meeting priority needs. Stakeholders have continued to work towards developing and implementing a streamlined and effective delivery system to include the following efforts:</w:t>
    </w:r>
  </w:p>
  <w:p w14:paraId="2FD8C872" w14:textId="77777777" w:rsidR="005F3FCF" w:rsidRPr="00C91F30" w:rsidRDefault="005F3FCF" w:rsidP="00C91F30">
    <w:pPr>
      <w:numPr>
        <w:ilvl w:val="0"/>
        <w:numId w:val="17"/>
      </w:numPr>
      <w:spacing w:line="360" w:lineRule="auto"/>
      <w:contextualSpacing/>
      <w:rPr>
        <w:rFonts w:ascii="Calibri" w:eastAsia="Calibri" w:hAnsi="Calibri" w:cs="Verdana"/>
        <w:bCs/>
        <w:color w:val="404040"/>
        <w:szCs w:val="20"/>
      </w:rPr>
    </w:pPr>
    <w:r w:rsidRPr="00C91F30">
      <w:rPr>
        <w:rFonts w:ascii="Calibri" w:eastAsia="Calibri" w:hAnsi="Calibri" w:cs="Verdana"/>
        <w:bCs/>
        <w:color w:val="404040"/>
        <w:szCs w:val="20"/>
      </w:rPr>
      <w:t>Increased coordination through the Salt Lake Continuum of Care and Homeless Coordinating Committee</w:t>
    </w:r>
  </w:p>
  <w:p w14:paraId="2A8E875F" w14:textId="77777777" w:rsidR="005F3FCF" w:rsidRPr="00C91F30" w:rsidRDefault="005F3FCF" w:rsidP="00C91F30">
    <w:pPr>
      <w:numPr>
        <w:ilvl w:val="0"/>
        <w:numId w:val="17"/>
      </w:numPr>
      <w:spacing w:line="360" w:lineRule="auto"/>
      <w:contextualSpacing/>
      <w:rPr>
        <w:rFonts w:ascii="Calibri" w:eastAsia="Calibri" w:hAnsi="Calibri" w:cs="Verdana"/>
        <w:bCs/>
        <w:color w:val="404040"/>
        <w:szCs w:val="20"/>
      </w:rPr>
    </w:pPr>
    <w:r w:rsidRPr="00C91F30">
      <w:rPr>
        <w:rFonts w:ascii="Calibri" w:eastAsia="Calibri" w:hAnsi="Calibri" w:cs="Verdana"/>
        <w:bCs/>
        <w:color w:val="404040"/>
        <w:szCs w:val="20"/>
      </w:rPr>
      <w:t>Improving coordinated assessments to help individuals and families experiencing homeless move through the system faster.</w:t>
    </w:r>
  </w:p>
  <w:p w14:paraId="38EC05B4" w14:textId="77777777" w:rsidR="005F3FCF" w:rsidRPr="00C91F30" w:rsidRDefault="005F3FCF" w:rsidP="00C91F30">
    <w:pPr>
      <w:numPr>
        <w:ilvl w:val="0"/>
        <w:numId w:val="17"/>
      </w:numPr>
      <w:spacing w:line="360" w:lineRule="auto"/>
      <w:contextualSpacing/>
      <w:rPr>
        <w:rFonts w:ascii="Calibri" w:eastAsia="Calibri" w:hAnsi="Calibri" w:cs="Verdana"/>
        <w:bCs/>
        <w:color w:val="404040"/>
        <w:szCs w:val="20"/>
      </w:rPr>
    </w:pPr>
    <w:r w:rsidRPr="00C91F30">
      <w:rPr>
        <w:rFonts w:ascii="Calibri" w:eastAsia="Calibri" w:hAnsi="Calibri" w:cs="Verdana"/>
        <w:bCs/>
        <w:color w:val="404040"/>
        <w:szCs w:val="20"/>
      </w:rPr>
      <w:t>Coordinated diversion and homeless prevention resources to reduce new entries into homelessness.</w:t>
    </w:r>
  </w:p>
  <w:p w14:paraId="51A39B16" w14:textId="77777777" w:rsidR="005F3FCF" w:rsidRPr="00C91F30" w:rsidRDefault="005F3FCF" w:rsidP="00C91F30">
    <w:pPr>
      <w:numPr>
        <w:ilvl w:val="0"/>
        <w:numId w:val="17"/>
      </w:numPr>
      <w:spacing w:line="360" w:lineRule="auto"/>
      <w:contextualSpacing/>
      <w:rPr>
        <w:rFonts w:ascii="Calibri" w:eastAsia="Calibri" w:hAnsi="Calibri" w:cs="Verdana"/>
        <w:bCs/>
        <w:color w:val="404040"/>
        <w:szCs w:val="20"/>
      </w:rPr>
    </w:pPr>
    <w:r w:rsidRPr="00C91F30">
      <w:rPr>
        <w:rFonts w:ascii="Calibri" w:eastAsia="Calibri" w:hAnsi="Calibri" w:cs="Verdana"/>
        <w:color w:val="404040"/>
        <w:szCs w:val="20"/>
      </w:rPr>
      <w:t>Monthly “housing triage” meetings that provide a format for developing a housing plan for homeless individuals and families with the most urgent housing needs.</w:t>
    </w:r>
  </w:p>
  <w:p w14:paraId="0C818CE3" w14:textId="77777777" w:rsidR="005F3FCF" w:rsidRPr="00C91F30" w:rsidRDefault="005F3FCF" w:rsidP="00C91F30">
    <w:pPr>
      <w:spacing w:line="360" w:lineRule="auto"/>
      <w:rPr>
        <w:rFonts w:ascii="Calibri" w:hAnsi="Calibri" w:cs="Arial"/>
        <w:color w:val="404040"/>
        <w:szCs w:val="20"/>
      </w:rPr>
    </w:pPr>
  </w:p>
  <w:p w14:paraId="61069789" w14:textId="77777777" w:rsidR="005F3FCF" w:rsidRPr="00C91F30" w:rsidRDefault="005F3FCF" w:rsidP="00C91F30">
    <w:pPr>
      <w:spacing w:line="360" w:lineRule="auto"/>
      <w:rPr>
        <w:rFonts w:ascii="Calibri" w:hAnsi="Calibri" w:cs="Arial"/>
        <w:color w:val="404040"/>
        <w:szCs w:val="20"/>
      </w:rPr>
    </w:pPr>
    <w:r w:rsidRPr="00C91F30">
      <w:rPr>
        <w:rFonts w:ascii="Calibri" w:hAnsi="Calibri" w:cs="Arial"/>
        <w:color w:val="404040"/>
        <w:szCs w:val="20"/>
      </w:rPr>
      <w:t>In addition, HAND has continued to explore opportunities to use its Housing Trust Fund monies as match for acquisition, rehabilitation and new construction of transitional and permanent housing projects proposed by local housing development agencies to provide affordable and special needs housing.</w:t>
    </w:r>
  </w:p>
  <w:p w14:paraId="54F05004" w14:textId="77777777" w:rsidR="005F3FCF" w:rsidRPr="00C91F30" w:rsidRDefault="005F3FCF" w:rsidP="00C91F30">
    <w:pPr>
      <w:spacing w:line="360" w:lineRule="auto"/>
      <w:rPr>
        <w:rFonts w:ascii="Calibri" w:hAnsi="Calibri" w:cs="Arial"/>
        <w:color w:val="404040"/>
        <w:szCs w:val="20"/>
      </w:rPr>
    </w:pPr>
  </w:p>
  <w:p w14:paraId="223A7CDA" w14:textId="77777777" w:rsidR="005F3FCF" w:rsidRPr="00C91F30" w:rsidRDefault="005F3FCF" w:rsidP="00C91F30">
    <w:pPr>
      <w:spacing w:line="360" w:lineRule="auto"/>
      <w:rPr>
        <w:rFonts w:ascii="Calibri" w:eastAsia="Times New Roman" w:hAnsi="Calibri" w:cs="Arial"/>
        <w:color w:val="404040"/>
        <w:szCs w:val="20"/>
      </w:rPr>
    </w:pPr>
    <w:r w:rsidRPr="00C91F30">
      <w:rPr>
        <w:rFonts w:ascii="Calibri" w:hAnsi="Calibri" w:cs="Arial"/>
        <w:color w:val="404040"/>
        <w:szCs w:val="20"/>
      </w:rPr>
      <w:t xml:space="preserve">Salt Lake City has numerous affordable housing units available for low income families and seniors and has continued </w:t>
    </w:r>
    <w:r>
      <w:rPr>
        <w:rFonts w:ascii="Calibri" w:hAnsi="Calibri" w:cs="Arial"/>
        <w:color w:val="404040"/>
        <w:szCs w:val="20"/>
      </w:rPr>
      <w:t xml:space="preserve">to encourage new developments. </w:t>
    </w:r>
    <w:r w:rsidRPr="00C91F30">
      <w:rPr>
        <w:rFonts w:ascii="Calibri" w:hAnsi="Calibri" w:cs="Arial"/>
        <w:color w:val="404040"/>
        <w:szCs w:val="20"/>
      </w:rPr>
      <w:t>The City has explored opportunities to participate with the Housing Authority, private developers, and non-profit agencies in the construction of affordable housing and supportive and special needs housing.  The City has also continued to collaborate with the providers of homeless services, neighborhood residents and business owners to create an environment where a mix of residents with different income levels and persons with special needs can live, work, and flourish together.</w:t>
    </w:r>
  </w:p>
  <w:p w14:paraId="38D4710A" w14:textId="77777777" w:rsidR="005F3FCF" w:rsidRPr="00C91F30" w:rsidRDefault="005F3FCF" w:rsidP="00C91F30">
    <w:pPr>
      <w:spacing w:line="360" w:lineRule="auto"/>
      <w:ind w:right="360"/>
      <w:rPr>
        <w:rFonts w:ascii="Calibri" w:hAnsi="Calibri" w:cs="Calibri"/>
        <w:b/>
        <w:color w:val="FF0000"/>
        <w:szCs w:val="20"/>
      </w:rPr>
    </w:pPr>
  </w:p>
  <w:p w14:paraId="49016F2A" w14:textId="77777777" w:rsidR="005F3FCF" w:rsidRPr="00C91F30" w:rsidRDefault="005F3FCF" w:rsidP="00C91F30">
    <w:pPr>
      <w:spacing w:line="360" w:lineRule="auto"/>
      <w:ind w:right="360"/>
      <w:rPr>
        <w:rFonts w:ascii="Calibri" w:hAnsi="Calibri" w:cs="Calibri"/>
        <w:b/>
        <w:color w:val="404040"/>
        <w:szCs w:val="20"/>
      </w:rPr>
    </w:pPr>
    <w:r w:rsidRPr="00C91F30">
      <w:rPr>
        <w:rFonts w:ascii="Calibri" w:hAnsi="Calibri" w:cs="Calibri"/>
        <w:b/>
        <w:color w:val="404040"/>
        <w:szCs w:val="20"/>
      </w:rPr>
      <w:t xml:space="preserve">Identify actions taken to overcome the effects of any impediments identified in the jurisdictions analysis of impediments to fair housing choice. </w:t>
    </w:r>
  </w:p>
  <w:p w14:paraId="571272A0" w14:textId="77777777" w:rsidR="005F3FCF" w:rsidRPr="00C91F30" w:rsidRDefault="005F3FCF" w:rsidP="00C91F30">
    <w:pPr>
      <w:autoSpaceDE w:val="0"/>
      <w:autoSpaceDN w:val="0"/>
      <w:adjustRightInd w:val="0"/>
      <w:spacing w:line="360" w:lineRule="auto"/>
      <w:rPr>
        <w:rFonts w:ascii="Calibri" w:hAnsi="Calibri"/>
        <w:color w:val="404040"/>
        <w:szCs w:val="20"/>
      </w:rPr>
    </w:pPr>
    <w:r w:rsidRPr="00C91F30">
      <w:rPr>
        <w:rFonts w:ascii="Calibri" w:hAnsi="Calibri"/>
        <w:color w:val="404040"/>
        <w:szCs w:val="20"/>
      </w:rPr>
      <w:t xml:space="preserve">Salt Lake City has addressed impediments as identified in the most recent Analysis of Impediments. In addition, the City began to address impediments as identified through the 2015-2019 Consolidated Plan planning process. Efforts and achievements are as follows: </w:t>
    </w:r>
  </w:p>
  <w:p w14:paraId="79C45231" w14:textId="77777777" w:rsidR="005F3FCF" w:rsidRPr="00C91F30" w:rsidRDefault="005F3FCF" w:rsidP="00C91F30">
    <w:pPr>
      <w:autoSpaceDE w:val="0"/>
      <w:autoSpaceDN w:val="0"/>
      <w:adjustRightInd w:val="0"/>
      <w:spacing w:line="360" w:lineRule="auto"/>
      <w:rPr>
        <w:rFonts w:ascii="Calibri" w:hAnsi="Calibri"/>
        <w:b/>
        <w:bCs/>
        <w:color w:val="404040"/>
        <w:szCs w:val="20"/>
      </w:rPr>
    </w:pPr>
  </w:p>
  <w:p w14:paraId="7B921B7B" w14:textId="77777777" w:rsidR="005F3FCF" w:rsidRPr="00C91F30" w:rsidRDefault="005F3FCF" w:rsidP="00C91F30">
    <w:pPr>
      <w:autoSpaceDE w:val="0"/>
      <w:autoSpaceDN w:val="0"/>
      <w:adjustRightInd w:val="0"/>
      <w:spacing w:line="360" w:lineRule="auto"/>
      <w:rPr>
        <w:rFonts w:ascii="Calibri" w:hAnsi="Calibri"/>
        <w:i/>
        <w:color w:val="404040"/>
        <w:szCs w:val="20"/>
        <w:u w:val="single"/>
      </w:rPr>
    </w:pPr>
    <w:r w:rsidRPr="00C91F30">
      <w:rPr>
        <w:rFonts w:ascii="Calibri" w:hAnsi="Calibri"/>
        <w:bCs/>
        <w:i/>
        <w:color w:val="404040"/>
        <w:szCs w:val="20"/>
        <w:u w:val="single"/>
      </w:rPr>
      <w:t xml:space="preserve">Action: Affordable Housing Activities </w:t>
    </w:r>
  </w:p>
  <w:p w14:paraId="2F353D4A" w14:textId="77777777" w:rsidR="005F3FCF" w:rsidRPr="00C91F30" w:rsidRDefault="005F3FCF" w:rsidP="00C91F30">
    <w:pPr>
      <w:autoSpaceDE w:val="0"/>
      <w:autoSpaceDN w:val="0"/>
      <w:adjustRightInd w:val="0"/>
      <w:spacing w:line="360" w:lineRule="auto"/>
      <w:ind w:left="360"/>
      <w:rPr>
        <w:rFonts w:ascii="Calibri" w:hAnsi="Calibri"/>
        <w:color w:val="404040"/>
        <w:szCs w:val="20"/>
      </w:rPr>
    </w:pPr>
    <w:r w:rsidRPr="00C91F30">
      <w:rPr>
        <w:rFonts w:ascii="Calibri" w:hAnsi="Calibri"/>
        <w:color w:val="404040"/>
        <w:szCs w:val="20"/>
      </w:rPr>
      <w:t xml:space="preserve">Impediments Addressed: </w:t>
    </w:r>
  </w:p>
  <w:p w14:paraId="287D003F" w14:textId="77777777" w:rsidR="005F3FCF" w:rsidRPr="00C91F30" w:rsidRDefault="005F3FCF" w:rsidP="00C91F30">
    <w:pPr>
      <w:numPr>
        <w:ilvl w:val="0"/>
        <w:numId w:val="21"/>
      </w:numPr>
      <w:autoSpaceDE w:val="0"/>
      <w:autoSpaceDN w:val="0"/>
      <w:adjustRightInd w:val="0"/>
      <w:spacing w:after="147"/>
      <w:ind w:left="1080"/>
      <w:rPr>
        <w:rFonts w:ascii="Calibri" w:hAnsi="Calibri"/>
        <w:color w:val="404040"/>
        <w:szCs w:val="20"/>
      </w:rPr>
    </w:pPr>
    <w:r w:rsidRPr="00C91F30">
      <w:rPr>
        <w:rFonts w:ascii="Calibri" w:hAnsi="Calibri"/>
        <w:color w:val="404040"/>
        <w:szCs w:val="20"/>
      </w:rPr>
      <w:t xml:space="preserve">Housing Discrimination and Disparate Treatment </w:t>
    </w:r>
  </w:p>
  <w:p w14:paraId="5E7F4BD9" w14:textId="77777777" w:rsidR="005F3FCF" w:rsidRPr="00C91F30" w:rsidRDefault="005F3FCF" w:rsidP="00C91F30">
    <w:pPr>
      <w:numPr>
        <w:ilvl w:val="0"/>
        <w:numId w:val="21"/>
      </w:numPr>
      <w:autoSpaceDE w:val="0"/>
      <w:autoSpaceDN w:val="0"/>
      <w:adjustRightInd w:val="0"/>
      <w:spacing w:after="147"/>
      <w:ind w:left="1080"/>
      <w:rPr>
        <w:rFonts w:ascii="Calibri" w:hAnsi="Calibri"/>
        <w:color w:val="404040"/>
        <w:szCs w:val="20"/>
      </w:rPr>
    </w:pPr>
    <w:r w:rsidRPr="00C91F30">
      <w:rPr>
        <w:rFonts w:ascii="Calibri" w:hAnsi="Calibri"/>
        <w:color w:val="404040"/>
        <w:szCs w:val="20"/>
      </w:rPr>
      <w:t>Housi</w:t>
    </w:r>
    <w:r>
      <w:rPr>
        <w:rFonts w:ascii="Calibri" w:hAnsi="Calibri"/>
        <w:color w:val="404040"/>
        <w:szCs w:val="20"/>
      </w:rPr>
      <w:t>ng Affordable to Households at 4</w:t>
    </w:r>
    <w:r w:rsidRPr="00C91F30">
      <w:rPr>
        <w:rFonts w:ascii="Calibri" w:hAnsi="Calibri"/>
        <w:color w:val="404040"/>
        <w:szCs w:val="20"/>
      </w:rPr>
      <w:t>0% AMI and Below</w:t>
    </w:r>
  </w:p>
  <w:p w14:paraId="548DB14D" w14:textId="77777777" w:rsidR="005F3FCF" w:rsidRPr="00C91F30" w:rsidRDefault="005F3FCF" w:rsidP="00C91F30">
    <w:pPr>
      <w:numPr>
        <w:ilvl w:val="0"/>
        <w:numId w:val="21"/>
      </w:numPr>
      <w:autoSpaceDE w:val="0"/>
      <w:autoSpaceDN w:val="0"/>
      <w:adjustRightInd w:val="0"/>
      <w:spacing w:after="147"/>
      <w:ind w:left="1080"/>
      <w:rPr>
        <w:rFonts w:ascii="Calibri" w:hAnsi="Calibri"/>
        <w:color w:val="404040"/>
        <w:szCs w:val="20"/>
      </w:rPr>
    </w:pPr>
    <w:r w:rsidRPr="00C91F30">
      <w:rPr>
        <w:rFonts w:ascii="Calibri" w:hAnsi="Calibri"/>
        <w:color w:val="404040"/>
        <w:szCs w:val="20"/>
      </w:rPr>
      <w:t xml:space="preserve">Unfair Lending Practices </w:t>
    </w:r>
  </w:p>
  <w:p w14:paraId="5AD7BF46" w14:textId="77777777" w:rsidR="005F3FCF" w:rsidRPr="00C91F30" w:rsidRDefault="005F3FCF" w:rsidP="00C91F30">
    <w:pPr>
      <w:numPr>
        <w:ilvl w:val="0"/>
        <w:numId w:val="21"/>
      </w:numPr>
      <w:autoSpaceDE w:val="0"/>
      <w:autoSpaceDN w:val="0"/>
      <w:adjustRightInd w:val="0"/>
      <w:spacing w:after="147"/>
      <w:ind w:left="1080"/>
      <w:rPr>
        <w:rFonts w:ascii="Calibri" w:hAnsi="Calibri"/>
        <w:color w:val="404040"/>
        <w:szCs w:val="20"/>
      </w:rPr>
    </w:pPr>
    <w:r w:rsidRPr="00C91F30">
      <w:rPr>
        <w:rFonts w:ascii="Calibri" w:hAnsi="Calibri"/>
        <w:color w:val="404040"/>
        <w:szCs w:val="20"/>
      </w:rPr>
      <w:t xml:space="preserve">Racial and Ethnic Segregation </w:t>
    </w:r>
  </w:p>
  <w:p w14:paraId="21D1B447" w14:textId="77777777" w:rsidR="005F3FCF" w:rsidRPr="00C91F30" w:rsidRDefault="005F3FCF" w:rsidP="00C91F30">
    <w:pPr>
      <w:numPr>
        <w:ilvl w:val="0"/>
        <w:numId w:val="21"/>
      </w:numPr>
      <w:autoSpaceDE w:val="0"/>
      <w:autoSpaceDN w:val="0"/>
      <w:adjustRightInd w:val="0"/>
      <w:spacing w:after="147"/>
      <w:ind w:left="1080"/>
      <w:rPr>
        <w:rFonts w:ascii="Calibri" w:hAnsi="Calibri"/>
        <w:color w:val="404040"/>
        <w:szCs w:val="20"/>
      </w:rPr>
    </w:pPr>
    <w:r w:rsidRPr="00C91F30">
      <w:rPr>
        <w:rFonts w:ascii="Calibri" w:hAnsi="Calibri"/>
        <w:color w:val="404040"/>
        <w:szCs w:val="20"/>
      </w:rPr>
      <w:t xml:space="preserve">Access to Opportunity </w:t>
    </w:r>
  </w:p>
  <w:p w14:paraId="04FDC517" w14:textId="77777777" w:rsidR="005F3FCF" w:rsidRPr="00C91F30" w:rsidRDefault="005F3FCF" w:rsidP="00C91F30">
    <w:pPr>
      <w:numPr>
        <w:ilvl w:val="0"/>
        <w:numId w:val="21"/>
      </w:numPr>
      <w:autoSpaceDE w:val="0"/>
      <w:autoSpaceDN w:val="0"/>
      <w:adjustRightInd w:val="0"/>
      <w:spacing w:after="147"/>
      <w:ind w:left="1080"/>
      <w:rPr>
        <w:rFonts w:ascii="Calibri" w:hAnsi="Calibri"/>
        <w:color w:val="404040"/>
        <w:szCs w:val="20"/>
      </w:rPr>
    </w:pPr>
    <w:r w:rsidRPr="00C91F30">
      <w:rPr>
        <w:rFonts w:ascii="Calibri" w:hAnsi="Calibri"/>
        <w:color w:val="404040"/>
        <w:szCs w:val="20"/>
      </w:rPr>
      <w:t xml:space="preserve">Rental Housing for Large Families </w:t>
    </w:r>
  </w:p>
  <w:p w14:paraId="167EA6CD" w14:textId="77777777" w:rsidR="005F3FCF" w:rsidRPr="00C91F30" w:rsidRDefault="005F3FCF" w:rsidP="00C91F30">
    <w:pPr>
      <w:numPr>
        <w:ilvl w:val="0"/>
        <w:numId w:val="21"/>
      </w:numPr>
      <w:autoSpaceDE w:val="0"/>
      <w:autoSpaceDN w:val="0"/>
      <w:adjustRightInd w:val="0"/>
      <w:ind w:left="1080"/>
      <w:rPr>
        <w:rFonts w:ascii="Calibri" w:hAnsi="Calibri"/>
        <w:color w:val="404040"/>
        <w:szCs w:val="20"/>
      </w:rPr>
    </w:pPr>
    <w:r w:rsidRPr="00C91F30">
      <w:rPr>
        <w:rFonts w:ascii="Calibri" w:hAnsi="Calibri"/>
        <w:color w:val="404040"/>
        <w:szCs w:val="20"/>
      </w:rPr>
      <w:t xml:space="preserve">Housing for Disabled Persons </w:t>
    </w:r>
  </w:p>
  <w:p w14:paraId="13D1B6BB" w14:textId="77777777" w:rsidR="005F3FCF" w:rsidRPr="00C91F30" w:rsidRDefault="005F3FCF" w:rsidP="00C91F30">
    <w:pPr>
      <w:autoSpaceDE w:val="0"/>
      <w:autoSpaceDN w:val="0"/>
      <w:adjustRightInd w:val="0"/>
      <w:spacing w:line="360" w:lineRule="auto"/>
      <w:ind w:left="720"/>
      <w:rPr>
        <w:rFonts w:ascii="Calibri" w:hAnsi="Calibri"/>
        <w:color w:val="404040"/>
        <w:szCs w:val="20"/>
      </w:rPr>
    </w:pPr>
  </w:p>
  <w:p w14:paraId="6F5BD682" w14:textId="77777777" w:rsidR="005F3FCF" w:rsidRPr="00C91F30" w:rsidRDefault="005F3FCF" w:rsidP="00C91F30">
    <w:pPr>
      <w:spacing w:line="360" w:lineRule="auto"/>
      <w:rPr>
        <w:rFonts w:ascii="Calibri" w:hAnsi="Calibri"/>
        <w:color w:val="404040"/>
        <w:szCs w:val="20"/>
      </w:rPr>
    </w:pPr>
    <w:r w:rsidRPr="00C91F30">
      <w:rPr>
        <w:rFonts w:ascii="Calibri" w:hAnsi="Calibri"/>
        <w:color w:val="404040"/>
        <w:szCs w:val="20"/>
      </w:rPr>
      <w:t xml:space="preserve">Summary: Salt Lake City utilized CDBG and HOME funding to provide direct financial assistance and rehabilitation loans to low and moderate-income homebuyers and homeowners; down payment grants; emergency repair and accessibility modification grants; and rental assistance to eligible households. Assistance allowed eligible households to purchase or rehabilitate housing and provided an alternative to traditional bank loans. In addition, assistance provided essential health, safety and welfare improvements for existing homeowners, and provided rental assistance for extremely low-income households. </w:t>
    </w:r>
  </w:p>
  <w:p w14:paraId="31412A5F" w14:textId="77777777" w:rsidR="005F3FCF" w:rsidRPr="00C91F30" w:rsidRDefault="005F3FCF" w:rsidP="00C91F30">
    <w:pPr>
      <w:spacing w:line="360" w:lineRule="auto"/>
      <w:rPr>
        <w:rFonts w:ascii="Calibri" w:hAnsi="Calibri"/>
        <w:color w:val="404040"/>
        <w:szCs w:val="20"/>
      </w:rPr>
    </w:pPr>
  </w:p>
  <w:p w14:paraId="2C033CC7" w14:textId="77777777" w:rsidR="005F3FCF" w:rsidRDefault="005F3FCF" w:rsidP="00C91F30">
    <w:pPr>
      <w:autoSpaceDE w:val="0"/>
      <w:autoSpaceDN w:val="0"/>
      <w:adjustRightInd w:val="0"/>
      <w:spacing w:line="360" w:lineRule="auto"/>
      <w:rPr>
        <w:rFonts w:ascii="Calibri" w:hAnsi="Calibri" w:cs="Calibri"/>
        <w:bCs/>
        <w:i/>
        <w:color w:val="404040"/>
        <w:szCs w:val="20"/>
        <w:u w:val="single"/>
      </w:rPr>
    </w:pPr>
  </w:p>
  <w:p w14:paraId="133F75F6" w14:textId="77777777" w:rsidR="005F3FCF" w:rsidRPr="00C91F30" w:rsidRDefault="005F3FCF" w:rsidP="00C91F30">
    <w:pPr>
      <w:autoSpaceDE w:val="0"/>
      <w:autoSpaceDN w:val="0"/>
      <w:adjustRightInd w:val="0"/>
      <w:spacing w:line="360" w:lineRule="auto"/>
      <w:rPr>
        <w:rFonts w:ascii="Calibri" w:hAnsi="Calibri" w:cs="Calibri"/>
        <w:i/>
        <w:color w:val="404040"/>
        <w:szCs w:val="20"/>
        <w:u w:val="single"/>
      </w:rPr>
    </w:pPr>
    <w:r w:rsidRPr="00C91F30">
      <w:rPr>
        <w:rFonts w:ascii="Calibri" w:hAnsi="Calibri" w:cs="Calibri"/>
        <w:bCs/>
        <w:i/>
        <w:color w:val="404040"/>
        <w:szCs w:val="20"/>
        <w:u w:val="single"/>
      </w:rPr>
      <w:t xml:space="preserve">Action: Housing Supportive Services and Special Needs Housing </w:t>
    </w:r>
  </w:p>
  <w:p w14:paraId="049D25C7" w14:textId="77777777" w:rsidR="005F3FCF" w:rsidRPr="00C91F30" w:rsidRDefault="005F3FCF" w:rsidP="00C91F30">
    <w:pPr>
      <w:autoSpaceDE w:val="0"/>
      <w:autoSpaceDN w:val="0"/>
      <w:adjustRightInd w:val="0"/>
      <w:spacing w:line="360" w:lineRule="auto"/>
      <w:ind w:left="360"/>
      <w:rPr>
        <w:rFonts w:ascii="Calibri" w:hAnsi="Calibri" w:cs="Calibri"/>
        <w:color w:val="404040"/>
        <w:szCs w:val="20"/>
      </w:rPr>
    </w:pPr>
    <w:r w:rsidRPr="00C91F30">
      <w:rPr>
        <w:rFonts w:ascii="Calibri" w:hAnsi="Calibri" w:cs="Calibri"/>
        <w:color w:val="404040"/>
        <w:szCs w:val="20"/>
      </w:rPr>
      <w:t xml:space="preserve">Impediment Addressed: </w:t>
    </w:r>
  </w:p>
  <w:p w14:paraId="1BBEFABE" w14:textId="77777777" w:rsidR="005F3FCF" w:rsidRPr="00C91F30" w:rsidRDefault="005F3FCF" w:rsidP="00C91F30">
    <w:pPr>
      <w:numPr>
        <w:ilvl w:val="0"/>
        <w:numId w:val="21"/>
      </w:numPr>
      <w:autoSpaceDE w:val="0"/>
      <w:autoSpaceDN w:val="0"/>
      <w:adjustRightInd w:val="0"/>
      <w:spacing w:after="147" w:line="360" w:lineRule="auto"/>
      <w:ind w:left="1080"/>
      <w:contextualSpacing/>
      <w:rPr>
        <w:rFonts w:ascii="Calibri" w:hAnsi="Calibri" w:cs="Calibri"/>
        <w:color w:val="404040"/>
        <w:szCs w:val="20"/>
      </w:rPr>
    </w:pPr>
    <w:r w:rsidRPr="00C91F30">
      <w:rPr>
        <w:rFonts w:ascii="Calibri" w:hAnsi="Calibri" w:cs="Calibri"/>
        <w:color w:val="404040"/>
        <w:szCs w:val="20"/>
      </w:rPr>
      <w:t xml:space="preserve">Housing Discrimination and Disparate Treatment </w:t>
    </w:r>
  </w:p>
  <w:p w14:paraId="08A60E63" w14:textId="77777777" w:rsidR="005F3FCF" w:rsidRPr="00C91F30" w:rsidRDefault="005F3FCF" w:rsidP="00C91F30">
    <w:pPr>
      <w:numPr>
        <w:ilvl w:val="0"/>
        <w:numId w:val="21"/>
      </w:numPr>
      <w:autoSpaceDE w:val="0"/>
      <w:autoSpaceDN w:val="0"/>
      <w:adjustRightInd w:val="0"/>
      <w:spacing w:after="147" w:line="360" w:lineRule="auto"/>
      <w:ind w:left="1080"/>
      <w:contextualSpacing/>
      <w:rPr>
        <w:rFonts w:ascii="Calibri" w:hAnsi="Calibri" w:cs="Calibri"/>
        <w:color w:val="404040"/>
        <w:szCs w:val="20"/>
      </w:rPr>
    </w:pPr>
    <w:r w:rsidRPr="00C91F30">
      <w:rPr>
        <w:rFonts w:ascii="Calibri" w:hAnsi="Calibri" w:cs="Calibri"/>
        <w:color w:val="404040"/>
        <w:szCs w:val="20"/>
      </w:rPr>
      <w:t xml:space="preserve">Housing Affordable to Households at 50% AMI and Below </w:t>
    </w:r>
  </w:p>
  <w:p w14:paraId="6582AAC1" w14:textId="77777777" w:rsidR="005F3FCF" w:rsidRPr="00C91F30" w:rsidRDefault="005F3FCF" w:rsidP="00C91F30">
    <w:pPr>
      <w:numPr>
        <w:ilvl w:val="0"/>
        <w:numId w:val="21"/>
      </w:numPr>
      <w:autoSpaceDE w:val="0"/>
      <w:autoSpaceDN w:val="0"/>
      <w:adjustRightInd w:val="0"/>
      <w:spacing w:line="360" w:lineRule="auto"/>
      <w:ind w:left="1080"/>
      <w:contextualSpacing/>
      <w:rPr>
        <w:rFonts w:ascii="Calibri" w:hAnsi="Calibri" w:cs="Calibri"/>
        <w:color w:val="404040"/>
        <w:szCs w:val="20"/>
      </w:rPr>
    </w:pPr>
    <w:r w:rsidRPr="00C91F30">
      <w:rPr>
        <w:rFonts w:ascii="Calibri" w:hAnsi="Calibri" w:cs="Calibri"/>
        <w:color w:val="404040"/>
        <w:szCs w:val="20"/>
      </w:rPr>
      <w:t xml:space="preserve">Housing for Disabled Persons </w:t>
    </w:r>
  </w:p>
  <w:p w14:paraId="60DD9031" w14:textId="77777777" w:rsidR="005F3FCF" w:rsidRPr="00C91F30" w:rsidRDefault="005F3FCF" w:rsidP="00C91F30">
    <w:pPr>
      <w:autoSpaceDE w:val="0"/>
      <w:autoSpaceDN w:val="0"/>
      <w:adjustRightInd w:val="0"/>
      <w:spacing w:line="360" w:lineRule="auto"/>
      <w:rPr>
        <w:rFonts w:ascii="Calibri" w:hAnsi="Calibri" w:cs="Calibri"/>
        <w:color w:val="404040"/>
        <w:szCs w:val="20"/>
      </w:rPr>
    </w:pPr>
  </w:p>
  <w:p w14:paraId="2EF19F17" w14:textId="77777777" w:rsidR="005F3FCF" w:rsidRPr="00C91F30" w:rsidRDefault="005F3FCF" w:rsidP="00C91F30">
    <w:pPr>
      <w:autoSpaceDE w:val="0"/>
      <w:autoSpaceDN w:val="0"/>
      <w:adjustRightInd w:val="0"/>
      <w:spacing w:line="360" w:lineRule="auto"/>
      <w:rPr>
        <w:rFonts w:ascii="Calibri" w:hAnsi="Calibri" w:cs="Calibri"/>
        <w:color w:val="404040"/>
        <w:szCs w:val="20"/>
      </w:rPr>
    </w:pPr>
    <w:r w:rsidRPr="00C91F30">
      <w:rPr>
        <w:rFonts w:ascii="Calibri" w:hAnsi="Calibri" w:cs="Calibri"/>
        <w:color w:val="404040"/>
        <w:szCs w:val="20"/>
      </w:rPr>
      <w:t xml:space="preserve">Summary: HAND continued to allocate HUD funds to provide emergency shelter for homeless persons; tenant-based rental assistance to transition homeless, special needs, and other at-risk populations into permanent housing; transitional housing and supportive services for homeless single women; residential substance abuse treatment and case management to homeless mothers and therapeutic intervention to their children; residential substance abuse treatment to chronically homeless men; emergency shelter, case management and supportive services to chronically homeless individuals with severe and persistent mental illness; and tenant-based rental assistance, housing information and referral services, short-term rent, mortgage and utility assistance, and permanent housing placement assistance, and case management to persons with HIV/AIDS. </w:t>
    </w:r>
  </w:p>
  <w:p w14:paraId="0670EF6E" w14:textId="77777777" w:rsidR="005F3FCF" w:rsidRPr="00C91F30" w:rsidRDefault="005F3FCF" w:rsidP="00C91F30">
    <w:pPr>
      <w:spacing w:line="360" w:lineRule="auto"/>
      <w:rPr>
        <w:rFonts w:ascii="Calibri" w:hAnsi="Calibri" w:cs="Calibri"/>
        <w:color w:val="404040"/>
        <w:szCs w:val="20"/>
      </w:rPr>
    </w:pPr>
  </w:p>
  <w:p w14:paraId="359DF9AC" w14:textId="77777777" w:rsidR="005F3FCF" w:rsidRPr="00C91F30" w:rsidRDefault="005F3FCF" w:rsidP="00C91F30">
    <w:pPr>
      <w:autoSpaceDE w:val="0"/>
      <w:autoSpaceDN w:val="0"/>
      <w:adjustRightInd w:val="0"/>
      <w:spacing w:line="360" w:lineRule="auto"/>
      <w:rPr>
        <w:rFonts w:ascii="Calibri" w:hAnsi="Calibri" w:cs="Calibri"/>
        <w:i/>
        <w:color w:val="404040"/>
        <w:szCs w:val="20"/>
        <w:u w:val="single"/>
      </w:rPr>
    </w:pPr>
    <w:r w:rsidRPr="00C91F30">
      <w:rPr>
        <w:rFonts w:ascii="Calibri" w:hAnsi="Calibri" w:cs="Calibri"/>
        <w:bCs/>
        <w:i/>
        <w:color w:val="404040"/>
        <w:szCs w:val="20"/>
        <w:u w:val="single"/>
      </w:rPr>
      <w:t xml:space="preserve">Action: Public Services to Expand Opportunity </w:t>
    </w:r>
  </w:p>
  <w:p w14:paraId="0880037F" w14:textId="77777777" w:rsidR="005F3FCF" w:rsidRPr="00C91F30" w:rsidRDefault="005F3FCF" w:rsidP="00C91F30">
    <w:pPr>
      <w:autoSpaceDE w:val="0"/>
      <w:autoSpaceDN w:val="0"/>
      <w:adjustRightInd w:val="0"/>
      <w:spacing w:line="360" w:lineRule="auto"/>
      <w:ind w:left="360"/>
      <w:rPr>
        <w:rFonts w:ascii="Calibri" w:hAnsi="Calibri" w:cs="Calibri"/>
        <w:color w:val="404040"/>
        <w:szCs w:val="20"/>
      </w:rPr>
    </w:pPr>
    <w:r w:rsidRPr="00C91F30">
      <w:rPr>
        <w:rFonts w:ascii="Calibri" w:hAnsi="Calibri" w:cs="Calibri"/>
        <w:color w:val="404040"/>
        <w:szCs w:val="20"/>
      </w:rPr>
      <w:t xml:space="preserve">Impediment Addressed: </w:t>
    </w:r>
  </w:p>
  <w:p w14:paraId="3212C19B" w14:textId="77777777" w:rsidR="005F3FCF" w:rsidRPr="00C91F30" w:rsidRDefault="005F3FCF" w:rsidP="00C91F30">
    <w:pPr>
      <w:numPr>
        <w:ilvl w:val="0"/>
        <w:numId w:val="21"/>
      </w:numPr>
      <w:autoSpaceDE w:val="0"/>
      <w:autoSpaceDN w:val="0"/>
      <w:adjustRightInd w:val="0"/>
      <w:spacing w:line="360" w:lineRule="auto"/>
      <w:ind w:left="1080"/>
      <w:contextualSpacing/>
      <w:rPr>
        <w:rFonts w:ascii="Calibri" w:hAnsi="Calibri" w:cs="Calibri"/>
        <w:color w:val="404040"/>
        <w:szCs w:val="20"/>
      </w:rPr>
    </w:pPr>
    <w:r w:rsidRPr="00C91F30">
      <w:rPr>
        <w:rFonts w:ascii="Calibri" w:hAnsi="Calibri" w:cs="Calibri"/>
        <w:color w:val="404040"/>
        <w:szCs w:val="20"/>
      </w:rPr>
      <w:t xml:space="preserve">Expand Opportunity </w:t>
    </w:r>
  </w:p>
  <w:p w14:paraId="149A2011" w14:textId="77777777" w:rsidR="005F3FCF" w:rsidRPr="00C91F30" w:rsidRDefault="005F3FCF" w:rsidP="00C91F30">
    <w:pPr>
      <w:autoSpaceDE w:val="0"/>
      <w:autoSpaceDN w:val="0"/>
      <w:adjustRightInd w:val="0"/>
      <w:spacing w:line="360" w:lineRule="auto"/>
      <w:rPr>
        <w:rFonts w:ascii="Calibri" w:hAnsi="Calibri" w:cs="Calibri"/>
        <w:color w:val="404040"/>
        <w:szCs w:val="20"/>
      </w:rPr>
    </w:pPr>
  </w:p>
  <w:p w14:paraId="77CCEDF6" w14:textId="77777777" w:rsidR="005F3FCF" w:rsidRPr="00C91F30" w:rsidRDefault="005F3FCF" w:rsidP="00C91F30">
    <w:pPr>
      <w:spacing w:line="360" w:lineRule="auto"/>
      <w:rPr>
        <w:rFonts w:ascii="Calibri" w:hAnsi="Calibri" w:cs="Calibri"/>
        <w:color w:val="404040"/>
        <w:szCs w:val="20"/>
      </w:rPr>
    </w:pPr>
    <w:r w:rsidRPr="00C91F30">
      <w:rPr>
        <w:rFonts w:ascii="Calibri" w:hAnsi="Calibri" w:cs="Calibri"/>
        <w:color w:val="404040"/>
        <w:szCs w:val="20"/>
      </w:rPr>
      <w:t xml:space="preserve">Summary: Public service activities were utilized to expand opportunity with focus on racial and ethnic concentrated areas of poverty. Activities included support for after school programs that serve at risk youth, food banks that assist food insecure households, and programs that provide vocational opportunities for disabled adults, among others. </w:t>
    </w:r>
  </w:p>
  <w:p w14:paraId="0BD1E2A4" w14:textId="77777777" w:rsidR="005F3FCF" w:rsidRPr="00C91F30" w:rsidRDefault="005F3FCF" w:rsidP="00C91F30">
    <w:pPr>
      <w:spacing w:line="360" w:lineRule="auto"/>
      <w:rPr>
        <w:rFonts w:ascii="Calibri" w:hAnsi="Calibri" w:cs="Calibri"/>
        <w:color w:val="404040"/>
        <w:szCs w:val="20"/>
      </w:rPr>
    </w:pPr>
  </w:p>
  <w:p w14:paraId="0DF07331" w14:textId="77777777" w:rsidR="005F3FCF" w:rsidRPr="00C91F30" w:rsidRDefault="005F3FCF" w:rsidP="00C91F30">
    <w:pPr>
      <w:autoSpaceDE w:val="0"/>
      <w:autoSpaceDN w:val="0"/>
      <w:adjustRightInd w:val="0"/>
      <w:spacing w:line="360" w:lineRule="auto"/>
      <w:rPr>
        <w:rFonts w:ascii="Calibri" w:hAnsi="Calibri" w:cs="Calibri"/>
        <w:i/>
        <w:color w:val="404040"/>
        <w:szCs w:val="20"/>
        <w:u w:val="single"/>
      </w:rPr>
    </w:pPr>
    <w:r w:rsidRPr="00C91F30">
      <w:rPr>
        <w:rFonts w:ascii="Calibri" w:hAnsi="Calibri" w:cs="Calibri"/>
        <w:bCs/>
        <w:i/>
        <w:color w:val="404040"/>
        <w:szCs w:val="20"/>
        <w:u w:val="single"/>
      </w:rPr>
      <w:t xml:space="preserve">Action: </w:t>
    </w:r>
    <w:r>
      <w:rPr>
        <w:rFonts w:ascii="Calibri" w:hAnsi="Calibri" w:cs="Calibri"/>
        <w:bCs/>
        <w:i/>
        <w:color w:val="404040"/>
        <w:szCs w:val="20"/>
        <w:u w:val="single"/>
      </w:rPr>
      <w:t>Housing Plan: Growing SLC</w:t>
    </w:r>
    <w:r w:rsidRPr="00C91F30">
      <w:rPr>
        <w:rFonts w:ascii="Calibri" w:hAnsi="Calibri" w:cs="Calibri"/>
        <w:bCs/>
        <w:i/>
        <w:color w:val="404040"/>
        <w:szCs w:val="20"/>
        <w:u w:val="single"/>
      </w:rPr>
      <w:t xml:space="preserve"> </w:t>
    </w:r>
  </w:p>
  <w:p w14:paraId="5C7FC876" w14:textId="77777777" w:rsidR="005F3FCF" w:rsidRPr="00C91F30" w:rsidRDefault="005F3FCF" w:rsidP="00C91F30">
    <w:pPr>
      <w:autoSpaceDE w:val="0"/>
      <w:autoSpaceDN w:val="0"/>
      <w:adjustRightInd w:val="0"/>
      <w:spacing w:line="360" w:lineRule="auto"/>
      <w:ind w:left="360"/>
      <w:rPr>
        <w:rFonts w:ascii="Calibri" w:hAnsi="Calibri" w:cs="Calibri"/>
        <w:color w:val="404040"/>
        <w:szCs w:val="20"/>
      </w:rPr>
    </w:pPr>
    <w:r w:rsidRPr="00C91F30">
      <w:rPr>
        <w:rFonts w:ascii="Calibri" w:hAnsi="Calibri" w:cs="Calibri"/>
        <w:color w:val="404040"/>
        <w:szCs w:val="20"/>
      </w:rPr>
      <w:t xml:space="preserve">Impediments addressed: </w:t>
    </w:r>
  </w:p>
  <w:p w14:paraId="2D3A3068" w14:textId="77777777" w:rsidR="005F3FCF" w:rsidRPr="00C91F30" w:rsidRDefault="005F3FCF" w:rsidP="00C91F30">
    <w:pPr>
      <w:numPr>
        <w:ilvl w:val="0"/>
        <w:numId w:val="21"/>
      </w:numPr>
      <w:autoSpaceDE w:val="0"/>
      <w:autoSpaceDN w:val="0"/>
      <w:adjustRightInd w:val="0"/>
      <w:spacing w:after="147" w:line="360" w:lineRule="auto"/>
      <w:ind w:left="1080"/>
      <w:contextualSpacing/>
      <w:rPr>
        <w:rFonts w:ascii="Calibri" w:hAnsi="Calibri" w:cs="Calibri"/>
        <w:color w:val="404040"/>
        <w:szCs w:val="20"/>
      </w:rPr>
    </w:pPr>
    <w:r w:rsidRPr="00C91F30">
      <w:rPr>
        <w:rFonts w:ascii="Calibri" w:hAnsi="Calibri" w:cs="Calibri"/>
        <w:color w:val="404040"/>
        <w:szCs w:val="20"/>
      </w:rPr>
      <w:t xml:space="preserve">Unfair Lending Practices </w:t>
    </w:r>
  </w:p>
  <w:p w14:paraId="2C5FE1F2" w14:textId="77777777" w:rsidR="005F3FCF" w:rsidRPr="00C91F30" w:rsidRDefault="005F3FCF" w:rsidP="00C91F30">
    <w:pPr>
      <w:numPr>
        <w:ilvl w:val="0"/>
        <w:numId w:val="21"/>
      </w:numPr>
      <w:autoSpaceDE w:val="0"/>
      <w:autoSpaceDN w:val="0"/>
      <w:adjustRightInd w:val="0"/>
      <w:spacing w:after="147" w:line="360" w:lineRule="auto"/>
      <w:ind w:left="1080"/>
      <w:contextualSpacing/>
      <w:rPr>
        <w:rFonts w:ascii="Calibri" w:hAnsi="Calibri" w:cs="Calibri"/>
        <w:color w:val="404040"/>
        <w:szCs w:val="20"/>
      </w:rPr>
    </w:pPr>
    <w:r w:rsidRPr="00C91F30">
      <w:rPr>
        <w:rFonts w:ascii="Calibri" w:hAnsi="Calibri" w:cs="Calibri"/>
        <w:color w:val="404040"/>
        <w:szCs w:val="20"/>
      </w:rPr>
      <w:t xml:space="preserve">Racial and Ethnic Segregation </w:t>
    </w:r>
  </w:p>
  <w:p w14:paraId="756BC46C" w14:textId="77777777" w:rsidR="005F3FCF" w:rsidRPr="00C91F30" w:rsidRDefault="005F3FCF" w:rsidP="00C91F30">
    <w:pPr>
      <w:numPr>
        <w:ilvl w:val="0"/>
        <w:numId w:val="21"/>
      </w:numPr>
      <w:autoSpaceDE w:val="0"/>
      <w:autoSpaceDN w:val="0"/>
      <w:adjustRightInd w:val="0"/>
      <w:spacing w:after="147" w:line="360" w:lineRule="auto"/>
      <w:ind w:left="1080"/>
      <w:contextualSpacing/>
      <w:rPr>
        <w:rFonts w:ascii="Calibri" w:hAnsi="Calibri" w:cs="Calibri"/>
        <w:color w:val="404040"/>
        <w:szCs w:val="20"/>
      </w:rPr>
    </w:pPr>
    <w:r w:rsidRPr="00C91F30">
      <w:rPr>
        <w:rFonts w:ascii="Calibri" w:hAnsi="Calibri" w:cs="Calibri"/>
        <w:color w:val="404040"/>
        <w:szCs w:val="20"/>
      </w:rPr>
      <w:t xml:space="preserve">Access to Opportunity </w:t>
    </w:r>
  </w:p>
  <w:p w14:paraId="425B5653" w14:textId="77777777" w:rsidR="005F3FCF" w:rsidRPr="00C91F30" w:rsidRDefault="005F3FCF" w:rsidP="00C91F30">
    <w:pPr>
      <w:numPr>
        <w:ilvl w:val="0"/>
        <w:numId w:val="21"/>
      </w:numPr>
      <w:autoSpaceDE w:val="0"/>
      <w:autoSpaceDN w:val="0"/>
      <w:adjustRightInd w:val="0"/>
      <w:spacing w:after="147" w:line="360" w:lineRule="auto"/>
      <w:ind w:left="1080"/>
      <w:contextualSpacing/>
      <w:rPr>
        <w:rFonts w:ascii="Calibri" w:hAnsi="Calibri" w:cs="Calibri"/>
        <w:color w:val="404040"/>
        <w:szCs w:val="20"/>
      </w:rPr>
    </w:pPr>
    <w:r w:rsidRPr="00C91F30">
      <w:rPr>
        <w:rFonts w:ascii="Calibri" w:hAnsi="Calibri" w:cs="Calibri"/>
        <w:color w:val="404040"/>
        <w:szCs w:val="20"/>
      </w:rPr>
      <w:t xml:space="preserve">Housing Affordable to Households at 50% AMI and Below </w:t>
    </w:r>
  </w:p>
  <w:p w14:paraId="450B87FE" w14:textId="77777777" w:rsidR="005F3FCF" w:rsidRPr="00C91F30" w:rsidRDefault="005F3FCF" w:rsidP="00C91F30">
    <w:pPr>
      <w:numPr>
        <w:ilvl w:val="0"/>
        <w:numId w:val="21"/>
      </w:numPr>
      <w:autoSpaceDE w:val="0"/>
      <w:autoSpaceDN w:val="0"/>
      <w:adjustRightInd w:val="0"/>
      <w:spacing w:after="147" w:line="360" w:lineRule="auto"/>
      <w:ind w:left="1080"/>
      <w:contextualSpacing/>
      <w:rPr>
        <w:rFonts w:ascii="Calibri" w:hAnsi="Calibri" w:cs="Calibri"/>
        <w:color w:val="404040"/>
        <w:szCs w:val="20"/>
      </w:rPr>
    </w:pPr>
    <w:r w:rsidRPr="00C91F30">
      <w:rPr>
        <w:rFonts w:ascii="Calibri" w:hAnsi="Calibri" w:cs="Calibri"/>
        <w:color w:val="404040"/>
        <w:szCs w:val="20"/>
      </w:rPr>
      <w:t xml:space="preserve">Rental Housing for Large Families </w:t>
    </w:r>
  </w:p>
  <w:p w14:paraId="666CECF1" w14:textId="77777777" w:rsidR="005F3FCF" w:rsidRPr="00C91F30" w:rsidRDefault="005F3FCF" w:rsidP="00C91F30">
    <w:pPr>
      <w:numPr>
        <w:ilvl w:val="0"/>
        <w:numId w:val="21"/>
      </w:numPr>
      <w:autoSpaceDE w:val="0"/>
      <w:autoSpaceDN w:val="0"/>
      <w:adjustRightInd w:val="0"/>
      <w:spacing w:line="360" w:lineRule="auto"/>
      <w:ind w:left="1080"/>
      <w:contextualSpacing/>
      <w:rPr>
        <w:rFonts w:ascii="Calibri" w:hAnsi="Calibri" w:cs="Calibri"/>
        <w:color w:val="404040"/>
        <w:szCs w:val="20"/>
      </w:rPr>
    </w:pPr>
    <w:r w:rsidRPr="00C91F30">
      <w:rPr>
        <w:rFonts w:ascii="Calibri" w:hAnsi="Calibri" w:cs="Calibri"/>
        <w:color w:val="404040"/>
        <w:szCs w:val="20"/>
      </w:rPr>
      <w:t xml:space="preserve">Housing for Disabled Persons </w:t>
    </w:r>
  </w:p>
  <w:p w14:paraId="7BCAD94D" w14:textId="77777777" w:rsidR="005F3FCF" w:rsidRPr="00C91F30" w:rsidRDefault="005F3FCF" w:rsidP="00C91F30">
    <w:pPr>
      <w:autoSpaceDE w:val="0"/>
      <w:autoSpaceDN w:val="0"/>
      <w:adjustRightInd w:val="0"/>
      <w:spacing w:line="360" w:lineRule="auto"/>
      <w:rPr>
        <w:rFonts w:ascii="Calibri" w:hAnsi="Calibri" w:cs="Calibri"/>
        <w:color w:val="404040"/>
        <w:szCs w:val="20"/>
      </w:rPr>
    </w:pPr>
  </w:p>
  <w:p w14:paraId="2FFF5390" w14:textId="77777777" w:rsidR="005F3FCF" w:rsidRDefault="005F3FCF" w:rsidP="00C91F30">
    <w:pPr>
      <w:autoSpaceDE w:val="0"/>
      <w:autoSpaceDN w:val="0"/>
      <w:adjustRightInd w:val="0"/>
      <w:spacing w:line="360" w:lineRule="auto"/>
      <w:rPr>
        <w:rFonts w:ascii="Calibri" w:hAnsi="Calibri" w:cs="Calibri"/>
        <w:color w:val="404040"/>
        <w:szCs w:val="20"/>
      </w:rPr>
    </w:pPr>
    <w:r w:rsidRPr="00C91F30">
      <w:rPr>
        <w:rFonts w:ascii="Calibri" w:hAnsi="Calibri" w:cs="Calibri"/>
        <w:color w:val="404040"/>
        <w:szCs w:val="20"/>
      </w:rPr>
      <w:t>Summary: Beginning in 2013, HAND began an extensive data-gathering initiative with its partners to inform the 2015-19 Consolidated Plan. That effort culminated in the drafting and adoption of a new housing master plan,</w:t>
    </w:r>
    <w:r w:rsidRPr="00C91F30">
      <w:rPr>
        <w:rFonts w:ascii="Calibri" w:hAnsi="Calibri" w:cs="Calibri"/>
        <w:i/>
        <w:color w:val="404040"/>
        <w:szCs w:val="20"/>
      </w:rPr>
      <w:t xml:space="preserve"> Growing SLC</w:t>
    </w:r>
    <w:r w:rsidRPr="00C91F30">
      <w:rPr>
        <w:rFonts w:ascii="Calibri" w:hAnsi="Calibri" w:cs="Calibri"/>
        <w:color w:val="404040"/>
        <w:szCs w:val="20"/>
      </w:rPr>
      <w:t>, that will span 5 years and aims to shift the way the City addresses all aspects of the housing market: from overall supply to concentrations of poverty and pathways out of homelessness. Special focus is given to households earning less than 40% AMI, specifically, targeting extremely low-income (ELI) renter households. ELI households are disproportionally racial and ethnic minority, disabled, and single parent households. In addition, the initiative is supporting housing development in high opportunity areas, housing for large families, homeownership for racial and ethnic minorities, and accessibility modifications for households with disabilities.</w:t>
    </w:r>
  </w:p>
  <w:p w14:paraId="71358710" w14:textId="77777777" w:rsidR="005F3FCF" w:rsidRPr="00C91F30" w:rsidRDefault="005F3FCF" w:rsidP="00C91F30">
    <w:pPr>
      <w:autoSpaceDE w:val="0"/>
      <w:autoSpaceDN w:val="0"/>
      <w:adjustRightInd w:val="0"/>
      <w:spacing w:line="360" w:lineRule="auto"/>
      <w:rPr>
        <w:rFonts w:ascii="Calibri" w:hAnsi="Calibri" w:cs="Calibri"/>
        <w:color w:val="404040"/>
        <w:szCs w:val="20"/>
      </w:rPr>
    </w:pPr>
  </w:p>
  <w:p w14:paraId="2D8B6328" w14:textId="77777777" w:rsidR="005F3FCF" w:rsidRPr="00C91F30" w:rsidRDefault="005F3FCF" w:rsidP="00C91F30">
    <w:pPr>
      <w:autoSpaceDE w:val="0"/>
      <w:autoSpaceDN w:val="0"/>
      <w:adjustRightInd w:val="0"/>
      <w:spacing w:line="360" w:lineRule="auto"/>
      <w:rPr>
        <w:rFonts w:ascii="Calibri" w:hAnsi="Calibri" w:cs="Calibri"/>
        <w:i/>
        <w:color w:val="404040"/>
        <w:szCs w:val="20"/>
        <w:u w:val="single"/>
      </w:rPr>
    </w:pPr>
    <w:r w:rsidRPr="00C91F30">
      <w:rPr>
        <w:rFonts w:ascii="Calibri" w:hAnsi="Calibri" w:cs="Calibri"/>
        <w:bCs/>
        <w:i/>
        <w:color w:val="404040"/>
        <w:szCs w:val="20"/>
        <w:u w:val="single"/>
      </w:rPr>
      <w:t xml:space="preserve">Action: House 20 </w:t>
    </w:r>
  </w:p>
  <w:p w14:paraId="5767B033" w14:textId="77777777" w:rsidR="005F3FCF" w:rsidRPr="00C91F30" w:rsidRDefault="005F3FCF" w:rsidP="00C91F30">
    <w:pPr>
      <w:autoSpaceDE w:val="0"/>
      <w:autoSpaceDN w:val="0"/>
      <w:adjustRightInd w:val="0"/>
      <w:spacing w:line="360" w:lineRule="auto"/>
      <w:ind w:left="360"/>
      <w:rPr>
        <w:rFonts w:ascii="Calibri" w:hAnsi="Calibri" w:cs="Calibri"/>
        <w:color w:val="404040"/>
        <w:szCs w:val="20"/>
      </w:rPr>
    </w:pPr>
    <w:r w:rsidRPr="00C91F30">
      <w:rPr>
        <w:rFonts w:ascii="Calibri" w:hAnsi="Calibri" w:cs="Calibri"/>
        <w:color w:val="404040"/>
        <w:szCs w:val="20"/>
      </w:rPr>
      <w:t xml:space="preserve">Impediment Addressed: </w:t>
    </w:r>
  </w:p>
  <w:p w14:paraId="3FDF76FC" w14:textId="77777777" w:rsidR="005F3FCF" w:rsidRPr="00C91F30" w:rsidRDefault="005F3FCF" w:rsidP="00C91F30">
    <w:pPr>
      <w:numPr>
        <w:ilvl w:val="0"/>
        <w:numId w:val="21"/>
      </w:numPr>
      <w:autoSpaceDE w:val="0"/>
      <w:autoSpaceDN w:val="0"/>
      <w:adjustRightInd w:val="0"/>
      <w:spacing w:after="147" w:line="360" w:lineRule="auto"/>
      <w:ind w:left="1080"/>
      <w:contextualSpacing/>
      <w:rPr>
        <w:rFonts w:ascii="Calibri" w:hAnsi="Calibri" w:cs="Calibri"/>
        <w:color w:val="404040"/>
        <w:szCs w:val="20"/>
      </w:rPr>
    </w:pPr>
    <w:r w:rsidRPr="00C91F30">
      <w:rPr>
        <w:rFonts w:ascii="Calibri" w:hAnsi="Calibri" w:cs="Calibri"/>
        <w:color w:val="404040"/>
        <w:szCs w:val="20"/>
      </w:rPr>
      <w:t xml:space="preserve">Housing Affordable to Households at 50% AMI and Below </w:t>
    </w:r>
  </w:p>
  <w:p w14:paraId="7AE46EF2" w14:textId="77777777" w:rsidR="005F3FCF" w:rsidRPr="00C91F30" w:rsidRDefault="005F3FCF" w:rsidP="00C91F30">
    <w:pPr>
      <w:numPr>
        <w:ilvl w:val="0"/>
        <w:numId w:val="21"/>
      </w:numPr>
      <w:autoSpaceDE w:val="0"/>
      <w:autoSpaceDN w:val="0"/>
      <w:adjustRightInd w:val="0"/>
      <w:spacing w:line="360" w:lineRule="auto"/>
      <w:ind w:left="1080"/>
      <w:contextualSpacing/>
      <w:rPr>
        <w:rFonts w:ascii="Calibri" w:hAnsi="Calibri" w:cs="Calibri"/>
        <w:color w:val="404040"/>
        <w:szCs w:val="20"/>
      </w:rPr>
    </w:pPr>
    <w:r w:rsidRPr="00C91F30">
      <w:rPr>
        <w:rFonts w:ascii="Calibri" w:hAnsi="Calibri" w:cs="Calibri"/>
        <w:color w:val="404040"/>
        <w:szCs w:val="20"/>
      </w:rPr>
      <w:t xml:space="preserve">Housing for Disabled Persons </w:t>
    </w:r>
  </w:p>
  <w:p w14:paraId="28812C1B" w14:textId="77777777" w:rsidR="005F3FCF" w:rsidRPr="00C91F30" w:rsidRDefault="005F3FCF" w:rsidP="00C91F30">
    <w:pPr>
      <w:autoSpaceDE w:val="0"/>
      <w:autoSpaceDN w:val="0"/>
      <w:adjustRightInd w:val="0"/>
      <w:spacing w:line="360" w:lineRule="auto"/>
      <w:rPr>
        <w:rFonts w:ascii="Calibri" w:hAnsi="Calibri" w:cs="Calibri"/>
        <w:color w:val="404040"/>
        <w:szCs w:val="20"/>
      </w:rPr>
    </w:pPr>
  </w:p>
  <w:p w14:paraId="7E85DAC0" w14:textId="77777777" w:rsidR="005F3FCF" w:rsidRPr="00C91F30" w:rsidRDefault="005F3FCF" w:rsidP="00C91F30">
    <w:pPr>
      <w:autoSpaceDE w:val="0"/>
      <w:autoSpaceDN w:val="0"/>
      <w:adjustRightInd w:val="0"/>
      <w:spacing w:line="360" w:lineRule="auto"/>
      <w:rPr>
        <w:rFonts w:ascii="Calibri" w:hAnsi="Calibri" w:cs="Calibri"/>
        <w:color w:val="404040"/>
        <w:szCs w:val="20"/>
      </w:rPr>
    </w:pPr>
    <w:r w:rsidRPr="00C91F30">
      <w:rPr>
        <w:rFonts w:ascii="Calibri" w:hAnsi="Calibri" w:cs="Calibri"/>
        <w:color w:val="404040"/>
        <w:szCs w:val="20"/>
      </w:rPr>
      <w:t>Summary: As part of Salt Lake City’s 6-Point Homeless Strategy, the City committed to provide housing for the top 20 users of homeless services in order to diminish the resources directed toward these chronically homeless individuals. This effort has been successful in housing some of the most vulnerable residents in the City and reducing the need for emergency services for this population.</w:t>
    </w:r>
  </w:p>
  <w:p w14:paraId="7025FADF" w14:textId="77777777" w:rsidR="005F3FCF" w:rsidRPr="00C91F30" w:rsidRDefault="005F3FCF" w:rsidP="00C91F30">
    <w:pPr>
      <w:spacing w:line="360" w:lineRule="auto"/>
      <w:rPr>
        <w:rFonts w:ascii="Calibri" w:hAnsi="Calibri" w:cs="Calibri"/>
        <w:color w:val="404040"/>
        <w:szCs w:val="20"/>
      </w:rPr>
    </w:pPr>
  </w:p>
  <w:p w14:paraId="7C16386A" w14:textId="77777777" w:rsidR="005F3FCF" w:rsidRPr="00C91F30" w:rsidRDefault="005F3FCF" w:rsidP="00C91F30">
    <w:pPr>
      <w:spacing w:line="360" w:lineRule="auto"/>
      <w:rPr>
        <w:rFonts w:ascii="Calibri" w:hAnsi="Calibri" w:cs="Calibri Light"/>
        <w:bCs/>
        <w:i/>
        <w:color w:val="404040"/>
        <w:szCs w:val="20"/>
        <w:u w:val="single"/>
      </w:rPr>
    </w:pPr>
    <w:r w:rsidRPr="00C91F30">
      <w:rPr>
        <w:rFonts w:ascii="Calibri" w:hAnsi="Calibri" w:cs="Calibri Light"/>
        <w:bCs/>
        <w:i/>
        <w:color w:val="404040"/>
        <w:szCs w:val="20"/>
        <w:u w:val="single"/>
      </w:rPr>
      <w:t>Action: Leverage Public Land for Affordable Housing Development</w:t>
    </w:r>
  </w:p>
  <w:p w14:paraId="7B7F4100" w14:textId="77777777" w:rsidR="005F3FCF" w:rsidRPr="00C91F30" w:rsidRDefault="005F3FCF" w:rsidP="00C91F30">
    <w:pPr>
      <w:spacing w:line="360" w:lineRule="auto"/>
      <w:ind w:left="720"/>
      <w:rPr>
        <w:rFonts w:ascii="Calibri" w:hAnsi="Calibri"/>
        <w:color w:val="404040"/>
        <w:szCs w:val="20"/>
      </w:rPr>
    </w:pPr>
    <w:r w:rsidRPr="00C91F30">
      <w:rPr>
        <w:rFonts w:ascii="Calibri" w:hAnsi="Calibri"/>
        <w:color w:val="404040"/>
        <w:szCs w:val="20"/>
      </w:rPr>
      <w:t xml:space="preserve">Impediment Addressed: </w:t>
    </w:r>
  </w:p>
  <w:p w14:paraId="5BED9F00" w14:textId="77777777" w:rsidR="005F3FCF" w:rsidRPr="00C91F30" w:rsidRDefault="005F3FCF" w:rsidP="00C91F30">
    <w:pPr>
      <w:numPr>
        <w:ilvl w:val="0"/>
        <w:numId w:val="7"/>
      </w:numPr>
      <w:spacing w:line="360" w:lineRule="auto"/>
      <w:ind w:left="1440"/>
      <w:contextualSpacing/>
      <w:rPr>
        <w:rFonts w:ascii="Calibri" w:hAnsi="Calibri"/>
        <w:color w:val="404040"/>
        <w:szCs w:val="20"/>
      </w:rPr>
    </w:pPr>
    <w:r w:rsidRPr="00C91F30">
      <w:rPr>
        <w:rFonts w:ascii="Calibri" w:hAnsi="Calibri"/>
        <w:color w:val="404040"/>
        <w:szCs w:val="20"/>
      </w:rPr>
      <w:t>Housing Affordable to Households at 50% AMI and Below</w:t>
    </w:r>
  </w:p>
  <w:p w14:paraId="45F9A289" w14:textId="77777777" w:rsidR="005F3FCF" w:rsidRPr="00C91F30" w:rsidRDefault="005F3FCF" w:rsidP="00C91F30">
    <w:pPr>
      <w:numPr>
        <w:ilvl w:val="0"/>
        <w:numId w:val="7"/>
      </w:numPr>
      <w:spacing w:line="360" w:lineRule="auto"/>
      <w:ind w:left="1440"/>
      <w:contextualSpacing/>
      <w:rPr>
        <w:rFonts w:ascii="Calibri" w:hAnsi="Calibri"/>
        <w:color w:val="404040"/>
        <w:szCs w:val="20"/>
      </w:rPr>
    </w:pPr>
    <w:r w:rsidRPr="00C91F30">
      <w:rPr>
        <w:rFonts w:ascii="Calibri" w:hAnsi="Calibri"/>
        <w:color w:val="404040"/>
        <w:szCs w:val="20"/>
      </w:rPr>
      <w:t>Housing for Disabled Persons</w:t>
    </w:r>
  </w:p>
  <w:p w14:paraId="14DD2BF4" w14:textId="77777777" w:rsidR="005F3FCF" w:rsidRPr="00C91F30" w:rsidRDefault="005F3FCF" w:rsidP="00C91F30">
    <w:pPr>
      <w:spacing w:line="360" w:lineRule="auto"/>
      <w:rPr>
        <w:rFonts w:ascii="Calibri" w:hAnsi="Calibri"/>
        <w:color w:val="404040"/>
        <w:szCs w:val="20"/>
      </w:rPr>
    </w:pPr>
  </w:p>
  <w:p w14:paraId="03EBDC60" w14:textId="77777777" w:rsidR="005F3FCF" w:rsidRPr="00C91F30" w:rsidRDefault="005F3FCF" w:rsidP="00C91F30">
    <w:pPr>
      <w:spacing w:line="360" w:lineRule="auto"/>
      <w:ind w:left="360" w:hanging="360"/>
      <w:rPr>
        <w:rFonts w:ascii="Calibri" w:hAnsi="Calibri" w:cs="Calibri Light"/>
        <w:bCs/>
        <w:color w:val="404040"/>
        <w:szCs w:val="20"/>
      </w:rPr>
    </w:pPr>
    <w:r w:rsidRPr="00C91F30">
      <w:rPr>
        <w:rFonts w:ascii="Calibri" w:hAnsi="Calibri" w:cs="Calibri Light"/>
        <w:bCs/>
        <w:color w:val="404040"/>
        <w:szCs w:val="20"/>
      </w:rPr>
      <w:t xml:space="preserve">Summary: Salt Lake City is expanding affordable housing options available to protected classes through the utilization and leveraging of city-owned land. The City has been working toward redeveloping large city-owned parcels. Two of those are detailed below: </w:t>
    </w:r>
  </w:p>
  <w:p w14:paraId="0A721337" w14:textId="77777777" w:rsidR="005F3FCF" w:rsidRPr="00C91F30" w:rsidRDefault="005F3FCF" w:rsidP="00C91F30">
    <w:pPr>
      <w:numPr>
        <w:ilvl w:val="0"/>
        <w:numId w:val="34"/>
      </w:numPr>
      <w:autoSpaceDE w:val="0"/>
      <w:autoSpaceDN w:val="0"/>
      <w:adjustRightInd w:val="0"/>
      <w:spacing w:line="360" w:lineRule="auto"/>
      <w:contextualSpacing/>
      <w:rPr>
        <w:rFonts w:ascii="Calibri" w:hAnsi="Calibri" w:cs="Calibri"/>
        <w:color w:val="404040"/>
        <w:szCs w:val="20"/>
      </w:rPr>
    </w:pPr>
    <w:r w:rsidRPr="00C91F30">
      <w:rPr>
        <w:rFonts w:ascii="Calibri" w:hAnsi="Calibri" w:cs="Calibri"/>
        <w:color w:val="404040"/>
        <w:szCs w:val="20"/>
      </w:rPr>
      <w:t xml:space="preserve">Violin School Commons: Violin School Commons, is designed to include 65 permanent supportive housing units, 183 mixed-income units, ground floor commercial space, and a new parking structure that will serve the development. Seventy-four of the residential units will be located in the Northwest Pipeline Building as part of its adaptive reuse. The Northwest Pipeline Building is recognized on the National Register of Historic Place. </w:t>
    </w:r>
  </w:p>
  <w:p w14:paraId="5557CB45" w14:textId="77777777" w:rsidR="005F3FCF" w:rsidRPr="00C91F30" w:rsidRDefault="005F3FCF" w:rsidP="00C91F30">
    <w:pPr>
      <w:numPr>
        <w:ilvl w:val="0"/>
        <w:numId w:val="33"/>
      </w:numPr>
      <w:spacing w:line="360" w:lineRule="auto"/>
      <w:rPr>
        <w:rFonts w:ascii="Calibri" w:hAnsi="Calibri" w:cs="Calibri Light"/>
        <w:bCs/>
        <w:color w:val="404040"/>
        <w:szCs w:val="20"/>
      </w:rPr>
    </w:pPr>
    <w:r w:rsidRPr="00C91F30">
      <w:rPr>
        <w:rFonts w:ascii="Calibri" w:hAnsi="Calibri" w:cs="Calibri Light"/>
        <w:bCs/>
        <w:color w:val="404040"/>
        <w:szCs w:val="20"/>
      </w:rPr>
      <w:t xml:space="preserve">400 South TOD will include: </w:t>
    </w:r>
  </w:p>
  <w:p w14:paraId="241DE8F0" w14:textId="77777777" w:rsidR="005F3FCF" w:rsidRPr="00C91F30" w:rsidRDefault="005F3FCF" w:rsidP="00C91F30">
    <w:pPr>
      <w:numPr>
        <w:ilvl w:val="1"/>
        <w:numId w:val="34"/>
      </w:numPr>
      <w:autoSpaceDE w:val="0"/>
      <w:autoSpaceDN w:val="0"/>
      <w:adjustRightInd w:val="0"/>
      <w:spacing w:line="360" w:lineRule="auto"/>
      <w:contextualSpacing/>
      <w:rPr>
        <w:rFonts w:ascii="Calibri" w:hAnsi="Calibri" w:cs="Calibri"/>
        <w:color w:val="404040"/>
        <w:szCs w:val="20"/>
      </w:rPr>
    </w:pPr>
    <w:r w:rsidRPr="00C91F30">
      <w:rPr>
        <w:rFonts w:ascii="Calibri" w:hAnsi="Calibri" w:cs="Calibri"/>
        <w:color w:val="404040"/>
        <w:szCs w:val="20"/>
      </w:rPr>
      <w:t>124 innovative micro-unit apartments ranging from 325-392 square feet. 40 units will be reserved for households earning 40% or less of the area median income (AMI).</w:t>
    </w:r>
  </w:p>
  <w:p w14:paraId="2A7E14FB" w14:textId="77777777" w:rsidR="005F3FCF" w:rsidRPr="00C91F30" w:rsidRDefault="005F3FCF" w:rsidP="00C91F30">
    <w:pPr>
      <w:numPr>
        <w:ilvl w:val="1"/>
        <w:numId w:val="34"/>
      </w:numPr>
      <w:autoSpaceDE w:val="0"/>
      <w:autoSpaceDN w:val="0"/>
      <w:adjustRightInd w:val="0"/>
      <w:spacing w:line="360" w:lineRule="auto"/>
      <w:contextualSpacing/>
      <w:rPr>
        <w:rFonts w:ascii="Calibri" w:hAnsi="Calibri" w:cs="Calibri"/>
        <w:color w:val="404040"/>
        <w:szCs w:val="20"/>
      </w:rPr>
    </w:pPr>
    <w:r w:rsidRPr="00C91F30">
      <w:rPr>
        <w:rFonts w:ascii="Calibri" w:hAnsi="Calibri" w:cs="Calibri"/>
        <w:color w:val="404040"/>
        <w:szCs w:val="20"/>
      </w:rPr>
      <w:t>288 mixed income units (Studios, 1, 2, and 3-bedroom). 72 units will be restricted to 60% AMI.</w:t>
    </w:r>
  </w:p>
  <w:p w14:paraId="41F7BA33" w14:textId="77777777" w:rsidR="005F3FCF" w:rsidRPr="00C91F30" w:rsidRDefault="005F3FCF" w:rsidP="00C91F30">
    <w:pPr>
      <w:numPr>
        <w:ilvl w:val="1"/>
        <w:numId w:val="34"/>
      </w:numPr>
      <w:autoSpaceDE w:val="0"/>
      <w:autoSpaceDN w:val="0"/>
      <w:adjustRightInd w:val="0"/>
      <w:spacing w:line="360" w:lineRule="auto"/>
      <w:contextualSpacing/>
      <w:rPr>
        <w:rFonts w:ascii="Calibri" w:hAnsi="Calibri" w:cs="Calibri"/>
        <w:color w:val="404040"/>
        <w:szCs w:val="20"/>
      </w:rPr>
    </w:pPr>
    <w:r w:rsidRPr="00C91F30">
      <w:rPr>
        <w:rFonts w:ascii="Calibri" w:hAnsi="Calibri" w:cs="Calibri"/>
        <w:color w:val="404040"/>
        <w:szCs w:val="20"/>
      </w:rPr>
      <w:t>A 30,000 square foot Business Incubator.</w:t>
    </w:r>
  </w:p>
  <w:p w14:paraId="57AF0846" w14:textId="77777777" w:rsidR="005F3FCF" w:rsidRPr="00F02B6B" w:rsidRDefault="005F3FCF" w:rsidP="00F02B6B">
    <w:pPr>
      <w:numPr>
        <w:ilvl w:val="1"/>
        <w:numId w:val="34"/>
      </w:numPr>
      <w:autoSpaceDE w:val="0"/>
      <w:autoSpaceDN w:val="0"/>
      <w:adjustRightInd w:val="0"/>
      <w:spacing w:line="360" w:lineRule="auto"/>
      <w:contextualSpacing/>
      <w:rPr>
        <w:rFonts w:ascii="Calibri" w:hAnsi="Calibri" w:cs="Calibri"/>
        <w:color w:val="404040"/>
        <w:szCs w:val="20"/>
      </w:rPr>
    </w:pPr>
    <w:r w:rsidRPr="00C91F30">
      <w:rPr>
        <w:rFonts w:ascii="Calibri" w:hAnsi="Calibri" w:cs="Calibri"/>
        <w:color w:val="404040"/>
        <w:szCs w:val="20"/>
      </w:rPr>
      <w:t xml:space="preserve">Over 20,000 square feet of ground floor commercial and retail space anchored by an international food hall and marketplace programmed by Spice Kitchen. </w:t>
    </w:r>
  </w:p>
  <w:p w14:paraId="70DD45C9" w14:textId="77777777" w:rsidR="005F3FCF" w:rsidRPr="00C91F30" w:rsidRDefault="005F3FCF" w:rsidP="00C91F30">
    <w:pPr>
      <w:overflowPunct w:val="0"/>
      <w:autoSpaceDE w:val="0"/>
      <w:autoSpaceDN w:val="0"/>
      <w:adjustRightInd w:val="0"/>
      <w:spacing w:line="360" w:lineRule="auto"/>
      <w:textAlignment w:val="baseline"/>
      <w:rPr>
        <w:rFonts w:ascii="Calibri" w:eastAsia="Calibri" w:hAnsi="Calibri"/>
        <w:i/>
        <w:color w:val="404040"/>
        <w:szCs w:val="20"/>
        <w:u w:val="single"/>
      </w:rPr>
    </w:pPr>
    <w:r w:rsidRPr="00C91F30">
      <w:rPr>
        <w:rFonts w:ascii="Calibri" w:eastAsia="Calibri" w:hAnsi="Calibri"/>
        <w:i/>
        <w:color w:val="404040"/>
        <w:szCs w:val="20"/>
        <w:u w:val="single"/>
      </w:rPr>
      <w:t>Action: Salt Lake City Housing Trust Fund</w:t>
    </w:r>
  </w:p>
  <w:p w14:paraId="73CB207C" w14:textId="77777777" w:rsidR="005F3FCF" w:rsidRPr="00C91F30" w:rsidRDefault="005F3FCF" w:rsidP="00C91F30">
    <w:pPr>
      <w:overflowPunct w:val="0"/>
      <w:autoSpaceDE w:val="0"/>
      <w:autoSpaceDN w:val="0"/>
      <w:adjustRightInd w:val="0"/>
      <w:spacing w:line="360" w:lineRule="auto"/>
      <w:ind w:left="720"/>
      <w:textAlignment w:val="baseline"/>
      <w:rPr>
        <w:rFonts w:ascii="Calibri" w:eastAsia="Calibri" w:hAnsi="Calibri"/>
        <w:color w:val="404040"/>
        <w:szCs w:val="20"/>
      </w:rPr>
    </w:pPr>
    <w:r w:rsidRPr="00C91F30">
      <w:rPr>
        <w:rFonts w:ascii="Calibri" w:eastAsia="Calibri" w:hAnsi="Calibri"/>
        <w:color w:val="404040"/>
        <w:szCs w:val="20"/>
      </w:rPr>
      <w:t>Impediments Addressed:</w:t>
    </w:r>
  </w:p>
  <w:p w14:paraId="52AA279D" w14:textId="77777777" w:rsidR="005F3FCF" w:rsidRPr="00C91F30" w:rsidRDefault="005F3FCF" w:rsidP="00C91F30">
    <w:pPr>
      <w:numPr>
        <w:ilvl w:val="0"/>
        <w:numId w:val="5"/>
      </w:numPr>
      <w:spacing w:line="360" w:lineRule="auto"/>
      <w:ind w:left="1440"/>
      <w:contextualSpacing/>
      <w:rPr>
        <w:rFonts w:ascii="Calibri" w:hAnsi="Calibri"/>
        <w:color w:val="404040"/>
        <w:szCs w:val="20"/>
      </w:rPr>
    </w:pPr>
    <w:r w:rsidRPr="00C91F30">
      <w:rPr>
        <w:rFonts w:ascii="Calibri" w:hAnsi="Calibri"/>
        <w:color w:val="404040"/>
        <w:szCs w:val="20"/>
      </w:rPr>
      <w:t>Racial and Ethnic Segregation</w:t>
    </w:r>
  </w:p>
  <w:p w14:paraId="64BE8188" w14:textId="77777777" w:rsidR="005F3FCF" w:rsidRPr="00C91F30" w:rsidRDefault="005F3FCF" w:rsidP="00C91F30">
    <w:pPr>
      <w:numPr>
        <w:ilvl w:val="0"/>
        <w:numId w:val="5"/>
      </w:numPr>
      <w:spacing w:line="360" w:lineRule="auto"/>
      <w:ind w:left="1440"/>
      <w:contextualSpacing/>
      <w:rPr>
        <w:rFonts w:ascii="Calibri" w:hAnsi="Calibri"/>
        <w:color w:val="404040"/>
        <w:szCs w:val="20"/>
      </w:rPr>
    </w:pPr>
    <w:r w:rsidRPr="00C91F30">
      <w:rPr>
        <w:rFonts w:ascii="Calibri" w:hAnsi="Calibri"/>
        <w:color w:val="404040"/>
        <w:szCs w:val="20"/>
      </w:rPr>
      <w:t>Access to Opportunity</w:t>
    </w:r>
  </w:p>
  <w:p w14:paraId="7B7C33E4" w14:textId="77777777" w:rsidR="005F3FCF" w:rsidRPr="00C91F30" w:rsidRDefault="005F3FCF" w:rsidP="00C91F30">
    <w:pPr>
      <w:numPr>
        <w:ilvl w:val="0"/>
        <w:numId w:val="5"/>
      </w:numPr>
      <w:spacing w:line="360" w:lineRule="auto"/>
      <w:ind w:left="1440"/>
      <w:contextualSpacing/>
      <w:rPr>
        <w:rFonts w:ascii="Calibri" w:hAnsi="Calibri"/>
        <w:color w:val="404040"/>
        <w:szCs w:val="20"/>
      </w:rPr>
    </w:pPr>
    <w:r w:rsidRPr="00C91F30">
      <w:rPr>
        <w:rFonts w:ascii="Calibri" w:hAnsi="Calibri"/>
        <w:color w:val="404040"/>
        <w:szCs w:val="20"/>
      </w:rPr>
      <w:t>Housing Affordable to Households at 50% AMI and Below</w:t>
    </w:r>
  </w:p>
  <w:p w14:paraId="66DFAAD6" w14:textId="77777777" w:rsidR="005F3FCF" w:rsidRPr="00C91F30" w:rsidRDefault="005F3FCF" w:rsidP="00C91F30">
    <w:pPr>
      <w:numPr>
        <w:ilvl w:val="0"/>
        <w:numId w:val="5"/>
      </w:numPr>
      <w:spacing w:line="360" w:lineRule="auto"/>
      <w:ind w:left="1440"/>
      <w:contextualSpacing/>
      <w:rPr>
        <w:rFonts w:ascii="Calibri" w:hAnsi="Calibri"/>
        <w:b/>
        <w:color w:val="404040"/>
        <w:szCs w:val="20"/>
      </w:rPr>
    </w:pPr>
    <w:r w:rsidRPr="00C91F30">
      <w:rPr>
        <w:rFonts w:ascii="Calibri" w:hAnsi="Calibri"/>
        <w:color w:val="404040"/>
        <w:szCs w:val="20"/>
      </w:rPr>
      <w:t>Rental Housing for Large Families</w:t>
    </w:r>
  </w:p>
  <w:p w14:paraId="2DA9BB12" w14:textId="77777777" w:rsidR="005F3FCF" w:rsidRPr="00C91F30" w:rsidRDefault="005F3FCF" w:rsidP="00C91F30">
    <w:pPr>
      <w:numPr>
        <w:ilvl w:val="0"/>
        <w:numId w:val="5"/>
      </w:numPr>
      <w:spacing w:line="360" w:lineRule="auto"/>
      <w:ind w:left="1440"/>
      <w:contextualSpacing/>
      <w:rPr>
        <w:rFonts w:ascii="Calibri" w:hAnsi="Calibri"/>
        <w:color w:val="404040"/>
        <w:szCs w:val="20"/>
      </w:rPr>
    </w:pPr>
    <w:r w:rsidRPr="00C91F30">
      <w:rPr>
        <w:rFonts w:ascii="Calibri" w:hAnsi="Calibri"/>
        <w:color w:val="404040"/>
        <w:szCs w:val="20"/>
      </w:rPr>
      <w:t>Housing for Disabled Persons</w:t>
    </w:r>
  </w:p>
  <w:p w14:paraId="637A6785" w14:textId="77777777" w:rsidR="005F3FCF" w:rsidRPr="00C91F30" w:rsidRDefault="005F3FCF" w:rsidP="00C91F30">
    <w:pPr>
      <w:overflowPunct w:val="0"/>
      <w:autoSpaceDE w:val="0"/>
      <w:autoSpaceDN w:val="0"/>
      <w:adjustRightInd w:val="0"/>
      <w:spacing w:line="360" w:lineRule="auto"/>
      <w:ind w:left="360"/>
      <w:textAlignment w:val="baseline"/>
      <w:rPr>
        <w:rFonts w:ascii="Calibri" w:eastAsia="Calibri" w:hAnsi="Calibri"/>
        <w:color w:val="404040"/>
        <w:szCs w:val="20"/>
      </w:rPr>
    </w:pPr>
  </w:p>
  <w:p w14:paraId="69E24C2E" w14:textId="77777777" w:rsidR="005F3FCF" w:rsidRPr="00C91F30" w:rsidRDefault="005F3FCF" w:rsidP="00C91F30">
    <w:pPr>
      <w:overflowPunct w:val="0"/>
      <w:autoSpaceDE w:val="0"/>
      <w:autoSpaceDN w:val="0"/>
      <w:adjustRightInd w:val="0"/>
      <w:spacing w:line="360" w:lineRule="auto"/>
      <w:ind w:left="360"/>
      <w:textAlignment w:val="baseline"/>
      <w:rPr>
        <w:rFonts w:ascii="Calibri" w:eastAsia="Calibri" w:hAnsi="Calibri"/>
        <w:color w:val="404040"/>
        <w:szCs w:val="20"/>
      </w:rPr>
    </w:pPr>
    <w:r w:rsidRPr="00C91F30">
      <w:rPr>
        <w:rFonts w:ascii="Calibri" w:eastAsia="Calibri" w:hAnsi="Calibri"/>
        <w:color w:val="404040"/>
        <w:szCs w:val="20"/>
      </w:rPr>
      <w:t>Summary: The Housing Trust Fund provides financial assistance to support the development and preservation of affordable and special needs</w:t>
    </w:r>
    <w:r>
      <w:rPr>
        <w:rFonts w:ascii="Calibri" w:eastAsia="Calibri" w:hAnsi="Calibri"/>
        <w:color w:val="404040"/>
        <w:szCs w:val="20"/>
      </w:rPr>
      <w:t xml:space="preserve"> housing in Salt Lake City. 2017-18</w:t>
    </w:r>
    <w:r w:rsidRPr="00C91F30">
      <w:rPr>
        <w:rFonts w:ascii="Calibri" w:eastAsia="Calibri" w:hAnsi="Calibri"/>
        <w:color w:val="404040"/>
        <w:szCs w:val="20"/>
      </w:rPr>
      <w:t xml:space="preserve"> activities supported the construction of multifamily housing with set-asides for the chronically homeless and persons with disabilities. In addition, activities supported the construction of a </w:t>
    </w:r>
    <w:r>
      <w:rPr>
        <w:rFonts w:ascii="Calibri" w:eastAsia="Calibri" w:hAnsi="Calibri"/>
        <w:color w:val="404040"/>
        <w:szCs w:val="20"/>
      </w:rPr>
      <w:t>permanent supportive housing project specifically for those with substance use disorders</w:t>
    </w:r>
    <w:r w:rsidRPr="00C91F30">
      <w:rPr>
        <w:rFonts w:ascii="Calibri" w:eastAsia="Calibri" w:hAnsi="Calibri"/>
        <w:color w:val="404040"/>
        <w:szCs w:val="20"/>
      </w:rPr>
      <w:t xml:space="preserve">. The Housing Trust Fund also provided funding to provide tenant-based rental assistance and leverage funds for case management for a hard to serve segment of chronically homeless individuals. This was part of the ongoing House 20 effort. </w:t>
    </w:r>
    <w:r>
      <w:rPr>
        <w:rFonts w:ascii="Calibri" w:eastAsia="Calibri" w:hAnsi="Calibri"/>
        <w:color w:val="404040"/>
        <w:szCs w:val="20"/>
      </w:rPr>
      <w:t xml:space="preserve">Moving forward House 20 will be funded with increased sales tax dollars allowing increased Housing Trust Fund dollars to continue supporting the construction of additional affordable multifamily and permanent supportive housing. </w:t>
    </w:r>
  </w:p>
  <w:p w14:paraId="29916C03" w14:textId="77777777" w:rsidR="005F3FCF" w:rsidRPr="00C91F30" w:rsidRDefault="005F3FCF" w:rsidP="00C91F30">
    <w:pPr>
      <w:spacing w:line="360" w:lineRule="auto"/>
      <w:rPr>
        <w:rFonts w:ascii="Calibri" w:hAnsi="Calibri"/>
        <w:color w:val="404040"/>
        <w:szCs w:val="20"/>
      </w:rPr>
    </w:pPr>
  </w:p>
  <w:p w14:paraId="4AE966C3" w14:textId="77777777" w:rsidR="005F3FCF" w:rsidRPr="00C91F30" w:rsidRDefault="005F3FCF" w:rsidP="00C91F30">
    <w:pPr>
      <w:spacing w:line="360" w:lineRule="auto"/>
      <w:rPr>
        <w:rFonts w:ascii="Calibri" w:hAnsi="Calibri" w:cs="Arial"/>
        <w:i/>
        <w:color w:val="404040"/>
        <w:szCs w:val="20"/>
        <w:u w:val="single"/>
      </w:rPr>
    </w:pPr>
    <w:r w:rsidRPr="00C91F30">
      <w:rPr>
        <w:rFonts w:ascii="Calibri" w:hAnsi="Calibri" w:cs="Arial"/>
        <w:i/>
        <w:color w:val="404040"/>
        <w:szCs w:val="20"/>
        <w:u w:val="single"/>
      </w:rPr>
      <w:t>Action: Multilingual Program Outreach</w:t>
    </w:r>
  </w:p>
  <w:p w14:paraId="77181F1A" w14:textId="77777777" w:rsidR="005F3FCF" w:rsidRPr="00C91F30" w:rsidRDefault="005F3FCF" w:rsidP="00C91F30">
    <w:pPr>
      <w:spacing w:line="360" w:lineRule="auto"/>
      <w:ind w:left="720"/>
      <w:rPr>
        <w:rFonts w:ascii="Calibri" w:hAnsi="Calibri" w:cs="Arial"/>
        <w:color w:val="404040"/>
        <w:szCs w:val="20"/>
      </w:rPr>
    </w:pPr>
    <w:r w:rsidRPr="00C91F30">
      <w:rPr>
        <w:rFonts w:ascii="Calibri" w:hAnsi="Calibri" w:cs="Arial"/>
        <w:color w:val="404040"/>
        <w:szCs w:val="20"/>
      </w:rPr>
      <w:t>Impediments Addressed:</w:t>
    </w:r>
  </w:p>
  <w:p w14:paraId="736E2799" w14:textId="77777777" w:rsidR="005F3FCF" w:rsidRPr="00C91F30" w:rsidRDefault="005F3FCF" w:rsidP="00C91F30">
    <w:pPr>
      <w:numPr>
        <w:ilvl w:val="0"/>
        <w:numId w:val="10"/>
      </w:numPr>
      <w:spacing w:line="360" w:lineRule="auto"/>
      <w:ind w:left="1440"/>
      <w:contextualSpacing/>
      <w:rPr>
        <w:rFonts w:ascii="Calibri" w:hAnsi="Calibri" w:cs="Arial"/>
        <w:color w:val="404040"/>
        <w:szCs w:val="20"/>
        <w:u w:val="single"/>
      </w:rPr>
    </w:pPr>
    <w:r w:rsidRPr="00C91F30">
      <w:rPr>
        <w:rFonts w:ascii="Calibri" w:hAnsi="Calibri" w:cs="Arial"/>
        <w:color w:val="404040"/>
        <w:szCs w:val="20"/>
      </w:rPr>
      <w:t>Language Barriers</w:t>
    </w:r>
  </w:p>
  <w:p w14:paraId="63F1FBDC" w14:textId="77777777" w:rsidR="005F3FCF" w:rsidRPr="00C91F30" w:rsidRDefault="005F3FCF" w:rsidP="00C91F30">
    <w:pPr>
      <w:spacing w:line="360" w:lineRule="auto"/>
      <w:ind w:left="360"/>
      <w:rPr>
        <w:rFonts w:ascii="Calibri" w:hAnsi="Calibri" w:cs="Arial"/>
        <w:color w:val="404040"/>
        <w:szCs w:val="20"/>
      </w:rPr>
    </w:pPr>
  </w:p>
  <w:p w14:paraId="55581AAF" w14:textId="77777777" w:rsidR="005F3FCF" w:rsidRPr="00C91F30" w:rsidRDefault="005F3FCF" w:rsidP="00C91F30">
    <w:pPr>
      <w:spacing w:line="360" w:lineRule="auto"/>
      <w:ind w:left="360"/>
      <w:rPr>
        <w:rFonts w:ascii="Calibri" w:hAnsi="Calibri" w:cs="Arial"/>
        <w:color w:val="404040"/>
        <w:szCs w:val="20"/>
      </w:rPr>
    </w:pPr>
    <w:r w:rsidRPr="00C91F30">
      <w:rPr>
        <w:rFonts w:ascii="Calibri" w:hAnsi="Calibri" w:cs="Arial"/>
        <w:color w:val="404040"/>
        <w:szCs w:val="20"/>
      </w:rPr>
      <w:t xml:space="preserve">Summary: HAND continued to make its programs and activities available to all eligible individuals including those for whom English is not their primary language and who have a limited ability to read, write, speak, or understand English. HAND’s most frequent contacts with limited English proficient persons have been with those who speak Spanish. HAND has bilingual staff members who are fluent in English and Spanish, its website lists the telephone number of a bilingual staff member for Spanish-speaking persons to call to obtain information about its housing programs, and it provides written Spanish translations of applications and loan and mortgage documents for its First-Time Home Buyer and Housing Rehabilitation programs. When soliciting public feedback on Federal Funding Priorities, HAND utilizes information in both English and Spanish. HAND also offers to provide oral interpreters to persons applying for Homebuyer and Housing Rehabilitation loans who speak languages other than English or Spanish. HAND additionally requires its sub-grantees to comply with Title VI requirements including limited English proficiency to assure that non-English speaking persons have access to their programs. </w:t>
    </w:r>
  </w:p>
  <w:p w14:paraId="30049DC4" w14:textId="77777777" w:rsidR="005F3FCF" w:rsidRPr="00C91F30" w:rsidRDefault="005F3FCF" w:rsidP="00C91F30">
    <w:pPr>
      <w:spacing w:line="360" w:lineRule="auto"/>
      <w:rPr>
        <w:rFonts w:ascii="Calibri" w:hAnsi="Calibri"/>
        <w:color w:val="0000FF"/>
        <w:szCs w:val="20"/>
      </w:rPr>
    </w:pPr>
  </w:p>
  <w:p w14:paraId="3C253B26" w14:textId="77777777" w:rsidR="005F3FCF" w:rsidRDefault="005F3FCF" w:rsidP="00C91F30">
    <w:pPr>
      <w:spacing w:line="360" w:lineRule="auto"/>
      <w:rPr>
        <w:rFonts w:ascii="Calibri" w:hAnsi="Calibri"/>
        <w:i/>
        <w:color w:val="404040"/>
        <w:szCs w:val="20"/>
        <w:u w:val="single"/>
      </w:rPr>
    </w:pPr>
  </w:p>
  <w:p w14:paraId="7B5AFD90" w14:textId="77777777" w:rsidR="005F3FCF" w:rsidRPr="00C91F30" w:rsidRDefault="005F3FCF" w:rsidP="00C91F30">
    <w:pPr>
      <w:spacing w:line="360" w:lineRule="auto"/>
      <w:rPr>
        <w:rFonts w:ascii="Calibri" w:hAnsi="Calibri"/>
        <w:i/>
        <w:color w:val="404040"/>
        <w:szCs w:val="20"/>
        <w:u w:val="single"/>
      </w:rPr>
    </w:pPr>
    <w:r w:rsidRPr="00C91F30">
      <w:rPr>
        <w:rFonts w:ascii="Calibri" w:hAnsi="Calibri"/>
        <w:i/>
        <w:color w:val="404040"/>
        <w:szCs w:val="20"/>
        <w:u w:val="single"/>
      </w:rPr>
      <w:t>Action: Fair Housing Enforcement</w:t>
    </w:r>
  </w:p>
  <w:p w14:paraId="6CBE7891" w14:textId="77777777" w:rsidR="005F3FCF" w:rsidRPr="00C91F30" w:rsidRDefault="005F3FCF" w:rsidP="00C91F30">
    <w:pPr>
      <w:spacing w:line="360" w:lineRule="auto"/>
      <w:ind w:left="720"/>
      <w:rPr>
        <w:rFonts w:ascii="Calibri" w:hAnsi="Calibri"/>
        <w:color w:val="404040"/>
        <w:szCs w:val="20"/>
      </w:rPr>
    </w:pPr>
    <w:r w:rsidRPr="00C91F30">
      <w:rPr>
        <w:rFonts w:ascii="Calibri" w:hAnsi="Calibri"/>
        <w:color w:val="404040"/>
        <w:szCs w:val="20"/>
      </w:rPr>
      <w:t>Impediment Addressed:</w:t>
    </w:r>
  </w:p>
  <w:p w14:paraId="62244B3C" w14:textId="77777777" w:rsidR="005F3FCF" w:rsidRPr="00C91F30" w:rsidRDefault="005F3FCF" w:rsidP="00C91F30">
    <w:pPr>
      <w:numPr>
        <w:ilvl w:val="0"/>
        <w:numId w:val="8"/>
      </w:numPr>
      <w:spacing w:line="360" w:lineRule="auto"/>
      <w:ind w:left="1440"/>
      <w:rPr>
        <w:rFonts w:ascii="Calibri" w:hAnsi="Calibri"/>
        <w:color w:val="404040"/>
        <w:szCs w:val="20"/>
      </w:rPr>
    </w:pPr>
    <w:r w:rsidRPr="00C91F30">
      <w:rPr>
        <w:rFonts w:ascii="Calibri" w:hAnsi="Calibri"/>
        <w:color w:val="404040"/>
        <w:szCs w:val="20"/>
      </w:rPr>
      <w:t>Housing Discrimination and Disparate Treatment</w:t>
    </w:r>
  </w:p>
  <w:p w14:paraId="256720AE" w14:textId="77777777" w:rsidR="005F3FCF" w:rsidRPr="00C91F30" w:rsidRDefault="005F3FCF" w:rsidP="00C91F30">
    <w:pPr>
      <w:spacing w:before="100" w:beforeAutospacing="1" w:after="100" w:afterAutospacing="1" w:line="360" w:lineRule="auto"/>
      <w:ind w:left="360"/>
      <w:rPr>
        <w:rFonts w:ascii="Calibri" w:hAnsi="Calibri"/>
        <w:color w:val="404040"/>
      </w:rPr>
    </w:pPr>
    <w:r w:rsidRPr="00C91F30">
      <w:rPr>
        <w:rFonts w:ascii="Calibri" w:hAnsi="Calibri"/>
        <w:color w:val="404040"/>
        <w:szCs w:val="20"/>
      </w:rPr>
      <w:t xml:space="preserve">Summary: The Disability Law Center (DLC) and the Utah Antidiscrimination and Labor Division are actively processing complaints and performing paired testing efforts. The DLC is the HUD designated FHIP for the State of Utah. The Fair Housing Program assists individuals who have experienced discrimination, conducts fair housing testing, and engages in education and outreach efforts. This program addresses discrimination in all protected classes, state wide. </w:t>
    </w:r>
    <w:r w:rsidRPr="00C91F30">
      <w:rPr>
        <w:rFonts w:ascii="Calibri" w:hAnsi="Calibri"/>
        <w:color w:val="404040"/>
      </w:rPr>
      <w:t>HAND staff look forward to continuing the City’s relationship with DLC to help implement various components of its</w:t>
    </w:r>
    <w:r>
      <w:rPr>
        <w:rFonts w:ascii="Calibri" w:hAnsi="Calibri"/>
        <w:color w:val="404040"/>
      </w:rPr>
      <w:t xml:space="preserve"> new Housing Plan.</w:t>
    </w:r>
  </w:p>
  <w:p w14:paraId="005D6B90" w14:textId="77777777" w:rsidR="005F3FCF" w:rsidRPr="00C91F30" w:rsidRDefault="005F3FCF" w:rsidP="00C91F30">
    <w:pPr>
      <w:spacing w:line="360" w:lineRule="auto"/>
      <w:rPr>
        <w:rFonts w:ascii="Calibri" w:hAnsi="Calibri" w:cs="Arial"/>
        <w:i/>
        <w:color w:val="404040"/>
        <w:szCs w:val="20"/>
        <w:u w:val="single"/>
      </w:rPr>
    </w:pPr>
    <w:r w:rsidRPr="00C91F30">
      <w:rPr>
        <w:rFonts w:ascii="Calibri" w:hAnsi="Calibri" w:cs="Arial"/>
        <w:i/>
        <w:color w:val="404040"/>
        <w:szCs w:val="20"/>
        <w:u w:val="single"/>
      </w:rPr>
      <w:t>Action: Zoning Amendments</w:t>
    </w:r>
  </w:p>
  <w:p w14:paraId="1AF41735" w14:textId="77777777" w:rsidR="005F3FCF" w:rsidRPr="00C91F30" w:rsidRDefault="005F3FCF" w:rsidP="00C91F30">
    <w:pPr>
      <w:spacing w:line="360" w:lineRule="auto"/>
      <w:ind w:left="720"/>
      <w:rPr>
        <w:rFonts w:ascii="Calibri" w:hAnsi="Calibri" w:cs="Arial"/>
        <w:color w:val="404040"/>
        <w:szCs w:val="20"/>
      </w:rPr>
    </w:pPr>
    <w:r w:rsidRPr="00C91F30">
      <w:rPr>
        <w:rFonts w:ascii="Calibri" w:hAnsi="Calibri" w:cs="Arial"/>
        <w:color w:val="404040"/>
        <w:szCs w:val="20"/>
      </w:rPr>
      <w:t>Impediments Addressed:</w:t>
    </w:r>
  </w:p>
  <w:p w14:paraId="212AFFF5" w14:textId="77777777" w:rsidR="005F3FCF" w:rsidRPr="00C91F30" w:rsidRDefault="005F3FCF" w:rsidP="00C91F30">
    <w:pPr>
      <w:numPr>
        <w:ilvl w:val="0"/>
        <w:numId w:val="8"/>
      </w:numPr>
      <w:spacing w:line="360" w:lineRule="auto"/>
      <w:ind w:left="1440"/>
      <w:contextualSpacing/>
      <w:rPr>
        <w:rFonts w:ascii="Calibri" w:hAnsi="Calibri"/>
        <w:color w:val="404040"/>
        <w:szCs w:val="20"/>
      </w:rPr>
    </w:pPr>
    <w:r w:rsidRPr="00C91F30">
      <w:rPr>
        <w:rFonts w:ascii="Calibri" w:hAnsi="Calibri"/>
        <w:color w:val="404040"/>
        <w:szCs w:val="20"/>
      </w:rPr>
      <w:t>Racial and Ethnic Segregation</w:t>
    </w:r>
  </w:p>
  <w:p w14:paraId="09AA289B" w14:textId="77777777" w:rsidR="005F3FCF" w:rsidRPr="00C91F30" w:rsidRDefault="005F3FCF" w:rsidP="00C91F30">
    <w:pPr>
      <w:numPr>
        <w:ilvl w:val="0"/>
        <w:numId w:val="8"/>
      </w:numPr>
      <w:spacing w:line="360" w:lineRule="auto"/>
      <w:ind w:left="1440"/>
      <w:contextualSpacing/>
      <w:rPr>
        <w:rFonts w:ascii="Calibri" w:hAnsi="Calibri" w:cs="Arial"/>
        <w:color w:val="404040"/>
        <w:szCs w:val="20"/>
      </w:rPr>
    </w:pPr>
    <w:r w:rsidRPr="00C91F30">
      <w:rPr>
        <w:rFonts w:ascii="Calibri" w:hAnsi="Calibri"/>
        <w:color w:val="404040"/>
        <w:szCs w:val="20"/>
      </w:rPr>
      <w:t>Access to Opportunity</w:t>
    </w:r>
  </w:p>
  <w:p w14:paraId="5FE48A8A" w14:textId="77777777" w:rsidR="005F3FCF" w:rsidRPr="00C91F30" w:rsidRDefault="005F3FCF" w:rsidP="00C91F30">
    <w:pPr>
      <w:numPr>
        <w:ilvl w:val="0"/>
        <w:numId w:val="8"/>
      </w:numPr>
      <w:spacing w:line="360" w:lineRule="auto"/>
      <w:ind w:left="1440"/>
      <w:contextualSpacing/>
      <w:rPr>
        <w:rFonts w:ascii="Calibri" w:hAnsi="Calibri"/>
        <w:color w:val="404040"/>
        <w:szCs w:val="20"/>
      </w:rPr>
    </w:pPr>
    <w:r w:rsidRPr="00C91F30">
      <w:rPr>
        <w:rFonts w:ascii="Calibri" w:hAnsi="Calibri"/>
        <w:color w:val="404040"/>
        <w:szCs w:val="20"/>
      </w:rPr>
      <w:t>Housing Affordable to Households at 50% AMI and Below</w:t>
    </w:r>
  </w:p>
  <w:p w14:paraId="5DA3ADDE" w14:textId="77777777" w:rsidR="005F3FCF" w:rsidRPr="00C91F30" w:rsidRDefault="005F3FCF" w:rsidP="00C91F30">
    <w:pPr>
      <w:numPr>
        <w:ilvl w:val="0"/>
        <w:numId w:val="8"/>
      </w:numPr>
      <w:spacing w:line="360" w:lineRule="auto"/>
      <w:ind w:left="1440"/>
      <w:contextualSpacing/>
      <w:rPr>
        <w:rFonts w:ascii="Calibri" w:hAnsi="Calibri"/>
        <w:b/>
        <w:color w:val="404040"/>
        <w:szCs w:val="20"/>
      </w:rPr>
    </w:pPr>
    <w:r w:rsidRPr="00C91F30">
      <w:rPr>
        <w:rFonts w:ascii="Calibri" w:hAnsi="Calibri"/>
        <w:color w:val="404040"/>
        <w:szCs w:val="20"/>
      </w:rPr>
      <w:t>Rental Housing for Large Families</w:t>
    </w:r>
  </w:p>
  <w:p w14:paraId="6B520067" w14:textId="77777777" w:rsidR="005F3FCF" w:rsidRPr="00C91F30" w:rsidRDefault="005F3FCF" w:rsidP="00C91F30">
    <w:pPr>
      <w:numPr>
        <w:ilvl w:val="0"/>
        <w:numId w:val="8"/>
      </w:numPr>
      <w:spacing w:line="360" w:lineRule="auto"/>
      <w:ind w:left="1440"/>
      <w:contextualSpacing/>
      <w:rPr>
        <w:rFonts w:ascii="Calibri" w:hAnsi="Calibri"/>
        <w:color w:val="404040"/>
        <w:szCs w:val="20"/>
      </w:rPr>
    </w:pPr>
    <w:r w:rsidRPr="00C91F30">
      <w:rPr>
        <w:rFonts w:ascii="Calibri" w:hAnsi="Calibri"/>
        <w:color w:val="404040"/>
        <w:szCs w:val="20"/>
      </w:rPr>
      <w:t>Housing for Disabled Persons</w:t>
    </w:r>
  </w:p>
  <w:p w14:paraId="43E658B1" w14:textId="77777777" w:rsidR="005F3FCF" w:rsidRPr="00C91F30" w:rsidRDefault="005F3FCF" w:rsidP="00C91F30">
    <w:pPr>
      <w:numPr>
        <w:ilvl w:val="0"/>
        <w:numId w:val="8"/>
      </w:numPr>
      <w:spacing w:line="360" w:lineRule="auto"/>
      <w:ind w:left="1440"/>
      <w:contextualSpacing/>
      <w:rPr>
        <w:rFonts w:ascii="Calibri" w:hAnsi="Calibri"/>
        <w:color w:val="404040"/>
        <w:szCs w:val="20"/>
      </w:rPr>
    </w:pPr>
    <w:r w:rsidRPr="00C91F30">
      <w:rPr>
        <w:rFonts w:ascii="Calibri" w:hAnsi="Calibri"/>
        <w:color w:val="404040"/>
        <w:szCs w:val="20"/>
      </w:rPr>
      <w:t>Zoning and Land Use Restrictions</w:t>
    </w:r>
  </w:p>
  <w:p w14:paraId="76E56014" w14:textId="77777777" w:rsidR="005F3FCF" w:rsidRPr="00C91F30" w:rsidRDefault="005F3FCF" w:rsidP="00C91F30">
    <w:pPr>
      <w:spacing w:line="360" w:lineRule="auto"/>
      <w:ind w:left="360"/>
      <w:rPr>
        <w:rFonts w:ascii="Calibri" w:hAnsi="Calibri" w:cs="Arial"/>
        <w:color w:val="404040"/>
        <w:szCs w:val="20"/>
      </w:rPr>
    </w:pPr>
  </w:p>
  <w:p w14:paraId="58A3E10A" w14:textId="77777777" w:rsidR="005F3FCF" w:rsidRPr="00C91F30" w:rsidRDefault="005F3FCF" w:rsidP="00C91F30">
    <w:pPr>
      <w:spacing w:line="360" w:lineRule="auto"/>
      <w:ind w:left="360"/>
      <w:rPr>
        <w:rFonts w:ascii="Calibri" w:hAnsi="Calibri" w:cs="Arial"/>
        <w:color w:val="404040"/>
        <w:szCs w:val="20"/>
      </w:rPr>
    </w:pPr>
    <w:r w:rsidRPr="00C91F30">
      <w:rPr>
        <w:rFonts w:ascii="Calibri" w:hAnsi="Calibri" w:cs="Arial"/>
        <w:color w:val="404040"/>
        <w:szCs w:val="20"/>
      </w:rPr>
      <w:t>Summary: Salt Lake City continues to promote the development of affordable housing for low-income households, including protected classes, through zoning amendments. For example, the Accessory Dwelling Unit, Transit Station Area Zoning District, and Impact Fee Exemption ordinances encourage the development of affordable housing. Impact fee exemptions are offered at a sliding scale reduction depending on the affordability level of the unit, with reductions as high as 100%. Accessory dwelling units can expand housing choice in low poverty areas. Transit-oriented developments provide persons with physical disabilities with adequate, reliable public transportation to easily access employment, goods, services, and housing.  Affordable housing near public transportation also expands housing options for persons without driver’s licenses, such as refugees, newly immigrated minorities, formerly homeless, and mentally disabled persons.</w:t>
    </w:r>
  </w:p>
  <w:p w14:paraId="21FD2D8D" w14:textId="77777777" w:rsidR="005F3FCF" w:rsidRPr="00C91F30" w:rsidRDefault="005F3FCF" w:rsidP="00C91F30">
    <w:pPr>
      <w:spacing w:line="360" w:lineRule="auto"/>
      <w:rPr>
        <w:rFonts w:ascii="Calibri" w:hAnsi="Calibri"/>
        <w:color w:val="404040"/>
        <w:szCs w:val="20"/>
      </w:rPr>
    </w:pPr>
  </w:p>
  <w:p w14:paraId="08C949CD" w14:textId="77777777" w:rsidR="005F3FCF" w:rsidRPr="00C91F30" w:rsidRDefault="005F3FCF" w:rsidP="00C91F30">
    <w:pPr>
      <w:spacing w:line="360" w:lineRule="auto"/>
      <w:rPr>
        <w:rFonts w:ascii="Calibri" w:hAnsi="Calibri"/>
        <w:i/>
        <w:color w:val="404040"/>
        <w:szCs w:val="20"/>
        <w:u w:val="single"/>
      </w:rPr>
    </w:pPr>
    <w:r w:rsidRPr="00C91F30">
      <w:rPr>
        <w:rFonts w:ascii="Calibri" w:hAnsi="Calibri"/>
        <w:i/>
        <w:color w:val="404040"/>
        <w:szCs w:val="20"/>
        <w:u w:val="single"/>
      </w:rPr>
      <w:t>Action: Salt Lake City Landlord/Tenant Program</w:t>
    </w:r>
  </w:p>
  <w:p w14:paraId="2D20ED34" w14:textId="77777777" w:rsidR="005F3FCF" w:rsidRPr="00C91F30" w:rsidRDefault="005F3FCF" w:rsidP="00C91F30">
    <w:pPr>
      <w:spacing w:line="360" w:lineRule="auto"/>
      <w:ind w:left="720"/>
      <w:rPr>
        <w:rFonts w:ascii="Calibri" w:hAnsi="Calibri"/>
        <w:color w:val="404040"/>
        <w:szCs w:val="20"/>
      </w:rPr>
    </w:pPr>
    <w:r w:rsidRPr="00C91F30">
      <w:rPr>
        <w:rFonts w:ascii="Calibri" w:hAnsi="Calibri"/>
        <w:color w:val="404040"/>
        <w:szCs w:val="20"/>
      </w:rPr>
      <w:t>Impediment Addressed:</w:t>
    </w:r>
  </w:p>
  <w:p w14:paraId="6338B26A" w14:textId="77777777" w:rsidR="005F3FCF" w:rsidRPr="00C91F30" w:rsidRDefault="005F3FCF" w:rsidP="00C91F30">
    <w:pPr>
      <w:numPr>
        <w:ilvl w:val="0"/>
        <w:numId w:val="8"/>
      </w:numPr>
      <w:spacing w:line="360" w:lineRule="auto"/>
      <w:ind w:left="1440"/>
      <w:contextualSpacing/>
      <w:rPr>
        <w:rFonts w:ascii="Calibri" w:hAnsi="Calibri" w:cs="Arial"/>
        <w:color w:val="404040"/>
        <w:szCs w:val="20"/>
      </w:rPr>
    </w:pPr>
    <w:r w:rsidRPr="00C91F30">
      <w:rPr>
        <w:rFonts w:ascii="Calibri" w:hAnsi="Calibri" w:cs="Arial"/>
        <w:color w:val="404040"/>
        <w:szCs w:val="20"/>
      </w:rPr>
      <w:t>Fair Housing Knowledge</w:t>
    </w:r>
  </w:p>
  <w:p w14:paraId="11217423" w14:textId="77777777" w:rsidR="005F3FCF" w:rsidRPr="00C91F30" w:rsidRDefault="005F3FCF" w:rsidP="00C91F30">
    <w:pPr>
      <w:spacing w:line="360" w:lineRule="auto"/>
      <w:ind w:left="360"/>
      <w:rPr>
        <w:rFonts w:ascii="Calibri" w:hAnsi="Calibri" w:cs="Arial"/>
        <w:color w:val="404040"/>
        <w:szCs w:val="20"/>
      </w:rPr>
    </w:pPr>
  </w:p>
  <w:p w14:paraId="4B711E35" w14:textId="77777777" w:rsidR="005F3FCF" w:rsidRPr="00C91F30" w:rsidRDefault="005F3FCF" w:rsidP="00C91F30">
    <w:pPr>
      <w:spacing w:line="360" w:lineRule="auto"/>
      <w:ind w:left="360"/>
      <w:rPr>
        <w:rFonts w:ascii="Calibri" w:hAnsi="Calibri" w:cs="Arial"/>
        <w:color w:val="404040"/>
        <w:szCs w:val="20"/>
      </w:rPr>
    </w:pPr>
    <w:r w:rsidRPr="00C91F30">
      <w:rPr>
        <w:rFonts w:ascii="Calibri" w:hAnsi="Calibri" w:cs="Arial"/>
        <w:color w:val="404040"/>
        <w:szCs w:val="20"/>
      </w:rPr>
      <w:t xml:space="preserve">Summary: </w:t>
    </w:r>
    <w:r w:rsidRPr="00C91F30">
      <w:rPr>
        <w:rFonts w:ascii="Calibri" w:hAnsi="Calibri"/>
        <w:color w:val="404040"/>
        <w:szCs w:val="20"/>
      </w:rPr>
      <w:t xml:space="preserve">The Landlord/Tenant Initiative (also known as the Good Landlord Program) provides training regarding best management practices, fair housing law, and city ordinance requirements.  </w:t>
    </w:r>
  </w:p>
  <w:p w14:paraId="4DA0B9A2" w14:textId="77777777" w:rsidR="005F3FCF" w:rsidRPr="00C91F30" w:rsidRDefault="005F3FCF" w:rsidP="00C91F30">
    <w:pPr>
      <w:widowControl w:val="0"/>
      <w:autoSpaceDE w:val="0"/>
      <w:autoSpaceDN w:val="0"/>
      <w:adjustRightInd w:val="0"/>
      <w:spacing w:line="360" w:lineRule="auto"/>
      <w:rPr>
        <w:rFonts w:ascii="Calibri" w:hAnsi="Calibri"/>
        <w:color w:val="404040"/>
        <w:szCs w:val="20"/>
      </w:rPr>
    </w:pPr>
  </w:p>
  <w:p w14:paraId="29FE68A6" w14:textId="77777777" w:rsidR="005F3FCF" w:rsidRPr="00C91F30" w:rsidRDefault="005F3FCF" w:rsidP="00C91F30">
    <w:pPr>
      <w:spacing w:line="360" w:lineRule="auto"/>
      <w:rPr>
        <w:rFonts w:ascii="Calibri" w:hAnsi="Calibri" w:cs="Arial"/>
        <w:i/>
        <w:color w:val="404040"/>
        <w:szCs w:val="20"/>
        <w:u w:val="single"/>
      </w:rPr>
    </w:pPr>
    <w:r w:rsidRPr="00C91F30">
      <w:rPr>
        <w:rFonts w:ascii="Calibri" w:hAnsi="Calibri" w:cs="Arial"/>
        <w:i/>
        <w:color w:val="404040"/>
        <w:szCs w:val="20"/>
        <w:u w:val="single"/>
      </w:rPr>
      <w:t>Action: Local Opportunity Index</w:t>
    </w:r>
  </w:p>
  <w:p w14:paraId="20017841" w14:textId="77777777" w:rsidR="005F3FCF" w:rsidRPr="00C91F30" w:rsidRDefault="005F3FCF" w:rsidP="00C91F30">
    <w:pPr>
      <w:widowControl w:val="0"/>
      <w:autoSpaceDE w:val="0"/>
      <w:autoSpaceDN w:val="0"/>
      <w:adjustRightInd w:val="0"/>
      <w:spacing w:line="360" w:lineRule="auto"/>
      <w:ind w:left="720"/>
      <w:rPr>
        <w:rFonts w:ascii="Calibri" w:hAnsi="Calibri" w:cs="Arial"/>
        <w:color w:val="404040"/>
        <w:szCs w:val="20"/>
      </w:rPr>
    </w:pPr>
    <w:r w:rsidRPr="00C91F30">
      <w:rPr>
        <w:rFonts w:ascii="Calibri" w:hAnsi="Calibri" w:cs="Arial"/>
        <w:color w:val="404040"/>
        <w:szCs w:val="20"/>
      </w:rPr>
      <w:t>Impediment Addressed:</w:t>
    </w:r>
  </w:p>
  <w:p w14:paraId="736F282E" w14:textId="77777777" w:rsidR="005F3FCF" w:rsidRPr="00C91F30" w:rsidRDefault="005F3FCF" w:rsidP="00C91F30">
    <w:pPr>
      <w:widowControl w:val="0"/>
      <w:numPr>
        <w:ilvl w:val="0"/>
        <w:numId w:val="8"/>
      </w:numPr>
      <w:autoSpaceDE w:val="0"/>
      <w:autoSpaceDN w:val="0"/>
      <w:adjustRightInd w:val="0"/>
      <w:spacing w:line="360" w:lineRule="auto"/>
      <w:ind w:left="1440"/>
      <w:contextualSpacing/>
      <w:rPr>
        <w:rFonts w:ascii="Calibri" w:hAnsi="Calibri"/>
        <w:color w:val="404040"/>
        <w:szCs w:val="20"/>
      </w:rPr>
    </w:pPr>
    <w:r w:rsidRPr="00C91F30">
      <w:rPr>
        <w:rFonts w:ascii="Calibri" w:hAnsi="Calibri"/>
        <w:color w:val="404040"/>
        <w:szCs w:val="20"/>
      </w:rPr>
      <w:t>Regional Fair Housing Coordination</w:t>
    </w:r>
  </w:p>
  <w:p w14:paraId="0A65735C" w14:textId="77777777" w:rsidR="005F3FCF" w:rsidRPr="00C91F30" w:rsidRDefault="005F3FCF" w:rsidP="00C91F30">
    <w:pPr>
      <w:spacing w:line="360" w:lineRule="auto"/>
      <w:ind w:left="360"/>
      <w:rPr>
        <w:rFonts w:ascii="Calibri" w:hAnsi="Calibri" w:cs="Arial"/>
        <w:color w:val="404040"/>
        <w:szCs w:val="20"/>
      </w:rPr>
    </w:pPr>
  </w:p>
  <w:p w14:paraId="710753A1" w14:textId="77777777" w:rsidR="005F3FCF" w:rsidRPr="00C91F30" w:rsidRDefault="005F3FCF" w:rsidP="00C91F30">
    <w:pPr>
      <w:spacing w:line="360" w:lineRule="auto"/>
      <w:ind w:left="360"/>
      <w:rPr>
        <w:rFonts w:ascii="Calibri" w:hAnsi="Calibri" w:cs="Arial"/>
        <w:color w:val="404040"/>
        <w:szCs w:val="20"/>
      </w:rPr>
    </w:pPr>
    <w:r w:rsidRPr="00C91F30">
      <w:rPr>
        <w:rFonts w:ascii="Calibri" w:hAnsi="Calibri" w:cs="Arial"/>
        <w:color w:val="404040"/>
        <w:szCs w:val="20"/>
      </w:rPr>
      <w:t xml:space="preserve">Summary: In 2014, the Bureau of Economic and Business Research completed a study identifying impediments to fair housing on a regional scale. The </w:t>
    </w:r>
    <w:r w:rsidRPr="00C91F30">
      <w:rPr>
        <w:rFonts w:ascii="Calibri" w:hAnsi="Calibri" w:cs="Arial"/>
        <w:i/>
        <w:color w:val="404040"/>
        <w:szCs w:val="20"/>
      </w:rPr>
      <w:t>Regional Analysis to Fair Housing Choice: Salt Lake County</w:t>
    </w:r>
    <w:r w:rsidRPr="00C91F30">
      <w:rPr>
        <w:rFonts w:ascii="Calibri" w:hAnsi="Calibri" w:cs="Arial"/>
        <w:color w:val="404040"/>
        <w:szCs w:val="20"/>
      </w:rPr>
      <w:t xml:space="preserve"> provides information not only on discrimination issues, but also on access to opportunity. That report relied on 2010 and 2013 Census and ACS data. To update that information, the City commissioned a new assessment focused on neighborhoods within Salt Lake. It will be used to drive future local and federal investments that breakdown disparities in opportunity. </w:t>
    </w:r>
  </w:p>
  <w:p w14:paraId="41204511" w14:textId="77777777" w:rsidR="005F3FCF" w:rsidRPr="00C91F30" w:rsidRDefault="005F3FCF" w:rsidP="00C91F30">
    <w:pPr>
      <w:spacing w:line="360" w:lineRule="auto"/>
      <w:ind w:left="360"/>
      <w:rPr>
        <w:rFonts w:ascii="Calibri" w:hAnsi="Calibri" w:cs="Arial"/>
        <w:color w:val="404040"/>
        <w:szCs w:val="20"/>
        <w:u w:val="single"/>
      </w:rPr>
    </w:pPr>
  </w:p>
  <w:p w14:paraId="0E068781" w14:textId="77777777" w:rsidR="005F3FCF" w:rsidRPr="00C91F30" w:rsidRDefault="005F3FCF" w:rsidP="00C91F30">
    <w:pPr>
      <w:spacing w:line="360" w:lineRule="auto"/>
      <w:rPr>
        <w:rFonts w:ascii="Calibri" w:hAnsi="Calibri" w:cs="Arial"/>
        <w:i/>
        <w:color w:val="404040"/>
        <w:szCs w:val="20"/>
        <w:u w:val="single"/>
      </w:rPr>
    </w:pPr>
    <w:r w:rsidRPr="00C91F30">
      <w:rPr>
        <w:rFonts w:ascii="Calibri" w:hAnsi="Calibri" w:cs="Arial"/>
        <w:i/>
        <w:color w:val="404040"/>
        <w:szCs w:val="20"/>
        <w:u w:val="single"/>
      </w:rPr>
      <w:t>Action: Utah Fair Housing Forum</w:t>
    </w:r>
  </w:p>
  <w:p w14:paraId="2B8909AD" w14:textId="77777777" w:rsidR="005F3FCF" w:rsidRPr="00C91F30" w:rsidRDefault="005F3FCF" w:rsidP="00C91F30">
    <w:pPr>
      <w:spacing w:line="360" w:lineRule="auto"/>
      <w:ind w:left="360"/>
      <w:rPr>
        <w:rFonts w:ascii="Calibri" w:hAnsi="Calibri" w:cs="Arial"/>
        <w:color w:val="404040"/>
        <w:szCs w:val="20"/>
      </w:rPr>
    </w:pPr>
    <w:r w:rsidRPr="00C91F30">
      <w:rPr>
        <w:rFonts w:ascii="Calibri" w:hAnsi="Calibri" w:cs="Arial"/>
        <w:color w:val="404040"/>
        <w:szCs w:val="20"/>
      </w:rPr>
      <w:t>Impediment Addressed:</w:t>
    </w:r>
  </w:p>
  <w:p w14:paraId="4344F2F6" w14:textId="77777777" w:rsidR="005F3FCF" w:rsidRPr="00C91F30" w:rsidRDefault="005F3FCF" w:rsidP="00C91F30">
    <w:pPr>
      <w:numPr>
        <w:ilvl w:val="0"/>
        <w:numId w:val="8"/>
      </w:numPr>
      <w:spacing w:line="360" w:lineRule="auto"/>
      <w:contextualSpacing/>
      <w:rPr>
        <w:rFonts w:ascii="Calibri" w:hAnsi="Calibri" w:cs="Arial"/>
        <w:color w:val="404040"/>
        <w:szCs w:val="20"/>
      </w:rPr>
    </w:pPr>
    <w:r w:rsidRPr="00C91F30">
      <w:rPr>
        <w:rFonts w:ascii="Calibri" w:hAnsi="Calibri"/>
        <w:color w:val="404040"/>
        <w:szCs w:val="20"/>
      </w:rPr>
      <w:t>Regional Fair Housing Coordination</w:t>
    </w:r>
  </w:p>
  <w:p w14:paraId="47299B49" w14:textId="77777777" w:rsidR="005F3FCF" w:rsidRPr="00C91F30" w:rsidRDefault="005F3FCF" w:rsidP="00C91F30">
    <w:pPr>
      <w:spacing w:line="360" w:lineRule="auto"/>
      <w:ind w:left="360"/>
      <w:rPr>
        <w:rFonts w:ascii="Calibri" w:hAnsi="Calibri" w:cs="Arial"/>
        <w:color w:val="404040"/>
        <w:szCs w:val="20"/>
      </w:rPr>
    </w:pPr>
  </w:p>
  <w:p w14:paraId="22372A25" w14:textId="77777777" w:rsidR="005F3FCF" w:rsidRPr="00C91F30" w:rsidRDefault="005F3FCF" w:rsidP="00C91F30">
    <w:pPr>
      <w:spacing w:line="360" w:lineRule="auto"/>
      <w:ind w:left="360"/>
      <w:rPr>
        <w:rFonts w:ascii="Calibri" w:hAnsi="Calibri" w:cs="Arial"/>
        <w:color w:val="404040"/>
        <w:szCs w:val="20"/>
      </w:rPr>
    </w:pPr>
    <w:r w:rsidRPr="00C91F30">
      <w:rPr>
        <w:rFonts w:ascii="Calibri" w:hAnsi="Calibri" w:cs="Arial"/>
        <w:color w:val="404040"/>
        <w:szCs w:val="20"/>
      </w:rPr>
      <w:t>Summary: Salt Lake City continued to be a member of the Utah Fair Housing Forum, which includes representatives from HUD’s Regional Office of Fair Housing and Equal Opportunity, the Utah Antidiscrimination and Labor Division, the Disability Law Center, entitlement cities, and fair housing advocacy groups.  HAND staff attend monthly meetings with the coalition and will attend the annual Fair Housing Forum. The forum serves as a platform to share information and coordinate efforts relating to fair housing.</w:t>
    </w:r>
  </w:p>
  <w:p w14:paraId="39589320" w14:textId="77777777" w:rsidR="005F3FCF" w:rsidRPr="00C91F30" w:rsidRDefault="005F3FCF" w:rsidP="00C91F30">
    <w:pPr>
      <w:spacing w:line="360" w:lineRule="auto"/>
      <w:rPr>
        <w:rFonts w:ascii="Calibri" w:hAnsi="Calibri" w:cs="Arial"/>
        <w:color w:val="404040"/>
        <w:szCs w:val="20"/>
      </w:rPr>
    </w:pPr>
  </w:p>
  <w:p w14:paraId="1611099F" w14:textId="77777777" w:rsidR="005F3FCF" w:rsidRPr="00C91F30" w:rsidRDefault="005F3FCF" w:rsidP="00C91F30">
    <w:pPr>
      <w:spacing w:line="360" w:lineRule="auto"/>
      <w:rPr>
        <w:rFonts w:ascii="Calibri" w:hAnsi="Calibri" w:cs="Arial"/>
        <w:i/>
        <w:color w:val="404040"/>
        <w:szCs w:val="20"/>
        <w:u w:val="single"/>
      </w:rPr>
    </w:pPr>
    <w:r w:rsidRPr="00C91F30">
      <w:rPr>
        <w:rFonts w:ascii="Calibri" w:hAnsi="Calibri" w:cs="Arial"/>
        <w:i/>
        <w:color w:val="404040"/>
        <w:szCs w:val="20"/>
        <w:u w:val="single"/>
      </w:rPr>
      <w:t>Action: Fair Housing Month</w:t>
    </w:r>
  </w:p>
  <w:p w14:paraId="26AAC7D2" w14:textId="77777777" w:rsidR="005F3FCF" w:rsidRPr="00C91F30" w:rsidRDefault="005F3FCF" w:rsidP="00C91F30">
    <w:pPr>
      <w:spacing w:line="360" w:lineRule="auto"/>
      <w:ind w:left="720"/>
      <w:rPr>
        <w:rFonts w:ascii="Calibri" w:hAnsi="Calibri" w:cs="Arial"/>
        <w:color w:val="404040"/>
        <w:szCs w:val="20"/>
      </w:rPr>
    </w:pPr>
    <w:r w:rsidRPr="00C91F30">
      <w:rPr>
        <w:rFonts w:ascii="Calibri" w:hAnsi="Calibri" w:cs="Arial"/>
        <w:color w:val="404040"/>
        <w:szCs w:val="20"/>
      </w:rPr>
      <w:t>Impediment Addressed:</w:t>
    </w:r>
  </w:p>
  <w:p w14:paraId="00C07977" w14:textId="77777777" w:rsidR="005F3FCF" w:rsidRPr="00C91F30" w:rsidRDefault="005F3FCF" w:rsidP="00C91F30">
    <w:pPr>
      <w:numPr>
        <w:ilvl w:val="0"/>
        <w:numId w:val="9"/>
      </w:numPr>
      <w:spacing w:line="360" w:lineRule="auto"/>
      <w:ind w:left="1440"/>
      <w:contextualSpacing/>
      <w:rPr>
        <w:rFonts w:ascii="Calibri" w:hAnsi="Calibri" w:cs="Arial"/>
        <w:color w:val="404040"/>
        <w:szCs w:val="20"/>
      </w:rPr>
    </w:pPr>
    <w:r w:rsidRPr="00C91F30">
      <w:rPr>
        <w:rFonts w:ascii="Calibri" w:hAnsi="Calibri" w:cs="Arial"/>
        <w:color w:val="404040"/>
        <w:szCs w:val="20"/>
      </w:rPr>
      <w:t>Fair Housing Knowledge</w:t>
    </w:r>
  </w:p>
  <w:p w14:paraId="73008A37" w14:textId="77777777" w:rsidR="005F3FCF" w:rsidRPr="00C91F30" w:rsidRDefault="005F3FCF" w:rsidP="00C91F30">
    <w:pPr>
      <w:spacing w:line="360" w:lineRule="auto"/>
      <w:ind w:left="1440"/>
      <w:contextualSpacing/>
      <w:rPr>
        <w:rFonts w:ascii="Calibri" w:hAnsi="Calibri" w:cs="Arial"/>
        <w:color w:val="404040"/>
        <w:szCs w:val="20"/>
      </w:rPr>
    </w:pPr>
  </w:p>
  <w:p w14:paraId="76C364D4" w14:textId="77777777" w:rsidR="005F3FCF" w:rsidRPr="00C91F30" w:rsidRDefault="005F3FCF" w:rsidP="00C91F30">
    <w:pPr>
      <w:spacing w:line="360" w:lineRule="auto"/>
      <w:ind w:left="360"/>
      <w:rPr>
        <w:rFonts w:ascii="Calibri" w:hAnsi="Calibri" w:cs="Arial"/>
        <w:color w:val="404040"/>
        <w:szCs w:val="20"/>
      </w:rPr>
    </w:pPr>
    <w:r w:rsidRPr="00C91F30">
      <w:rPr>
        <w:rFonts w:ascii="Calibri" w:hAnsi="Calibri" w:cs="Arial"/>
        <w:color w:val="404040"/>
        <w:szCs w:val="20"/>
      </w:rPr>
      <w:t xml:space="preserve">Summary: Mayor Biskupski commemorated the 50th anniversary of the passage of the Federal Fair Housing Act of 1968 by proclaiming April as Fair Housing Month in Salt Lake City and reaffirming the City’s commitment to support Federal and State fair housing laws. </w:t>
    </w:r>
  </w:p>
  <w:p w14:paraId="41000058" w14:textId="77777777" w:rsidR="005F3FCF" w:rsidRPr="00C91F30" w:rsidRDefault="005F3FCF" w:rsidP="00C91F30">
    <w:pPr>
      <w:spacing w:line="360" w:lineRule="auto"/>
      <w:rPr>
        <w:rFonts w:ascii="Calibri" w:hAnsi="Calibri" w:cs="Arial"/>
        <w:color w:val="404040"/>
        <w:szCs w:val="20"/>
      </w:rPr>
    </w:pPr>
  </w:p>
  <w:p w14:paraId="3819F607" w14:textId="77777777" w:rsidR="005F3FCF" w:rsidRPr="00C91F30" w:rsidRDefault="005F3FCF" w:rsidP="00C91F30">
    <w:pPr>
      <w:spacing w:line="360" w:lineRule="auto"/>
      <w:rPr>
        <w:rFonts w:ascii="Calibri" w:hAnsi="Calibri" w:cs="Arial"/>
        <w:i/>
        <w:color w:val="404040"/>
        <w:szCs w:val="20"/>
        <w:u w:val="single"/>
      </w:rPr>
    </w:pPr>
    <w:r w:rsidRPr="00C91F30">
      <w:rPr>
        <w:rFonts w:ascii="Calibri" w:hAnsi="Calibri" w:cs="Arial"/>
        <w:i/>
        <w:color w:val="404040"/>
        <w:szCs w:val="20"/>
        <w:u w:val="single"/>
      </w:rPr>
      <w:t>Action: Subgrantee Fair Housing Training</w:t>
    </w:r>
  </w:p>
  <w:p w14:paraId="57003E03" w14:textId="77777777" w:rsidR="005F3FCF" w:rsidRPr="00C91F30" w:rsidRDefault="005F3FCF" w:rsidP="00C91F30">
    <w:pPr>
      <w:spacing w:line="360" w:lineRule="auto"/>
      <w:ind w:left="720"/>
      <w:rPr>
        <w:rFonts w:ascii="Calibri" w:hAnsi="Calibri" w:cs="Arial"/>
        <w:color w:val="404040"/>
        <w:szCs w:val="20"/>
      </w:rPr>
    </w:pPr>
    <w:r w:rsidRPr="00C91F30">
      <w:rPr>
        <w:rFonts w:ascii="Calibri" w:hAnsi="Calibri" w:cs="Arial"/>
        <w:color w:val="404040"/>
        <w:szCs w:val="20"/>
      </w:rPr>
      <w:t>Impediment Addressed:</w:t>
    </w:r>
  </w:p>
  <w:p w14:paraId="3F57E044" w14:textId="77777777" w:rsidR="005F3FCF" w:rsidRPr="00C91F30" w:rsidRDefault="005F3FCF" w:rsidP="00C91F30">
    <w:pPr>
      <w:numPr>
        <w:ilvl w:val="0"/>
        <w:numId w:val="9"/>
      </w:numPr>
      <w:spacing w:line="360" w:lineRule="auto"/>
      <w:ind w:left="1440"/>
      <w:contextualSpacing/>
      <w:rPr>
        <w:rFonts w:ascii="Calibri" w:hAnsi="Calibri" w:cs="Arial"/>
        <w:color w:val="404040"/>
        <w:szCs w:val="20"/>
      </w:rPr>
    </w:pPr>
    <w:r w:rsidRPr="00C91F30">
      <w:rPr>
        <w:rFonts w:ascii="Calibri" w:hAnsi="Calibri" w:cs="Arial"/>
        <w:color w:val="404040"/>
        <w:szCs w:val="20"/>
      </w:rPr>
      <w:t>Fair Housing Knowledge</w:t>
    </w:r>
  </w:p>
  <w:p w14:paraId="29436F1D" w14:textId="77777777" w:rsidR="005F3FCF" w:rsidRPr="00C91F30" w:rsidRDefault="005F3FCF" w:rsidP="00C91F30">
    <w:pPr>
      <w:spacing w:line="360" w:lineRule="auto"/>
      <w:ind w:left="360"/>
      <w:rPr>
        <w:rFonts w:ascii="Calibri" w:hAnsi="Calibri" w:cs="Arial"/>
        <w:color w:val="404040"/>
        <w:szCs w:val="20"/>
      </w:rPr>
    </w:pPr>
  </w:p>
  <w:p w14:paraId="1B0A8048" w14:textId="77777777" w:rsidR="005F3FCF" w:rsidRDefault="005F3FCF" w:rsidP="00593081">
    <w:pPr>
      <w:spacing w:line="360" w:lineRule="auto"/>
      <w:ind w:left="360"/>
      <w:rPr>
        <w:rFonts w:ascii="Calibri" w:hAnsi="Calibri" w:cs="Arial"/>
        <w:color w:val="404040"/>
        <w:szCs w:val="20"/>
      </w:rPr>
    </w:pPr>
    <w:r w:rsidRPr="00C91F30">
      <w:rPr>
        <w:rFonts w:ascii="Calibri" w:hAnsi="Calibri" w:cs="Arial"/>
        <w:color w:val="404040"/>
        <w:szCs w:val="20"/>
      </w:rPr>
      <w:t xml:space="preserve">Summary: HAND continued to provide fair housing information and training at its annual workshop for CDBG, ESG, HOME, and HOPWA sub-grantees to help them increase the awareness of their clients—many of whom are minorities, immigrants, refugees, single parents, persons with disabilities, and tenants—about fair housing laws. </w:t>
    </w:r>
  </w:p>
  <w:p w14:paraId="7CE80E56" w14:textId="77777777" w:rsidR="005F3FCF" w:rsidRPr="00C91F30" w:rsidRDefault="005F3FCF" w:rsidP="00593081">
    <w:pPr>
      <w:spacing w:line="360" w:lineRule="auto"/>
      <w:ind w:left="360"/>
      <w:rPr>
        <w:rFonts w:ascii="Calibri" w:hAnsi="Calibri" w:cs="Arial"/>
        <w:color w:val="404040"/>
        <w:szCs w:val="20"/>
      </w:rPr>
    </w:pPr>
  </w:p>
  <w:p w14:paraId="6D7B04AE" w14:textId="77777777" w:rsidR="005F3FCF" w:rsidRPr="00C91F30" w:rsidRDefault="005F3FCF" w:rsidP="00C91F30">
    <w:pPr>
      <w:spacing w:line="360" w:lineRule="auto"/>
      <w:rPr>
        <w:rFonts w:ascii="Calibri" w:hAnsi="Calibri" w:cs="Arial"/>
        <w:i/>
        <w:color w:val="404040"/>
        <w:szCs w:val="20"/>
        <w:u w:val="single"/>
      </w:rPr>
    </w:pPr>
    <w:r w:rsidRPr="00C91F30">
      <w:rPr>
        <w:rFonts w:ascii="Calibri" w:hAnsi="Calibri" w:cs="Arial"/>
        <w:i/>
        <w:color w:val="404040"/>
        <w:szCs w:val="20"/>
        <w:u w:val="single"/>
      </w:rPr>
      <w:t>Action: Neighborhood Improvements in Racial and Ethnic Concentrated Areas of Poverty</w:t>
    </w:r>
  </w:p>
  <w:p w14:paraId="236F88C4" w14:textId="77777777" w:rsidR="005F3FCF" w:rsidRPr="00C91F30" w:rsidRDefault="005F3FCF" w:rsidP="00C91F30">
    <w:pPr>
      <w:spacing w:line="360" w:lineRule="auto"/>
      <w:ind w:left="720"/>
      <w:rPr>
        <w:rFonts w:ascii="Calibri" w:hAnsi="Calibri" w:cs="Arial"/>
        <w:color w:val="404040"/>
        <w:szCs w:val="20"/>
      </w:rPr>
    </w:pPr>
    <w:r w:rsidRPr="00C91F30">
      <w:rPr>
        <w:rFonts w:ascii="Calibri" w:hAnsi="Calibri" w:cs="Arial"/>
        <w:color w:val="404040"/>
        <w:szCs w:val="20"/>
      </w:rPr>
      <w:t>Impediment Addressed:</w:t>
    </w:r>
  </w:p>
  <w:p w14:paraId="08DE7CEE" w14:textId="77777777" w:rsidR="005F3FCF" w:rsidRPr="00C91F30" w:rsidRDefault="005F3FCF" w:rsidP="00C91F30">
    <w:pPr>
      <w:numPr>
        <w:ilvl w:val="0"/>
        <w:numId w:val="9"/>
      </w:numPr>
      <w:spacing w:line="360" w:lineRule="auto"/>
      <w:ind w:left="1440"/>
      <w:contextualSpacing/>
      <w:rPr>
        <w:rFonts w:ascii="Calibri" w:hAnsi="Calibri" w:cs="Arial"/>
        <w:color w:val="404040"/>
        <w:szCs w:val="20"/>
      </w:rPr>
    </w:pPr>
    <w:r w:rsidRPr="00C91F30">
      <w:rPr>
        <w:rFonts w:ascii="Calibri" w:hAnsi="Calibri" w:cs="Arial"/>
        <w:color w:val="404040"/>
        <w:szCs w:val="20"/>
      </w:rPr>
      <w:t>Access to Opportunity</w:t>
    </w:r>
  </w:p>
  <w:p w14:paraId="5A6B7300" w14:textId="77777777" w:rsidR="005F3FCF" w:rsidRPr="00C91F30" w:rsidRDefault="005F3FCF" w:rsidP="00C91F30">
    <w:pPr>
      <w:spacing w:line="360" w:lineRule="auto"/>
      <w:ind w:left="360"/>
      <w:rPr>
        <w:rFonts w:ascii="Calibri" w:hAnsi="Calibri" w:cs="Arial"/>
        <w:color w:val="404040"/>
        <w:szCs w:val="20"/>
      </w:rPr>
    </w:pPr>
  </w:p>
  <w:p w14:paraId="6727BE35" w14:textId="77777777" w:rsidR="005F3FCF" w:rsidRPr="00C91F30" w:rsidRDefault="005F3FCF" w:rsidP="00C91F30">
    <w:pPr>
      <w:spacing w:line="360" w:lineRule="auto"/>
      <w:ind w:left="360"/>
      <w:rPr>
        <w:rFonts w:ascii="Calibri" w:hAnsi="Calibri" w:cs="Arial"/>
        <w:color w:val="404040"/>
        <w:szCs w:val="20"/>
      </w:rPr>
    </w:pPr>
    <w:r w:rsidRPr="00C91F30">
      <w:rPr>
        <w:rFonts w:ascii="Calibri" w:hAnsi="Calibri" w:cs="Arial"/>
        <w:color w:val="404040"/>
        <w:szCs w:val="20"/>
      </w:rPr>
      <w:t>Summary: Salt Lake City allocated funding in CDBG funds to construct sidewalk accessibility ramps in compliance with ADA requirements. CDBG allocations also included funding for deteriorated sidewalk reconstruction and for strategic park improvements in Poplar Grove. Projects were largely targeted toward Salt Lake City’s two racial/ethnic concentrated areas of poverty.</w:t>
    </w:r>
  </w:p>
  <w:p w14:paraId="7AB8F714" w14:textId="77777777" w:rsidR="005F3FCF" w:rsidRPr="00C91F30" w:rsidRDefault="005F3FCF" w:rsidP="00C91F30">
    <w:pPr>
      <w:spacing w:line="360" w:lineRule="auto"/>
      <w:ind w:left="360"/>
      <w:rPr>
        <w:rFonts w:ascii="Calibri" w:hAnsi="Calibri" w:cs="Arial"/>
        <w:color w:val="404040"/>
        <w:szCs w:val="20"/>
      </w:rPr>
    </w:pPr>
  </w:p>
  <w:p w14:paraId="24EBB5D3" w14:textId="77777777" w:rsidR="005F3FCF" w:rsidRPr="00C91F30" w:rsidRDefault="005F3FCF" w:rsidP="00C91F30">
    <w:pPr>
      <w:spacing w:line="360" w:lineRule="auto"/>
      <w:ind w:left="360"/>
      <w:rPr>
        <w:rFonts w:ascii="Calibri" w:hAnsi="Calibri" w:cs="Arial"/>
        <w:color w:val="404040"/>
        <w:szCs w:val="20"/>
      </w:rPr>
    </w:pPr>
    <w:r w:rsidRPr="00C91F30">
      <w:rPr>
        <w:rFonts w:ascii="Calibri" w:hAnsi="Calibri" w:cs="Arial"/>
        <w:color w:val="404040"/>
        <w:szCs w:val="20"/>
      </w:rPr>
      <w:t xml:space="preserve">The City has also continued to fund significant park improvements on the </w:t>
    </w:r>
    <w:r w:rsidRPr="00C91F30">
      <w:rPr>
        <w:rFonts w:ascii="Calibri" w:hAnsi="Calibri" w:cs="Calibri"/>
        <w:color w:val="404040"/>
        <w:szCs w:val="20"/>
      </w:rPr>
      <w:t xml:space="preserve">Three Creek Confluence project in the Glendale neighborhood, along with improved pedestrian accessibility and cyclist safety improvements. </w:t>
    </w:r>
  </w:p>
  <w:p w14:paraId="01AB275D" w14:textId="77777777" w:rsidR="005F3FCF" w:rsidRPr="00C91F30" w:rsidRDefault="005F3FCF" w:rsidP="00C91F30">
    <w:pPr>
      <w:spacing w:line="360" w:lineRule="auto"/>
      <w:rPr>
        <w:rFonts w:ascii="Calibri" w:hAnsi="Calibri" w:cs="Arial"/>
        <w:color w:val="404040"/>
        <w:szCs w:val="20"/>
      </w:rPr>
    </w:pPr>
  </w:p>
  <w:p w14:paraId="1E11C7BF" w14:textId="77777777" w:rsidR="005F3FCF" w:rsidRPr="00C91F30" w:rsidRDefault="005F3FCF" w:rsidP="00C91F30">
    <w:pPr>
      <w:widowControl w:val="0"/>
      <w:autoSpaceDE w:val="0"/>
      <w:autoSpaceDN w:val="0"/>
      <w:adjustRightInd w:val="0"/>
      <w:spacing w:line="360" w:lineRule="auto"/>
      <w:rPr>
        <w:rFonts w:ascii="Calibri" w:hAnsi="Calibri" w:cs="Arial"/>
        <w:bCs/>
        <w:i/>
        <w:color w:val="404040"/>
        <w:szCs w:val="20"/>
        <w:u w:val="single"/>
      </w:rPr>
    </w:pPr>
    <w:r w:rsidRPr="00C91F30">
      <w:rPr>
        <w:rFonts w:ascii="Calibri" w:hAnsi="Calibri" w:cs="Arial"/>
        <w:bCs/>
        <w:i/>
        <w:color w:val="404040"/>
        <w:szCs w:val="20"/>
        <w:u w:val="single"/>
      </w:rPr>
      <w:t>Action: Fair Housing Citizen Outreach</w:t>
    </w:r>
  </w:p>
  <w:p w14:paraId="2B289D44" w14:textId="77777777" w:rsidR="005F3FCF" w:rsidRPr="00C91F30" w:rsidRDefault="005F3FCF" w:rsidP="00C91F30">
    <w:pPr>
      <w:spacing w:line="360" w:lineRule="auto"/>
      <w:ind w:left="720"/>
      <w:rPr>
        <w:rFonts w:ascii="Calibri" w:hAnsi="Calibri" w:cs="Arial"/>
        <w:color w:val="404040"/>
        <w:szCs w:val="20"/>
      </w:rPr>
    </w:pPr>
    <w:r w:rsidRPr="00C91F30">
      <w:rPr>
        <w:rFonts w:ascii="Calibri" w:hAnsi="Calibri" w:cs="Arial"/>
        <w:color w:val="404040"/>
        <w:szCs w:val="20"/>
      </w:rPr>
      <w:t>Impediment Addressed:</w:t>
    </w:r>
  </w:p>
  <w:p w14:paraId="502610FE" w14:textId="77777777" w:rsidR="005F3FCF" w:rsidRPr="00C91F30" w:rsidRDefault="005F3FCF" w:rsidP="00C91F30">
    <w:pPr>
      <w:numPr>
        <w:ilvl w:val="0"/>
        <w:numId w:val="9"/>
      </w:numPr>
      <w:spacing w:line="360" w:lineRule="auto"/>
      <w:ind w:left="1440"/>
      <w:contextualSpacing/>
      <w:rPr>
        <w:rFonts w:ascii="Calibri" w:hAnsi="Calibri" w:cs="Arial"/>
        <w:color w:val="404040"/>
        <w:szCs w:val="20"/>
      </w:rPr>
    </w:pPr>
    <w:r w:rsidRPr="00C91F30">
      <w:rPr>
        <w:rFonts w:ascii="Calibri" w:hAnsi="Calibri" w:cs="Arial"/>
        <w:color w:val="404040"/>
        <w:szCs w:val="20"/>
      </w:rPr>
      <w:t>Fair Housing Knowledge</w:t>
    </w:r>
  </w:p>
  <w:p w14:paraId="5F66D190" w14:textId="77777777" w:rsidR="005F3FCF" w:rsidRPr="00C91F30" w:rsidRDefault="005F3FCF" w:rsidP="00C91F30">
    <w:pPr>
      <w:widowControl w:val="0"/>
      <w:autoSpaceDE w:val="0"/>
      <w:autoSpaceDN w:val="0"/>
      <w:adjustRightInd w:val="0"/>
      <w:spacing w:line="360" w:lineRule="auto"/>
      <w:ind w:left="360"/>
      <w:rPr>
        <w:rFonts w:ascii="Calibri" w:hAnsi="Calibri" w:cs="Arial"/>
        <w:color w:val="404040"/>
        <w:szCs w:val="20"/>
      </w:rPr>
    </w:pPr>
    <w:r w:rsidRPr="00C91F30">
      <w:rPr>
        <w:rFonts w:ascii="Calibri" w:hAnsi="Calibri" w:cs="Arial"/>
        <w:color w:val="404040"/>
        <w:szCs w:val="20"/>
      </w:rPr>
      <w:t>Summary: HAND integrated fair housing education with all affordable housing materials, educational curriculum, and its programs and services increasing opportunities to affirmatively further fair housing. HAND continued to maintain a fair housing page on its website providing links to the Utah Antidiscrimination and Labor Division Fair Housing website and HUD’s Housing Discrimination and Complaints website. All calls received by HAND looking for information or wanting to file a discrimination complaint were referred to the Disability Law Center.</w:t>
    </w:r>
  </w:p>
  <w:p w14:paraId="068273BB" w14:textId="77777777" w:rsidR="005F3FCF" w:rsidRPr="00C91F30" w:rsidRDefault="005F3FCF" w:rsidP="00C91F30">
    <w:pPr>
      <w:autoSpaceDE w:val="0"/>
      <w:autoSpaceDN w:val="0"/>
      <w:adjustRightInd w:val="0"/>
    </w:pPr>
  </w:p>
  <w:p w14:paraId="559E8E6C" w14:textId="77777777" w:rsidR="005F3FCF" w:rsidRPr="00C91F30" w:rsidRDefault="005F3FCF" w:rsidP="00C91F30">
    <w:pPr>
      <w:spacing w:line="276" w:lineRule="auto"/>
      <w:ind w:right="360"/>
      <w:rPr>
        <w:rFonts w:ascii="Calibri" w:hAnsi="Calibri" w:cs="Calibri"/>
        <w:b/>
        <w:color w:val="FF0000"/>
        <w:szCs w:val="20"/>
      </w:rPr>
    </w:pPr>
  </w:p>
  <w:p w14:paraId="3ECA95A2" w14:textId="77777777" w:rsidR="005F3FCF" w:rsidRDefault="005F3FCF" w:rsidP="00DA09CA">
    <w:pPr>
      <w:spacing w:line="276" w:lineRule="auto"/>
      <w:ind w:right="360"/>
      <w:rPr>
        <w:rFonts w:asciiTheme="minorHAnsi" w:hAnsiTheme="minorHAnsi" w:cstheme="minorHAnsi"/>
        <w:b/>
        <w:color w:val="FF0000"/>
        <w:szCs w:val="20"/>
      </w:rPr>
    </w:pPr>
  </w:p>
  <w:p w14:paraId="7CDB3DDE" w14:textId="77777777" w:rsidR="005F3FCF" w:rsidRDefault="005F3FCF" w:rsidP="00DA09CA">
    <w:pPr>
      <w:spacing w:line="276" w:lineRule="auto"/>
      <w:ind w:right="360"/>
      <w:rPr>
        <w:rFonts w:asciiTheme="minorHAnsi" w:hAnsiTheme="minorHAnsi" w:cstheme="minorHAnsi"/>
        <w:b/>
        <w:color w:val="FF0000"/>
        <w:szCs w:val="20"/>
      </w:rPr>
    </w:pPr>
    <w:r>
      <w:rPr>
        <w:rFonts w:asciiTheme="minorHAnsi" w:hAnsiTheme="minorHAnsi" w:cstheme="minorHAnsi"/>
        <w:b/>
        <w:color w:val="FF0000"/>
        <w:szCs w:val="20"/>
      </w:rPr>
      <w:br w:type="page"/>
    </w:r>
    <w:r w:rsidRPr="009629AD">
      <w:rPr>
        <w:rFonts w:asciiTheme="minorHAnsi" w:hAnsiTheme="minorHAnsi" w:cstheme="minorHAnsi"/>
        <w:b/>
        <w:color w:val="1F497D" w:themeColor="text2"/>
        <w:sz w:val="24"/>
      </w:rPr>
      <w:t>CR-</w:t>
    </w:r>
    <w:r>
      <w:rPr>
        <w:rFonts w:asciiTheme="minorHAnsi" w:hAnsiTheme="minorHAnsi" w:cstheme="minorHAnsi"/>
        <w:b/>
        <w:color w:val="1F497D" w:themeColor="text2"/>
        <w:sz w:val="24"/>
      </w:rPr>
      <w:t xml:space="preserve">40 MONITORING </w:t>
    </w:r>
    <w:r>
      <w:rPr>
        <w:rFonts w:asciiTheme="minorHAnsi" w:hAnsiTheme="minorHAnsi" w:cstheme="minorHAnsi"/>
        <w:i/>
        <w:color w:val="1F497D" w:themeColor="text2"/>
        <w:sz w:val="18"/>
        <w:szCs w:val="18"/>
      </w:rPr>
      <w:t>– 91.220; 91.320</w:t>
    </w:r>
  </w:p>
  <w:p w14:paraId="01E15B93" w14:textId="77777777" w:rsidR="005F3FCF" w:rsidRDefault="005F3FCF" w:rsidP="00DA09CA">
    <w:pPr>
      <w:spacing w:line="276" w:lineRule="auto"/>
      <w:ind w:right="360"/>
      <w:rPr>
        <w:rFonts w:asciiTheme="minorHAnsi" w:hAnsiTheme="minorHAnsi" w:cstheme="minorHAnsi"/>
        <w:b/>
        <w:color w:val="FF0000"/>
        <w:szCs w:val="20"/>
      </w:rPr>
    </w:pPr>
  </w:p>
  <w:p w14:paraId="3D82B580" w14:textId="77777777" w:rsidR="005F3FCF" w:rsidRPr="0095002E" w:rsidRDefault="005F3FCF" w:rsidP="00C91F30">
    <w:pPr>
      <w:spacing w:line="276" w:lineRule="auto"/>
      <w:ind w:right="360"/>
      <w:rPr>
        <w:rFonts w:asciiTheme="minorHAnsi" w:hAnsiTheme="minorHAnsi" w:cstheme="minorHAnsi"/>
        <w:b/>
        <w:color w:val="404040" w:themeColor="text1" w:themeTint="BF"/>
        <w:szCs w:val="20"/>
      </w:rPr>
    </w:pPr>
    <w:r w:rsidRPr="0095002E">
      <w:rPr>
        <w:rFonts w:asciiTheme="minorHAnsi" w:hAnsiTheme="minorHAnsi" w:cstheme="minorHAnsi"/>
        <w:b/>
        <w:color w:val="404040" w:themeColor="text1" w:themeTint="BF"/>
        <w:szCs w:val="20"/>
      </w:rPr>
      <w:t>Describe the standards and procedures used to monitor activities carried out in furtherance of the plan and used to ensure long-term compliance with requirements of the programs involved, including minority business outreach and the comprehensive planning requirements.</w:t>
    </w:r>
  </w:p>
  <w:p w14:paraId="5A79B196" w14:textId="77777777" w:rsidR="005F3FCF" w:rsidRPr="0095002E" w:rsidRDefault="005F3FCF" w:rsidP="00C91F30">
    <w:pPr>
      <w:spacing w:line="276" w:lineRule="auto"/>
      <w:ind w:right="360"/>
      <w:rPr>
        <w:rFonts w:asciiTheme="minorHAnsi" w:hAnsiTheme="minorHAnsi" w:cstheme="minorHAnsi"/>
        <w:b/>
        <w:color w:val="404040" w:themeColor="text1" w:themeTint="BF"/>
        <w:szCs w:val="20"/>
      </w:rPr>
    </w:pPr>
  </w:p>
  <w:p w14:paraId="099EC048" w14:textId="77777777" w:rsidR="005F3FCF" w:rsidRPr="0095002E" w:rsidRDefault="005F3FCF" w:rsidP="00C91F30">
    <w:pPr>
      <w:spacing w:line="360" w:lineRule="auto"/>
      <w:rPr>
        <w:rFonts w:asciiTheme="minorHAnsi" w:hAnsiTheme="minorHAnsi" w:cstheme="minorHAnsi"/>
        <w:color w:val="404040" w:themeColor="text1" w:themeTint="BF"/>
        <w:szCs w:val="20"/>
      </w:rPr>
    </w:pPr>
    <w:r w:rsidRPr="0095002E">
      <w:rPr>
        <w:rFonts w:asciiTheme="minorHAnsi" w:hAnsiTheme="minorHAnsi" w:cstheme="minorHAnsi"/>
        <w:color w:val="404040" w:themeColor="text1" w:themeTint="BF"/>
        <w:szCs w:val="20"/>
      </w:rPr>
      <w:t xml:space="preserve">To ensure compliance from the start of a project or program, the Housing and Neighborhood Development (HAND) Division uses the application process to start the monitoring process of all agencies. Each application must go through an extensive review process that </w:t>
    </w:r>
    <w:r>
      <w:rPr>
        <w:rFonts w:asciiTheme="minorHAnsi" w:hAnsiTheme="minorHAnsi" w:cstheme="minorHAnsi"/>
        <w:color w:val="404040" w:themeColor="text1" w:themeTint="BF"/>
        <w:szCs w:val="20"/>
      </w:rPr>
      <w:t xml:space="preserve">includes a risk analysis of proposed activities and </w:t>
    </w:r>
    <w:r w:rsidRPr="0095002E">
      <w:rPr>
        <w:rFonts w:asciiTheme="minorHAnsi" w:hAnsiTheme="minorHAnsi" w:cstheme="minorHAnsi"/>
        <w:color w:val="404040" w:themeColor="text1" w:themeTint="BF"/>
        <w:szCs w:val="20"/>
      </w:rPr>
      <w:t>ensure</w:t>
    </w:r>
    <w:r>
      <w:rPr>
        <w:rFonts w:asciiTheme="minorHAnsi" w:hAnsiTheme="minorHAnsi" w:cstheme="minorHAnsi"/>
        <w:color w:val="404040" w:themeColor="text1" w:themeTint="BF"/>
        <w:szCs w:val="20"/>
      </w:rPr>
      <w:t>s</w:t>
    </w:r>
    <w:r w:rsidRPr="0095002E">
      <w:rPr>
        <w:rFonts w:asciiTheme="minorHAnsi" w:hAnsiTheme="minorHAnsi" w:cstheme="minorHAnsi"/>
        <w:color w:val="404040" w:themeColor="text1" w:themeTint="BF"/>
        <w:szCs w:val="20"/>
      </w:rPr>
      <w:t xml:space="preserve"> that each applicant meets a national objective and that the organizational goals are aligned with the goals identified in the City’s Consolidated Plan.</w:t>
    </w:r>
  </w:p>
  <w:p w14:paraId="2A433624" w14:textId="77777777" w:rsidR="005F3FCF" w:rsidRPr="0095002E" w:rsidRDefault="005F3FCF" w:rsidP="00C91F30">
    <w:pPr>
      <w:spacing w:line="360" w:lineRule="auto"/>
      <w:ind w:left="360"/>
      <w:rPr>
        <w:rFonts w:asciiTheme="minorHAnsi" w:hAnsiTheme="minorHAnsi" w:cstheme="minorHAnsi"/>
        <w:color w:val="404040" w:themeColor="text1" w:themeTint="BF"/>
        <w:szCs w:val="20"/>
      </w:rPr>
    </w:pPr>
  </w:p>
  <w:p w14:paraId="6F80CE74" w14:textId="77777777" w:rsidR="005F3FCF" w:rsidRPr="0095002E" w:rsidRDefault="005F3FCF" w:rsidP="00C91F30">
    <w:pPr>
      <w:spacing w:line="360" w:lineRule="auto"/>
      <w:rPr>
        <w:rFonts w:asciiTheme="minorHAnsi" w:hAnsiTheme="minorHAnsi" w:cstheme="minorHAnsi"/>
        <w:color w:val="404040" w:themeColor="text1" w:themeTint="BF"/>
        <w:szCs w:val="20"/>
      </w:rPr>
    </w:pPr>
    <w:r w:rsidRPr="0095002E">
      <w:rPr>
        <w:rFonts w:asciiTheme="minorHAnsi" w:hAnsiTheme="minorHAnsi" w:cstheme="minorHAnsi"/>
        <w:color w:val="404040" w:themeColor="text1" w:themeTint="BF"/>
        <w:szCs w:val="20"/>
      </w:rPr>
      <w:t xml:space="preserve">Once the applications pass the initial review, each application is taken through an extensive public process, with the final funding decisions being made by our City Council. At that time, contracts are drawn up that identify governing regulations, scope of work, budgets and any other Federal requirements and local requirements of the grant. Once fully executed </w:t>
    </w:r>
    <w:r>
      <w:rPr>
        <w:rFonts w:asciiTheme="minorHAnsi" w:hAnsiTheme="minorHAnsi" w:cstheme="minorHAnsi"/>
        <w:color w:val="404040" w:themeColor="text1" w:themeTint="BF"/>
        <w:szCs w:val="20"/>
      </w:rPr>
      <w:t>contracts are in place, HAND’s Capital Planning staff are</w:t>
    </w:r>
    <w:r w:rsidRPr="0095002E">
      <w:rPr>
        <w:rFonts w:asciiTheme="minorHAnsi" w:hAnsiTheme="minorHAnsi" w:cstheme="minorHAnsi"/>
        <w:color w:val="404040" w:themeColor="text1" w:themeTint="BF"/>
        <w:szCs w:val="20"/>
      </w:rPr>
      <w:t xml:space="preserve"> responsible for monitoring the agencies through the life of the contract. The agencies are monitored for compliance with the program regulations as well as the content found in the City contracts.</w:t>
    </w:r>
  </w:p>
  <w:p w14:paraId="3B7D2E01" w14:textId="77777777" w:rsidR="005F3FCF" w:rsidRPr="0095002E" w:rsidRDefault="005F3FCF" w:rsidP="00C91F30">
    <w:pPr>
      <w:spacing w:line="360" w:lineRule="auto"/>
      <w:ind w:left="360"/>
      <w:rPr>
        <w:rFonts w:asciiTheme="minorHAnsi" w:hAnsiTheme="minorHAnsi" w:cstheme="minorHAnsi"/>
        <w:color w:val="404040" w:themeColor="text1" w:themeTint="BF"/>
        <w:szCs w:val="20"/>
      </w:rPr>
    </w:pPr>
  </w:p>
  <w:p w14:paraId="4C5AAB90" w14:textId="77777777" w:rsidR="005F3FCF" w:rsidRPr="0095002E" w:rsidRDefault="005F3FCF" w:rsidP="00C91F30">
    <w:pPr>
      <w:spacing w:line="360" w:lineRule="auto"/>
      <w:rPr>
        <w:rFonts w:asciiTheme="minorHAnsi" w:hAnsiTheme="minorHAnsi" w:cstheme="minorHAnsi"/>
        <w:color w:val="404040" w:themeColor="text1" w:themeTint="BF"/>
        <w:szCs w:val="20"/>
      </w:rPr>
    </w:pPr>
    <w:r w:rsidRPr="0095002E">
      <w:rPr>
        <w:rFonts w:asciiTheme="minorHAnsi" w:hAnsiTheme="minorHAnsi" w:cstheme="minorHAnsi"/>
        <w:color w:val="404040" w:themeColor="text1" w:themeTint="BF"/>
        <w:szCs w:val="20"/>
      </w:rPr>
      <w:t>To ensure Sub-grantees are aware of program requirements, each agency that was awarded funds received an invitation to attend a</w:t>
    </w:r>
    <w:r>
      <w:rPr>
        <w:rFonts w:asciiTheme="minorHAnsi" w:hAnsiTheme="minorHAnsi" w:cstheme="minorHAnsi"/>
        <w:color w:val="404040" w:themeColor="text1" w:themeTint="BF"/>
        <w:szCs w:val="20"/>
      </w:rPr>
      <w:t xml:space="preserve"> mandatory</w:t>
    </w:r>
    <w:r w:rsidRPr="0095002E">
      <w:rPr>
        <w:rFonts w:asciiTheme="minorHAnsi" w:hAnsiTheme="minorHAnsi" w:cstheme="minorHAnsi"/>
        <w:color w:val="404040" w:themeColor="text1" w:themeTint="BF"/>
        <w:szCs w:val="20"/>
      </w:rPr>
      <w:t xml:space="preserve"> grant training seminar. This seminar allows HAND staff to reiterate Federal regulations, provide guidance on changes for the upcoming grant year, identify Federal funding concerns, and review expectations of the agencies. The City </w:t>
    </w:r>
    <w:r>
      <w:rPr>
        <w:rFonts w:asciiTheme="minorHAnsi" w:hAnsiTheme="minorHAnsi" w:cstheme="minorHAnsi"/>
        <w:color w:val="404040" w:themeColor="text1" w:themeTint="BF"/>
        <w:szCs w:val="20"/>
      </w:rPr>
      <w:t>requires</w:t>
    </w:r>
    <w:r w:rsidRPr="0095002E">
      <w:rPr>
        <w:rFonts w:asciiTheme="minorHAnsi" w:hAnsiTheme="minorHAnsi" w:cstheme="minorHAnsi"/>
        <w:color w:val="404040" w:themeColor="text1" w:themeTint="BF"/>
        <w:szCs w:val="20"/>
      </w:rPr>
      <w:t xml:space="preserve"> at least one attendee from each agency come to the training. Each person attending the training seminar receives a handbook that contains important information including contacts, website links, timelines, and a list of documents that are required to be submitted to the City annually. Agencies that were unable to attend do have the ability to receive training documents if they contact the City.</w:t>
    </w:r>
  </w:p>
  <w:p w14:paraId="4D748CED" w14:textId="77777777" w:rsidR="005F3FCF" w:rsidRPr="0095002E" w:rsidRDefault="005F3FCF" w:rsidP="00C91F30">
    <w:pPr>
      <w:spacing w:line="360" w:lineRule="auto"/>
      <w:ind w:left="360"/>
      <w:rPr>
        <w:rFonts w:asciiTheme="minorHAnsi" w:hAnsiTheme="minorHAnsi" w:cstheme="minorHAnsi"/>
        <w:color w:val="404040" w:themeColor="text1" w:themeTint="BF"/>
        <w:szCs w:val="20"/>
      </w:rPr>
    </w:pPr>
  </w:p>
  <w:p w14:paraId="0B4F433B" w14:textId="77777777" w:rsidR="005F3FCF" w:rsidRPr="0095002E" w:rsidRDefault="005F3FCF" w:rsidP="00C91F30">
    <w:pPr>
      <w:spacing w:line="360" w:lineRule="auto"/>
      <w:rPr>
        <w:rFonts w:asciiTheme="minorHAnsi" w:hAnsiTheme="minorHAnsi" w:cstheme="minorHAnsi"/>
        <w:color w:val="404040" w:themeColor="text1" w:themeTint="BF"/>
        <w:szCs w:val="20"/>
      </w:rPr>
    </w:pPr>
    <w:r w:rsidRPr="0095002E">
      <w:rPr>
        <w:rFonts w:asciiTheme="minorHAnsi" w:hAnsiTheme="minorHAnsi" w:cstheme="minorHAnsi"/>
        <w:color w:val="404040" w:themeColor="text1" w:themeTint="BF"/>
        <w:szCs w:val="20"/>
      </w:rPr>
      <w:t>The City operates all CDBG, ESG, HOME and HOPWA grants on a reimbursement basis. This ensures that desk reviews, an important part of monitoring, can be completed before Federal funds are utilized for any program or project. A desk review was completed for every reimb</w:t>
    </w:r>
    <w:r>
      <w:rPr>
        <w:rFonts w:asciiTheme="minorHAnsi" w:hAnsiTheme="minorHAnsi" w:cstheme="minorHAnsi"/>
        <w:color w:val="404040" w:themeColor="text1" w:themeTint="BF"/>
        <w:szCs w:val="20"/>
      </w:rPr>
      <w:t>ursement request. This allowed HAND staff</w:t>
    </w:r>
    <w:r w:rsidRPr="0095002E">
      <w:rPr>
        <w:rFonts w:asciiTheme="minorHAnsi" w:hAnsiTheme="minorHAnsi" w:cstheme="minorHAnsi"/>
        <w:color w:val="404040" w:themeColor="text1" w:themeTint="BF"/>
        <w:szCs w:val="20"/>
      </w:rPr>
      <w:t xml:space="preserve"> to ensure that all requirements of the contract and federal regulations were actively being met prior to disbursing any funds or drawing funds from HUD’s Integrated Disbursement and Information System (IDIS).  The IDIS system also helps assist with program/project eligibility requirements, track spending rates and report performance measurements.</w:t>
    </w:r>
  </w:p>
  <w:p w14:paraId="7AD2EDD2" w14:textId="77777777" w:rsidR="005F3FCF" w:rsidRPr="0095002E" w:rsidRDefault="005F3FCF" w:rsidP="00C91F30">
    <w:pPr>
      <w:spacing w:line="360" w:lineRule="auto"/>
      <w:ind w:left="360"/>
      <w:rPr>
        <w:rFonts w:asciiTheme="minorHAnsi" w:hAnsiTheme="minorHAnsi" w:cstheme="minorHAnsi"/>
        <w:color w:val="404040" w:themeColor="text1" w:themeTint="BF"/>
        <w:szCs w:val="20"/>
      </w:rPr>
    </w:pPr>
    <w:r w:rsidRPr="0095002E">
      <w:rPr>
        <w:rFonts w:asciiTheme="minorHAnsi" w:hAnsiTheme="minorHAnsi" w:cstheme="minorHAnsi"/>
        <w:color w:val="404040" w:themeColor="text1" w:themeTint="BF"/>
        <w:szCs w:val="20"/>
      </w:rPr>
      <w:t xml:space="preserve"> </w:t>
    </w:r>
  </w:p>
  <w:p w14:paraId="08FA84C2" w14:textId="77777777" w:rsidR="005F3FCF" w:rsidRPr="0095002E" w:rsidRDefault="005F3FCF" w:rsidP="00C91F30">
    <w:pPr>
      <w:spacing w:line="360" w:lineRule="auto"/>
      <w:rPr>
        <w:rFonts w:asciiTheme="minorHAnsi" w:hAnsiTheme="minorHAnsi" w:cstheme="minorHAnsi"/>
        <w:color w:val="404040" w:themeColor="text1" w:themeTint="BF"/>
        <w:szCs w:val="20"/>
      </w:rPr>
    </w:pPr>
    <w:r w:rsidRPr="0095002E">
      <w:rPr>
        <w:rFonts w:asciiTheme="minorHAnsi" w:hAnsiTheme="minorHAnsi" w:cstheme="minorHAnsi"/>
        <w:color w:val="404040" w:themeColor="text1" w:themeTint="BF"/>
        <w:szCs w:val="20"/>
      </w:rPr>
      <w:t>During the program year, the HAND staff works together to ensure Federal regulations are followed. This ensures consistent communication between staff and agencies and reduces confusion. Additionally, agencies receiving Tenant Based Rental Assistance funding are highly encouraged to place clients in multi-family units that meet the City Housing Code standards. It is the City’s requirement that all residential rental units must have a current City business license. These units are regularly inspected as per City Ordinance. However, it is also our understanding that some clients may not be housed in multi-family units for one reason or another. In an effort to ensure safe, decent housing, a pro</w:t>
    </w:r>
    <w:r>
      <w:rPr>
        <w:rFonts w:asciiTheme="minorHAnsi" w:hAnsiTheme="minorHAnsi" w:cstheme="minorHAnsi"/>
        <w:color w:val="404040" w:themeColor="text1" w:themeTint="BF"/>
        <w:szCs w:val="20"/>
      </w:rPr>
      <w:t>cess exists a Landlord may self-</w:t>
    </w:r>
    <w:r w:rsidRPr="0095002E">
      <w:rPr>
        <w:rFonts w:asciiTheme="minorHAnsi" w:hAnsiTheme="minorHAnsi" w:cstheme="minorHAnsi"/>
        <w:color w:val="404040" w:themeColor="text1" w:themeTint="BF"/>
        <w:szCs w:val="20"/>
      </w:rPr>
      <w:t>certify that the</w:t>
    </w:r>
    <w:r>
      <w:rPr>
        <w:rFonts w:asciiTheme="minorHAnsi" w:hAnsiTheme="minorHAnsi" w:cstheme="minorHAnsi"/>
        <w:color w:val="404040" w:themeColor="text1" w:themeTint="BF"/>
        <w:szCs w:val="20"/>
      </w:rPr>
      <w:t xml:space="preserve"> unit meets City Housing Code.</w:t>
    </w:r>
    <w:r w:rsidRPr="0095002E">
      <w:rPr>
        <w:rFonts w:asciiTheme="minorHAnsi" w:hAnsiTheme="minorHAnsi" w:cstheme="minorHAnsi"/>
        <w:color w:val="404040" w:themeColor="text1" w:themeTint="BF"/>
        <w:szCs w:val="20"/>
      </w:rPr>
      <w:t xml:space="preserve"> Outside of the City’s incorporated boundaries, agencies must follow </w:t>
    </w:r>
    <w:r>
      <w:rPr>
        <w:rFonts w:asciiTheme="minorHAnsi" w:hAnsiTheme="minorHAnsi" w:cstheme="minorHAnsi"/>
        <w:color w:val="404040" w:themeColor="text1" w:themeTint="BF"/>
        <w:szCs w:val="20"/>
      </w:rPr>
      <w:t>local housing ordinances. In these</w:t>
    </w:r>
    <w:r w:rsidRPr="0095002E">
      <w:rPr>
        <w:rFonts w:asciiTheme="minorHAnsi" w:hAnsiTheme="minorHAnsi" w:cstheme="minorHAnsi"/>
        <w:color w:val="404040" w:themeColor="text1" w:themeTint="BF"/>
        <w:szCs w:val="20"/>
      </w:rPr>
      <w:t xml:space="preserve"> instance</w:t>
    </w:r>
    <w:r>
      <w:rPr>
        <w:rFonts w:asciiTheme="minorHAnsi" w:hAnsiTheme="minorHAnsi" w:cstheme="minorHAnsi"/>
        <w:color w:val="404040" w:themeColor="text1" w:themeTint="BF"/>
        <w:szCs w:val="20"/>
      </w:rPr>
      <w:t>s</w:t>
    </w:r>
    <w:r w:rsidRPr="0095002E">
      <w:rPr>
        <w:rFonts w:asciiTheme="minorHAnsi" w:hAnsiTheme="minorHAnsi" w:cstheme="minorHAnsi"/>
        <w:color w:val="404040" w:themeColor="text1" w:themeTint="BF"/>
        <w:szCs w:val="20"/>
      </w:rPr>
      <w:t>, a Housing Quality Standard Inspection form must be in the client’s</w:t>
    </w:r>
    <w:r>
      <w:rPr>
        <w:rFonts w:asciiTheme="minorHAnsi" w:hAnsiTheme="minorHAnsi" w:cstheme="minorHAnsi"/>
        <w:color w:val="404040" w:themeColor="text1" w:themeTint="BF"/>
        <w:szCs w:val="20"/>
      </w:rPr>
      <w:t xml:space="preserve"> file</w:t>
    </w:r>
    <w:r w:rsidRPr="0095002E">
      <w:rPr>
        <w:rFonts w:asciiTheme="minorHAnsi" w:hAnsiTheme="minorHAnsi" w:cstheme="minorHAnsi"/>
        <w:color w:val="404040" w:themeColor="text1" w:themeTint="BF"/>
        <w:szCs w:val="20"/>
      </w:rPr>
      <w:t xml:space="preserve">. All inspections and housing standards must be met prior to the clients moving into their units. </w:t>
    </w:r>
  </w:p>
  <w:p w14:paraId="0DC3B682" w14:textId="77777777" w:rsidR="005F3FCF" w:rsidRPr="0095002E" w:rsidRDefault="005F3FCF" w:rsidP="00C91F30">
    <w:pPr>
      <w:spacing w:line="360" w:lineRule="auto"/>
      <w:ind w:left="360"/>
      <w:rPr>
        <w:rFonts w:asciiTheme="minorHAnsi" w:hAnsiTheme="minorHAnsi" w:cstheme="minorHAnsi"/>
        <w:color w:val="404040" w:themeColor="text1" w:themeTint="BF"/>
        <w:szCs w:val="20"/>
      </w:rPr>
    </w:pPr>
  </w:p>
  <w:p w14:paraId="283D5D43" w14:textId="77777777" w:rsidR="005F3FCF" w:rsidRPr="0095002E" w:rsidRDefault="005F3FCF" w:rsidP="00C91F30">
    <w:pPr>
      <w:spacing w:line="360" w:lineRule="auto"/>
      <w:rPr>
        <w:rFonts w:asciiTheme="minorHAnsi" w:hAnsiTheme="minorHAnsi" w:cstheme="minorHAnsi"/>
        <w:color w:val="404040" w:themeColor="text1" w:themeTint="BF"/>
        <w:szCs w:val="20"/>
      </w:rPr>
    </w:pPr>
    <w:r w:rsidRPr="0095002E">
      <w:rPr>
        <w:rFonts w:asciiTheme="minorHAnsi" w:hAnsiTheme="minorHAnsi" w:cstheme="minorHAnsi"/>
        <w:color w:val="404040" w:themeColor="text1" w:themeTint="BF"/>
        <w:szCs w:val="20"/>
      </w:rPr>
      <w:t>Through the use of a Risk Analysis, coupled with reporting mechanisms</w:t>
    </w:r>
    <w:r>
      <w:rPr>
        <w:rFonts w:asciiTheme="minorHAnsi" w:hAnsiTheme="minorHAnsi" w:cstheme="minorHAnsi"/>
        <w:color w:val="404040" w:themeColor="text1" w:themeTint="BF"/>
        <w:szCs w:val="20"/>
      </w:rPr>
      <w:t>, the Division Director and HAND staff</w:t>
    </w:r>
    <w:r w:rsidRPr="0095002E">
      <w:rPr>
        <w:rFonts w:asciiTheme="minorHAnsi" w:hAnsiTheme="minorHAnsi" w:cstheme="minorHAnsi"/>
        <w:color w:val="404040" w:themeColor="text1" w:themeTint="BF"/>
        <w:szCs w:val="20"/>
      </w:rPr>
      <w:t xml:space="preserve"> are able to determine which agencies would benefit from a technical training session, and which agencies need to have an on-site monitoring visit. The agencies that score highest typically have a monitoring visit during the following program year. As per Federal regulations, select agencies from each program (CDBG, ESG, HOME &amp; HOPWA) are monitored on an annual basis. </w:t>
    </w:r>
  </w:p>
  <w:p w14:paraId="552FAA7B" w14:textId="77777777" w:rsidR="005F3FCF" w:rsidRPr="0095002E" w:rsidRDefault="005F3FCF" w:rsidP="00C91F30">
    <w:pPr>
      <w:spacing w:line="360" w:lineRule="auto"/>
      <w:rPr>
        <w:rFonts w:asciiTheme="minorHAnsi" w:hAnsiTheme="minorHAnsi" w:cstheme="minorHAnsi"/>
        <w:color w:val="404040" w:themeColor="text1" w:themeTint="BF"/>
        <w:szCs w:val="20"/>
      </w:rPr>
    </w:pPr>
  </w:p>
  <w:p w14:paraId="20AC140A" w14:textId="77777777" w:rsidR="005F3FCF" w:rsidRPr="0095002E" w:rsidRDefault="005F3FCF" w:rsidP="00C91F30">
    <w:pPr>
      <w:spacing w:line="360" w:lineRule="auto"/>
      <w:rPr>
        <w:rFonts w:asciiTheme="minorHAnsi" w:hAnsiTheme="minorHAnsi" w:cstheme="minorHAnsi"/>
        <w:color w:val="404040" w:themeColor="text1" w:themeTint="BF"/>
        <w:szCs w:val="20"/>
      </w:rPr>
    </w:pPr>
    <w:r w:rsidRPr="0095002E">
      <w:rPr>
        <w:rFonts w:asciiTheme="minorHAnsi" w:hAnsiTheme="minorHAnsi" w:cstheme="minorHAnsi"/>
        <w:color w:val="404040" w:themeColor="text1" w:themeTint="BF"/>
        <w:szCs w:val="20"/>
      </w:rPr>
      <w:t xml:space="preserve">Because it is a HAND policy that each reimbursement request receives a desk review prior to funds being disbursed, it is a straightforward process to monitor compliance throughout the term of the contract. In addition to desk reviews, tailored guidance is given throughout the year via telephone and email conversations. Many of the agencies receiving funding were for programs that have received grant funds over a long period of time, and had no substantial changes to their programs. As such, the City focused its efforts on new agencies needing technical assistance, and working with veteran agencies on their performance measurements to ensure better data quality for outcomes. </w:t>
    </w:r>
  </w:p>
  <w:p w14:paraId="048997EE" w14:textId="77777777" w:rsidR="005F3FCF" w:rsidRDefault="005F3FCF" w:rsidP="00C91F30">
    <w:pPr>
      <w:spacing w:line="360" w:lineRule="auto"/>
      <w:rPr>
        <w:rFonts w:asciiTheme="minorHAnsi" w:hAnsiTheme="minorHAnsi" w:cstheme="minorHAnsi"/>
        <w:color w:val="404040" w:themeColor="text1" w:themeTint="BF"/>
        <w:szCs w:val="20"/>
      </w:rPr>
    </w:pPr>
  </w:p>
  <w:p w14:paraId="2D964633" w14:textId="77777777" w:rsidR="005F3FCF" w:rsidRDefault="005F3FCF" w:rsidP="00C91F30">
    <w:pPr>
      <w:spacing w:line="360" w:lineRule="auto"/>
      <w:rPr>
        <w:rFonts w:asciiTheme="minorHAnsi" w:hAnsiTheme="minorHAnsi" w:cstheme="minorHAnsi"/>
        <w:color w:val="404040" w:themeColor="text1" w:themeTint="BF"/>
        <w:szCs w:val="20"/>
      </w:rPr>
    </w:pPr>
    <w:r w:rsidRPr="001A0C33">
      <w:rPr>
        <w:rFonts w:asciiTheme="minorHAnsi" w:hAnsiTheme="minorHAnsi" w:cstheme="minorHAnsi"/>
        <w:color w:val="404040" w:themeColor="text1" w:themeTint="BF"/>
        <w:szCs w:val="20"/>
      </w:rPr>
      <w:t xml:space="preserve">The on-site technical assistance and monitoring visits for CDBG, ESG, HOME, and HOPWA all went well. The technical assistance visits were critical so that new agencies understand the full requirements of the grant programs; this was especially helpful for construction projects funded through the CDBG program. </w:t>
    </w:r>
    <w:r>
      <w:rPr>
        <w:rFonts w:asciiTheme="minorHAnsi" w:hAnsiTheme="minorHAnsi" w:cstheme="minorHAnsi"/>
        <w:color w:val="404040" w:themeColor="text1" w:themeTint="BF"/>
        <w:szCs w:val="20"/>
      </w:rPr>
      <w:t xml:space="preserve">HAND found several concerns during our 17-18 monitoring visits. All agencies that received a concern were required to provide documentation of follow-up action taken to address the noted deficiencies. All required agencies provided documentation which was reviewed and approved by HAND staff. </w:t>
    </w:r>
  </w:p>
  <w:p w14:paraId="790FE9F7" w14:textId="77777777" w:rsidR="005F3FCF" w:rsidRPr="001A0C33" w:rsidRDefault="005F3FCF" w:rsidP="00C91F30">
    <w:pPr>
      <w:spacing w:line="360" w:lineRule="auto"/>
      <w:rPr>
        <w:rFonts w:asciiTheme="minorHAnsi" w:hAnsiTheme="minorHAnsi" w:cstheme="minorHAnsi"/>
        <w:color w:val="404040" w:themeColor="text1" w:themeTint="BF"/>
        <w:szCs w:val="20"/>
      </w:rPr>
    </w:pPr>
  </w:p>
  <w:p w14:paraId="728FA7F5" w14:textId="77777777" w:rsidR="005F3FCF" w:rsidRPr="0095002E" w:rsidRDefault="005F3FCF" w:rsidP="00C91F30">
    <w:pPr>
      <w:spacing w:line="360" w:lineRule="auto"/>
      <w:rPr>
        <w:rFonts w:asciiTheme="minorHAnsi" w:hAnsiTheme="minorHAnsi" w:cstheme="minorHAnsi"/>
        <w:color w:val="404040" w:themeColor="text1" w:themeTint="BF"/>
        <w:szCs w:val="20"/>
      </w:rPr>
    </w:pPr>
    <w:r>
      <w:rPr>
        <w:rFonts w:asciiTheme="minorHAnsi" w:hAnsiTheme="minorHAnsi" w:cstheme="minorHAnsi"/>
        <w:color w:val="404040" w:themeColor="text1" w:themeTint="BF"/>
        <w:szCs w:val="20"/>
      </w:rPr>
      <w:t xml:space="preserve">For each applicable construction project, </w:t>
    </w:r>
    <w:r w:rsidRPr="001A0C33">
      <w:rPr>
        <w:rFonts w:asciiTheme="minorHAnsi" w:hAnsiTheme="minorHAnsi" w:cstheme="minorHAnsi"/>
        <w:color w:val="404040" w:themeColor="text1" w:themeTint="BF"/>
        <w:szCs w:val="20"/>
      </w:rPr>
      <w:t>additional technical assistance from HAND’s Section 3/Labor Compliance staff person</w:t>
    </w:r>
    <w:r>
      <w:rPr>
        <w:rFonts w:asciiTheme="minorHAnsi" w:hAnsiTheme="minorHAnsi" w:cstheme="minorHAnsi"/>
        <w:color w:val="404040" w:themeColor="text1" w:themeTint="BF"/>
        <w:szCs w:val="20"/>
      </w:rPr>
      <w:t xml:space="preserve"> is provided to ensure compliance.</w:t>
    </w:r>
  </w:p>
  <w:p w14:paraId="0C2B4C55" w14:textId="77777777" w:rsidR="005F3FCF" w:rsidRPr="0095002E" w:rsidRDefault="005F3FCF" w:rsidP="00C91F30">
    <w:pPr>
      <w:spacing w:line="360" w:lineRule="auto"/>
      <w:rPr>
        <w:rFonts w:asciiTheme="minorHAnsi" w:hAnsiTheme="minorHAnsi" w:cstheme="minorHAnsi"/>
        <w:color w:val="404040" w:themeColor="text1" w:themeTint="BF"/>
        <w:szCs w:val="20"/>
      </w:rPr>
    </w:pPr>
  </w:p>
  <w:p w14:paraId="741C02C3" w14:textId="77777777" w:rsidR="005F3FCF" w:rsidRPr="00FE0F88" w:rsidRDefault="005F3FCF" w:rsidP="00FE0F88">
    <w:pPr>
      <w:spacing w:line="360" w:lineRule="auto"/>
      <w:rPr>
        <w:rFonts w:asciiTheme="minorHAnsi" w:hAnsiTheme="minorHAnsi" w:cstheme="minorHAnsi"/>
        <w:color w:val="404040" w:themeColor="text1" w:themeTint="BF"/>
        <w:szCs w:val="20"/>
      </w:rPr>
    </w:pPr>
    <w:r w:rsidRPr="0095002E">
      <w:rPr>
        <w:rFonts w:asciiTheme="minorHAnsi" w:hAnsiTheme="minorHAnsi" w:cstheme="minorHAnsi"/>
        <w:color w:val="404040" w:themeColor="text1" w:themeTint="BF"/>
        <w:szCs w:val="20"/>
      </w:rPr>
      <w:t>Technical assistance and monitoring visits revealed that in general, our agencies have well documented processes and are quick to contact the City when questions arise. Minor deficiencies were identified and agencies have worked quickly to adjust processes as necessary and move forward with stronger programs. These monitoring efforts wer</w:t>
    </w:r>
    <w:r>
      <w:rPr>
        <w:rFonts w:asciiTheme="minorHAnsi" w:hAnsiTheme="minorHAnsi" w:cstheme="minorHAnsi"/>
        <w:color w:val="404040" w:themeColor="text1" w:themeTint="BF"/>
        <w:szCs w:val="20"/>
      </w:rPr>
      <w:t>e done in such a manner that HAND staff</w:t>
    </w:r>
    <w:r w:rsidRPr="0095002E">
      <w:rPr>
        <w:rFonts w:asciiTheme="minorHAnsi" w:hAnsiTheme="minorHAnsi" w:cstheme="minorHAnsi"/>
        <w:color w:val="404040" w:themeColor="text1" w:themeTint="BF"/>
        <w:szCs w:val="20"/>
      </w:rPr>
      <w:t xml:space="preserve"> went on site to meet staff, review processes and make recommendations. This is done to assist the agency with meeting the Federal requirements. Any findings or concerns are included in the next risk assessment and are addressed at the next scheduled on-site monitoring review.</w:t>
    </w:r>
  </w:p>
  <w:p w14:paraId="71A2E148" w14:textId="77777777" w:rsidR="005F3FCF" w:rsidRPr="0095002E" w:rsidRDefault="005F3FCF" w:rsidP="00C91F30">
    <w:pPr>
      <w:spacing w:line="276" w:lineRule="auto"/>
      <w:ind w:right="360"/>
      <w:rPr>
        <w:rFonts w:asciiTheme="minorHAnsi" w:hAnsiTheme="minorHAnsi" w:cstheme="minorHAnsi"/>
        <w:b/>
        <w:color w:val="404040" w:themeColor="text1" w:themeTint="BF"/>
        <w:szCs w:val="20"/>
      </w:rPr>
    </w:pPr>
    <w:r w:rsidRPr="0095002E">
      <w:rPr>
        <w:rFonts w:asciiTheme="minorHAnsi" w:hAnsiTheme="minorHAnsi" w:cstheme="minorHAnsi"/>
        <w:b/>
        <w:color w:val="404040" w:themeColor="text1" w:themeTint="BF"/>
        <w:szCs w:val="20"/>
      </w:rPr>
      <w:t>CITIZEN PARTICIPATION PLAN – 91.105(d); 91.115(d)</w:t>
    </w:r>
  </w:p>
  <w:p w14:paraId="10A97D79" w14:textId="77777777" w:rsidR="005F3FCF" w:rsidRPr="0095002E" w:rsidRDefault="005F3FCF" w:rsidP="00C91F30">
    <w:pPr>
      <w:spacing w:line="276" w:lineRule="auto"/>
      <w:ind w:right="360"/>
      <w:rPr>
        <w:rFonts w:asciiTheme="minorHAnsi" w:hAnsiTheme="minorHAnsi" w:cstheme="minorHAnsi"/>
        <w:b/>
        <w:color w:val="404040" w:themeColor="text1" w:themeTint="BF"/>
        <w:szCs w:val="20"/>
      </w:rPr>
    </w:pPr>
    <w:r w:rsidRPr="0095002E">
      <w:rPr>
        <w:rFonts w:asciiTheme="minorHAnsi" w:hAnsiTheme="minorHAnsi" w:cstheme="minorHAnsi"/>
        <w:b/>
        <w:color w:val="404040" w:themeColor="text1" w:themeTint="BF"/>
        <w:szCs w:val="20"/>
      </w:rPr>
      <w:t>Describe the efforts to provide citizens with reasonable notice and an opportunity to comment on performance reports.</w:t>
    </w:r>
  </w:p>
  <w:p w14:paraId="513F373D" w14:textId="77777777" w:rsidR="005F3FCF" w:rsidRPr="0095002E" w:rsidRDefault="005F3FCF" w:rsidP="00C91F30">
    <w:pPr>
      <w:spacing w:line="276" w:lineRule="auto"/>
      <w:ind w:right="360"/>
      <w:rPr>
        <w:rFonts w:asciiTheme="minorHAnsi" w:hAnsiTheme="minorHAnsi" w:cstheme="minorHAnsi"/>
        <w:b/>
        <w:color w:val="404040" w:themeColor="text1" w:themeTint="BF"/>
        <w:szCs w:val="20"/>
      </w:rPr>
    </w:pPr>
  </w:p>
  <w:p w14:paraId="0137066A" w14:textId="77777777" w:rsidR="005F3FCF" w:rsidRPr="0095002E" w:rsidRDefault="005F3FCF" w:rsidP="00C91F30">
    <w:pPr>
      <w:spacing w:line="360" w:lineRule="auto"/>
      <w:rPr>
        <w:rFonts w:asciiTheme="minorHAnsi" w:hAnsiTheme="minorHAnsi" w:cstheme="minorHAnsi"/>
        <w:color w:val="404040" w:themeColor="text1" w:themeTint="BF"/>
        <w:szCs w:val="20"/>
      </w:rPr>
    </w:pPr>
    <w:r w:rsidRPr="0095002E">
      <w:rPr>
        <w:rFonts w:asciiTheme="minorHAnsi" w:hAnsiTheme="minorHAnsi" w:cstheme="minorHAnsi"/>
        <w:color w:val="404040" w:themeColor="text1" w:themeTint="BF"/>
        <w:szCs w:val="20"/>
      </w:rPr>
      <w:t xml:space="preserve">The City encourages citizens to become active in their communities, providing feedback to the City about how their neighborhoods could be improved, how funding should be prioritized, and address safety concerns.  </w:t>
    </w:r>
  </w:p>
  <w:p w14:paraId="36FDCF86" w14:textId="77777777" w:rsidR="005F3FCF" w:rsidRPr="0095002E" w:rsidRDefault="005F3FCF" w:rsidP="00C91F30">
    <w:pPr>
      <w:spacing w:line="360" w:lineRule="auto"/>
      <w:rPr>
        <w:rFonts w:asciiTheme="minorHAnsi" w:hAnsiTheme="minorHAnsi" w:cstheme="minorHAnsi"/>
        <w:color w:val="404040" w:themeColor="text1" w:themeTint="BF"/>
        <w:szCs w:val="20"/>
      </w:rPr>
    </w:pPr>
  </w:p>
  <w:p w14:paraId="420F184E" w14:textId="77777777" w:rsidR="005F3FCF" w:rsidRPr="009D610A" w:rsidRDefault="005F3FCF" w:rsidP="00C91F30">
    <w:pPr>
      <w:spacing w:line="360" w:lineRule="auto"/>
      <w:rPr>
        <w:rFonts w:asciiTheme="minorHAnsi" w:hAnsiTheme="minorHAnsi" w:cstheme="minorHAnsi"/>
        <w:i/>
        <w:color w:val="404040" w:themeColor="text1" w:themeTint="BF"/>
        <w:szCs w:val="20"/>
      </w:rPr>
    </w:pPr>
    <w:r w:rsidRPr="009D610A">
      <w:rPr>
        <w:rFonts w:asciiTheme="minorHAnsi" w:hAnsiTheme="minorHAnsi" w:cstheme="minorHAnsi"/>
        <w:i/>
        <w:color w:val="404040" w:themeColor="text1" w:themeTint="BF"/>
        <w:szCs w:val="20"/>
      </w:rPr>
      <w:t>Community Development General Needs Hearing:</w:t>
    </w:r>
  </w:p>
  <w:p w14:paraId="5824385C" w14:textId="77777777" w:rsidR="005F3FCF" w:rsidRPr="009F182D" w:rsidRDefault="005F3FCF" w:rsidP="00C91F30">
    <w:pPr>
      <w:spacing w:line="360" w:lineRule="auto"/>
      <w:rPr>
        <w:rFonts w:asciiTheme="minorHAnsi" w:hAnsiTheme="minorHAnsi"/>
        <w:color w:val="404040" w:themeColor="text1" w:themeTint="BF"/>
        <w:szCs w:val="20"/>
      </w:rPr>
    </w:pPr>
    <w:r>
      <w:rPr>
        <w:rFonts w:asciiTheme="minorHAnsi" w:hAnsiTheme="minorHAnsi"/>
        <w:color w:val="404040" w:themeColor="text1" w:themeTint="BF"/>
        <w:szCs w:val="20"/>
      </w:rPr>
      <w:t>On December 4, 2016</w:t>
    </w:r>
    <w:r w:rsidRPr="0095002E">
      <w:rPr>
        <w:rFonts w:asciiTheme="minorHAnsi" w:hAnsiTheme="minorHAnsi"/>
        <w:color w:val="404040" w:themeColor="text1" w:themeTint="BF"/>
        <w:szCs w:val="20"/>
      </w:rPr>
      <w:t xml:space="preserve">, HAND invited residents to participate in a General Needs Hearing to gather public comments on housing and community development needs as they relate to low and moderate-income residents. Over </w:t>
    </w:r>
    <w:r>
      <w:rPr>
        <w:rFonts w:asciiTheme="minorHAnsi" w:hAnsiTheme="minorHAnsi"/>
        <w:color w:val="404040" w:themeColor="text1" w:themeTint="BF"/>
        <w:szCs w:val="20"/>
      </w:rPr>
      <w:t>thirty individuals</w:t>
    </w:r>
    <w:r w:rsidRPr="0095002E">
      <w:rPr>
        <w:rFonts w:asciiTheme="minorHAnsi" w:hAnsiTheme="minorHAnsi"/>
        <w:color w:val="404040" w:themeColor="text1" w:themeTint="BF"/>
        <w:szCs w:val="20"/>
      </w:rPr>
      <w:t xml:space="preserve"> attended the hearing. Comments related to the need for affordable and accessible housing; housing rehabilitation; street and neighborhood improvements</w:t>
    </w:r>
    <w:r>
      <w:rPr>
        <w:rFonts w:asciiTheme="minorHAnsi" w:hAnsiTheme="minorHAnsi"/>
        <w:color w:val="404040" w:themeColor="text1" w:themeTint="BF"/>
        <w:szCs w:val="20"/>
      </w:rPr>
      <w:t xml:space="preserve">; substance use disorder services, public services for homeless, </w:t>
    </w:r>
    <w:r w:rsidRPr="0095002E">
      <w:rPr>
        <w:rFonts w:asciiTheme="minorHAnsi" w:hAnsiTheme="minorHAnsi"/>
        <w:color w:val="404040" w:themeColor="text1" w:themeTint="BF"/>
        <w:szCs w:val="20"/>
      </w:rPr>
      <w:t>low-income residents</w:t>
    </w:r>
    <w:r>
      <w:rPr>
        <w:rFonts w:asciiTheme="minorHAnsi" w:hAnsiTheme="minorHAnsi"/>
        <w:color w:val="404040" w:themeColor="text1" w:themeTint="BF"/>
        <w:szCs w:val="20"/>
      </w:rPr>
      <w:t>, and other vulnerable residents</w:t>
    </w:r>
    <w:r w:rsidRPr="0095002E">
      <w:rPr>
        <w:rFonts w:asciiTheme="minorHAnsi" w:hAnsiTheme="minorHAnsi"/>
        <w:color w:val="404040" w:themeColor="text1" w:themeTint="BF"/>
        <w:szCs w:val="20"/>
      </w:rPr>
      <w:t>; early childhood education; job training programs; increased opportunity within concentrated areas of poverty</w:t>
    </w:r>
    <w:r>
      <w:rPr>
        <w:rFonts w:asciiTheme="minorHAnsi" w:hAnsiTheme="minorHAnsi"/>
        <w:color w:val="404040" w:themeColor="text1" w:themeTint="BF"/>
        <w:szCs w:val="20"/>
      </w:rPr>
      <w:t>; parks; bike and pedestrian improvements; and the need for more affordable transportation options throughout the city</w:t>
    </w:r>
    <w:r w:rsidRPr="0095002E">
      <w:rPr>
        <w:rFonts w:asciiTheme="minorHAnsi" w:hAnsiTheme="minorHAnsi"/>
        <w:color w:val="404040" w:themeColor="text1" w:themeTint="BF"/>
        <w:szCs w:val="20"/>
      </w:rPr>
      <w:t>. Information gathered at the public hearing was utilized to priorit</w:t>
    </w:r>
    <w:r>
      <w:rPr>
        <w:rFonts w:asciiTheme="minorHAnsi" w:hAnsiTheme="minorHAnsi"/>
        <w:color w:val="404040" w:themeColor="text1" w:themeTint="BF"/>
        <w:szCs w:val="20"/>
      </w:rPr>
      <w:t>ize needs within the community.</w:t>
    </w:r>
  </w:p>
  <w:p w14:paraId="0092FAF7" w14:textId="77777777" w:rsidR="005F3FCF" w:rsidRPr="0095002E" w:rsidRDefault="005F3FCF" w:rsidP="00C91F30">
    <w:pPr>
      <w:tabs>
        <w:tab w:val="left" w:pos="1656"/>
        <w:tab w:val="left" w:pos="2160"/>
        <w:tab w:val="left" w:pos="8280"/>
      </w:tabs>
      <w:rPr>
        <w:rFonts w:asciiTheme="minorHAnsi" w:hAnsiTheme="minorHAnsi" w:cstheme="minorHAnsi"/>
        <w:color w:val="404040" w:themeColor="text1" w:themeTint="BF"/>
        <w:szCs w:val="20"/>
      </w:rPr>
    </w:pPr>
  </w:p>
  <w:p w14:paraId="21B28B88" w14:textId="77777777" w:rsidR="005F3FCF" w:rsidRPr="009D610A" w:rsidRDefault="005F3FCF" w:rsidP="00C91F30">
    <w:pPr>
      <w:tabs>
        <w:tab w:val="left" w:pos="1656"/>
        <w:tab w:val="left" w:pos="2160"/>
        <w:tab w:val="left" w:pos="8280"/>
      </w:tabs>
      <w:spacing w:line="360" w:lineRule="auto"/>
      <w:rPr>
        <w:rFonts w:asciiTheme="minorHAnsi" w:hAnsiTheme="minorHAnsi" w:cstheme="minorHAnsi"/>
        <w:i/>
        <w:color w:val="404040" w:themeColor="text1" w:themeTint="BF"/>
        <w:szCs w:val="20"/>
      </w:rPr>
    </w:pPr>
    <w:r w:rsidRPr="009D610A">
      <w:rPr>
        <w:rFonts w:asciiTheme="minorHAnsi" w:hAnsiTheme="minorHAnsi" w:cstheme="minorHAnsi"/>
        <w:i/>
        <w:color w:val="404040" w:themeColor="text1" w:themeTint="BF"/>
        <w:szCs w:val="20"/>
      </w:rPr>
      <w:t>City Council Public Hearing</w:t>
    </w:r>
    <w:r>
      <w:rPr>
        <w:rFonts w:asciiTheme="minorHAnsi" w:hAnsiTheme="minorHAnsi" w:cstheme="minorHAnsi"/>
        <w:i/>
        <w:color w:val="404040" w:themeColor="text1" w:themeTint="BF"/>
        <w:szCs w:val="20"/>
      </w:rPr>
      <w:t>:</w:t>
    </w:r>
    <w:r w:rsidRPr="009D610A">
      <w:rPr>
        <w:rFonts w:asciiTheme="minorHAnsi" w:hAnsiTheme="minorHAnsi" w:cstheme="minorHAnsi"/>
        <w:i/>
        <w:color w:val="404040" w:themeColor="text1" w:themeTint="BF"/>
        <w:szCs w:val="20"/>
      </w:rPr>
      <w:t xml:space="preserve">  </w:t>
    </w:r>
  </w:p>
  <w:p w14:paraId="599FA3EB" w14:textId="77777777" w:rsidR="005F3FCF" w:rsidRPr="0095002E" w:rsidRDefault="005F3FCF" w:rsidP="00C91F30">
    <w:pPr>
      <w:spacing w:line="360" w:lineRule="auto"/>
      <w:rPr>
        <w:rFonts w:asciiTheme="minorHAnsi" w:hAnsiTheme="minorHAnsi" w:cstheme="minorHAnsi"/>
        <w:color w:val="404040" w:themeColor="text1" w:themeTint="BF"/>
        <w:szCs w:val="20"/>
      </w:rPr>
    </w:pPr>
    <w:r w:rsidRPr="0095002E">
      <w:rPr>
        <w:rFonts w:asciiTheme="minorHAnsi" w:hAnsiTheme="minorHAnsi" w:cstheme="minorHAnsi"/>
        <w:color w:val="404040" w:themeColor="text1" w:themeTint="BF"/>
        <w:szCs w:val="20"/>
      </w:rPr>
      <w:t xml:space="preserve">The Salt Lake City Council held a public hearing </w:t>
    </w:r>
    <w:r>
      <w:rPr>
        <w:rFonts w:asciiTheme="minorHAnsi" w:hAnsiTheme="minorHAnsi" w:cstheme="minorHAnsi"/>
        <w:color w:val="404040" w:themeColor="text1" w:themeTint="BF"/>
        <w:szCs w:val="20"/>
      </w:rPr>
      <w:t>on March 7, 2017</w:t>
    </w:r>
    <w:r w:rsidRPr="0095002E">
      <w:rPr>
        <w:rFonts w:asciiTheme="minorHAnsi" w:hAnsiTheme="minorHAnsi" w:cstheme="minorHAnsi"/>
        <w:color w:val="404040" w:themeColor="text1" w:themeTint="BF"/>
        <w:szCs w:val="20"/>
      </w:rPr>
      <w:t xml:space="preserve"> to accept comment on proposed activities to be supported with CDBG, ESG, HOME, and HOPWA</w:t>
    </w:r>
    <w:r>
      <w:rPr>
        <w:rFonts w:asciiTheme="minorHAnsi" w:hAnsiTheme="minorHAnsi" w:cstheme="minorHAnsi"/>
        <w:color w:val="404040" w:themeColor="text1" w:themeTint="BF"/>
        <w:szCs w:val="20"/>
      </w:rPr>
      <w:t xml:space="preserve"> funding during the 17-18 funding year</w:t>
    </w:r>
    <w:r w:rsidRPr="0095002E">
      <w:rPr>
        <w:rFonts w:asciiTheme="minorHAnsi" w:hAnsiTheme="minorHAnsi" w:cstheme="minorHAnsi"/>
        <w:color w:val="404040" w:themeColor="text1" w:themeTint="BF"/>
        <w:szCs w:val="20"/>
      </w:rPr>
      <w:t xml:space="preserve">. The City Council accepted public input from those who attended the public hearing and through written comments for those unable to attend in person.  The City Council made its final funding decisions following review of the recommendations made by the citizen review boards and the Mayor, as well as the public hearing comments.  </w:t>
    </w:r>
  </w:p>
  <w:p w14:paraId="5C604699" w14:textId="77777777" w:rsidR="005F3FCF" w:rsidRPr="0095002E" w:rsidRDefault="005F3FCF" w:rsidP="00C91F30">
    <w:pPr>
      <w:spacing w:line="360" w:lineRule="auto"/>
      <w:rPr>
        <w:rFonts w:asciiTheme="minorHAnsi" w:hAnsiTheme="minorHAnsi" w:cstheme="minorHAnsi"/>
        <w:color w:val="404040" w:themeColor="text1" w:themeTint="BF"/>
        <w:szCs w:val="20"/>
      </w:rPr>
    </w:pPr>
  </w:p>
  <w:p w14:paraId="74814407" w14:textId="77777777" w:rsidR="005F3FCF" w:rsidRPr="0095002E" w:rsidRDefault="005F3FCF" w:rsidP="00C91F30">
    <w:pPr>
      <w:spacing w:line="360" w:lineRule="auto"/>
      <w:rPr>
        <w:rFonts w:asciiTheme="minorHAnsi" w:hAnsiTheme="minorHAnsi" w:cstheme="minorHAnsi"/>
        <w:color w:val="404040" w:themeColor="text1" w:themeTint="BF"/>
        <w:szCs w:val="20"/>
      </w:rPr>
    </w:pPr>
    <w:r w:rsidRPr="0095002E">
      <w:rPr>
        <w:rFonts w:asciiTheme="minorHAnsi" w:hAnsiTheme="minorHAnsi" w:cstheme="minorHAnsi"/>
        <w:color w:val="404040" w:themeColor="text1" w:themeTint="BF"/>
        <w:szCs w:val="20"/>
      </w:rPr>
      <w:t>Funding recommendations by the citizen review boards, the Mayor and the Council took into account the ability of the applicants to meet th</w:t>
    </w:r>
    <w:r>
      <w:rPr>
        <w:rFonts w:asciiTheme="minorHAnsi" w:hAnsiTheme="minorHAnsi" w:cstheme="minorHAnsi"/>
        <w:color w:val="404040" w:themeColor="text1" w:themeTint="BF"/>
        <w:szCs w:val="20"/>
      </w:rPr>
      <w:t>e needs of the low and moderate-</w:t>
    </w:r>
    <w:r w:rsidRPr="0095002E">
      <w:rPr>
        <w:rFonts w:asciiTheme="minorHAnsi" w:hAnsiTheme="minorHAnsi" w:cstheme="minorHAnsi"/>
        <w:color w:val="404040" w:themeColor="text1" w:themeTint="BF"/>
        <w:szCs w:val="20"/>
      </w:rPr>
      <w:t xml:space="preserve">income residents of the City, the amount of funds available for each of the federal grant programs, and the ability of proposed activities to meet the goals and objectives outlined in the City’s 2015-2019 Consolidated Plan.  </w:t>
    </w:r>
  </w:p>
  <w:p w14:paraId="1E1BC8B1" w14:textId="77777777" w:rsidR="005F3FCF" w:rsidRPr="0095002E" w:rsidRDefault="005F3FCF" w:rsidP="00C91F30">
    <w:pPr>
      <w:keepLines/>
      <w:widowControl w:val="0"/>
      <w:suppressAutoHyphens/>
      <w:overflowPunct w:val="0"/>
      <w:autoSpaceDE w:val="0"/>
      <w:autoSpaceDN w:val="0"/>
      <w:adjustRightInd w:val="0"/>
      <w:rPr>
        <w:rFonts w:asciiTheme="minorHAnsi" w:hAnsiTheme="minorHAnsi" w:cstheme="minorHAnsi"/>
        <w:b/>
        <w:color w:val="404040" w:themeColor="text1" w:themeTint="BF"/>
        <w:szCs w:val="20"/>
      </w:rPr>
    </w:pPr>
  </w:p>
  <w:p w14:paraId="2AEEE36D" w14:textId="77777777" w:rsidR="005F3FCF" w:rsidRPr="009D610A" w:rsidRDefault="005F3FCF" w:rsidP="00C91F30">
    <w:pPr>
      <w:keepLines/>
      <w:widowControl w:val="0"/>
      <w:suppressAutoHyphens/>
      <w:overflowPunct w:val="0"/>
      <w:autoSpaceDE w:val="0"/>
      <w:autoSpaceDN w:val="0"/>
      <w:adjustRightInd w:val="0"/>
      <w:spacing w:line="360" w:lineRule="auto"/>
      <w:rPr>
        <w:rFonts w:asciiTheme="minorHAnsi" w:hAnsiTheme="minorHAnsi" w:cstheme="minorHAnsi"/>
        <w:i/>
        <w:color w:val="404040" w:themeColor="text1" w:themeTint="BF"/>
        <w:szCs w:val="20"/>
      </w:rPr>
    </w:pPr>
    <w:r w:rsidRPr="009D610A">
      <w:rPr>
        <w:rFonts w:asciiTheme="minorHAnsi" w:hAnsiTheme="minorHAnsi" w:cstheme="minorHAnsi"/>
        <w:i/>
        <w:color w:val="404040" w:themeColor="text1" w:themeTint="BF"/>
        <w:szCs w:val="20"/>
      </w:rPr>
      <w:t xml:space="preserve">Limited English Proficiency Outreach and Community Invitation:  </w:t>
    </w:r>
  </w:p>
  <w:p w14:paraId="29979E1F" w14:textId="77777777" w:rsidR="005F3FCF" w:rsidRPr="0095002E" w:rsidRDefault="005F3FCF" w:rsidP="00C91F30">
    <w:pPr>
      <w:tabs>
        <w:tab w:val="left" w:pos="-720"/>
      </w:tabs>
      <w:suppressAutoHyphens/>
      <w:spacing w:line="360" w:lineRule="auto"/>
      <w:rPr>
        <w:rFonts w:asciiTheme="minorHAnsi" w:hAnsiTheme="minorHAnsi" w:cstheme="minorHAnsi"/>
        <w:color w:val="404040" w:themeColor="text1" w:themeTint="BF"/>
        <w:szCs w:val="20"/>
      </w:rPr>
    </w:pPr>
    <w:r w:rsidRPr="00FE0F88">
      <w:rPr>
        <w:rFonts w:asciiTheme="minorHAnsi" w:hAnsiTheme="minorHAnsi" w:cstheme="minorHAnsi"/>
        <w:color w:val="404040" w:themeColor="text1" w:themeTint="BF"/>
        <w:szCs w:val="20"/>
      </w:rPr>
      <w:t>In an effort to broaden public participation and provide outreach to non-English speaking and very low-income residents in the preparation and development of these Plans and Reports, Salt Lake City engages with the Utah Housing Coalition and the Long Range Planning Committee.  The Utah Housing Coalition is a state-wide organization created to address affordable housing issues comprised of members from local governments, lending institutions, housing developers, faith-based organizations, housing advocates, real estate entities, public housing authorities, and community service organizations.  The Long Range Planning Committee is a county-wide organization created to address the County's homeless issues and responsible for implementing the ten year plan to end chronic homelessness.</w:t>
    </w:r>
  </w:p>
  <w:p w14:paraId="3899D6B7" w14:textId="77777777" w:rsidR="005F3FCF" w:rsidRPr="0095002E" w:rsidRDefault="005F3FCF" w:rsidP="00C91F30">
    <w:pPr>
      <w:keepLines/>
      <w:widowControl w:val="0"/>
      <w:suppressAutoHyphens/>
      <w:overflowPunct w:val="0"/>
      <w:autoSpaceDE w:val="0"/>
      <w:autoSpaceDN w:val="0"/>
      <w:adjustRightInd w:val="0"/>
      <w:spacing w:line="360" w:lineRule="auto"/>
      <w:rPr>
        <w:rFonts w:asciiTheme="minorHAnsi" w:hAnsiTheme="minorHAnsi" w:cstheme="minorHAnsi"/>
        <w:color w:val="404040" w:themeColor="text1" w:themeTint="BF"/>
        <w:szCs w:val="20"/>
      </w:rPr>
    </w:pPr>
  </w:p>
  <w:p w14:paraId="00CF00F4" w14:textId="77777777" w:rsidR="005F3FCF" w:rsidRPr="0095002E" w:rsidRDefault="005F3FCF" w:rsidP="00C91F30">
    <w:pPr>
      <w:keepLines/>
      <w:widowControl w:val="0"/>
      <w:suppressAutoHyphens/>
      <w:overflowPunct w:val="0"/>
      <w:autoSpaceDE w:val="0"/>
      <w:autoSpaceDN w:val="0"/>
      <w:adjustRightInd w:val="0"/>
      <w:spacing w:line="360" w:lineRule="auto"/>
      <w:rPr>
        <w:rFonts w:asciiTheme="minorHAnsi" w:hAnsiTheme="minorHAnsi" w:cstheme="minorHAnsi"/>
        <w:color w:val="404040" w:themeColor="text1" w:themeTint="BF"/>
        <w:szCs w:val="20"/>
      </w:rPr>
    </w:pPr>
    <w:r w:rsidRPr="0095002E">
      <w:rPr>
        <w:rFonts w:asciiTheme="minorHAnsi" w:hAnsiTheme="minorHAnsi" w:cstheme="minorHAnsi"/>
        <w:color w:val="404040" w:themeColor="text1" w:themeTint="BF"/>
        <w:szCs w:val="20"/>
      </w:rPr>
      <w:t>Notices are sent out on the Housing and Neighborhood Development’s public distribution list, as well as posted on various City website pages, sent out as press rele</w:t>
    </w:r>
    <w:r>
      <w:rPr>
        <w:rFonts w:asciiTheme="minorHAnsi" w:hAnsiTheme="minorHAnsi" w:cstheme="minorHAnsi"/>
        <w:color w:val="404040" w:themeColor="text1" w:themeTint="BF"/>
        <w:szCs w:val="20"/>
      </w:rPr>
      <w:t>ases through the Mayor’s Office.</w:t>
    </w:r>
  </w:p>
  <w:p w14:paraId="20643548" w14:textId="77777777" w:rsidR="005F3FCF" w:rsidRPr="0095002E" w:rsidRDefault="005F3FCF" w:rsidP="00C91F30">
    <w:pPr>
      <w:keepLines/>
      <w:widowControl w:val="0"/>
      <w:suppressAutoHyphens/>
      <w:overflowPunct w:val="0"/>
      <w:autoSpaceDE w:val="0"/>
      <w:autoSpaceDN w:val="0"/>
      <w:adjustRightInd w:val="0"/>
      <w:spacing w:line="360" w:lineRule="auto"/>
      <w:rPr>
        <w:rFonts w:asciiTheme="minorHAnsi" w:hAnsiTheme="minorHAnsi" w:cstheme="minorHAnsi"/>
        <w:color w:val="404040" w:themeColor="text1" w:themeTint="BF"/>
        <w:szCs w:val="20"/>
      </w:rPr>
    </w:pPr>
  </w:p>
  <w:p w14:paraId="3F5CDE2E" w14:textId="77777777" w:rsidR="005F3FCF" w:rsidRPr="0095002E" w:rsidRDefault="005F3FCF" w:rsidP="00C91F30">
    <w:pPr>
      <w:keepLines/>
      <w:widowControl w:val="0"/>
      <w:suppressAutoHyphens/>
      <w:overflowPunct w:val="0"/>
      <w:autoSpaceDE w:val="0"/>
      <w:autoSpaceDN w:val="0"/>
      <w:adjustRightInd w:val="0"/>
      <w:spacing w:line="360" w:lineRule="auto"/>
      <w:rPr>
        <w:rFonts w:asciiTheme="minorHAnsi" w:hAnsiTheme="minorHAnsi" w:cstheme="minorHAnsi"/>
        <w:color w:val="404040" w:themeColor="text1" w:themeTint="BF"/>
        <w:szCs w:val="20"/>
      </w:rPr>
    </w:pPr>
    <w:r w:rsidRPr="0095002E">
      <w:rPr>
        <w:rFonts w:asciiTheme="minorHAnsi" w:hAnsiTheme="minorHAnsi" w:cstheme="minorHAnsi"/>
        <w:color w:val="404040" w:themeColor="text1" w:themeTint="BF"/>
        <w:szCs w:val="20"/>
      </w:rPr>
      <w:t>Citizens are notified of accessible parking spaces and building entrances. They are also made aware that reasonable accommodations for individuals with disabilities or those in need of language interpretation services can be provided if 48 hours notice is given by contacting Housing and Neighborhood Development, and a TDD service number is available for the hearing impaired.</w:t>
    </w:r>
  </w:p>
  <w:p w14:paraId="68C45394" w14:textId="77777777" w:rsidR="005F3FCF" w:rsidRPr="0095002E" w:rsidRDefault="005F3FCF" w:rsidP="00C91F30">
    <w:pPr>
      <w:spacing w:line="360" w:lineRule="auto"/>
      <w:rPr>
        <w:rFonts w:asciiTheme="minorHAnsi" w:hAnsiTheme="minorHAnsi" w:cstheme="minorHAnsi"/>
        <w:b/>
        <w:color w:val="404040" w:themeColor="text1" w:themeTint="BF"/>
        <w:szCs w:val="20"/>
      </w:rPr>
    </w:pPr>
  </w:p>
  <w:p w14:paraId="4EC73439" w14:textId="77777777" w:rsidR="005F3FCF" w:rsidRPr="009D610A" w:rsidRDefault="005F3FCF" w:rsidP="00C91F30">
    <w:pPr>
      <w:spacing w:line="360" w:lineRule="auto"/>
      <w:rPr>
        <w:rFonts w:asciiTheme="minorHAnsi" w:hAnsiTheme="minorHAnsi" w:cstheme="minorHAnsi"/>
        <w:i/>
        <w:color w:val="404040" w:themeColor="text1" w:themeTint="BF"/>
        <w:szCs w:val="20"/>
      </w:rPr>
    </w:pPr>
    <w:r w:rsidRPr="009D610A">
      <w:rPr>
        <w:rFonts w:asciiTheme="minorHAnsi" w:hAnsiTheme="minorHAnsi" w:cstheme="minorHAnsi"/>
        <w:i/>
        <w:color w:val="404040" w:themeColor="text1" w:themeTint="BF"/>
        <w:szCs w:val="20"/>
      </w:rPr>
      <w:t>Performance reports provided to the public</w:t>
    </w:r>
    <w:r>
      <w:rPr>
        <w:rFonts w:asciiTheme="minorHAnsi" w:hAnsiTheme="minorHAnsi" w:cstheme="minorHAnsi"/>
        <w:i/>
        <w:color w:val="404040" w:themeColor="text1" w:themeTint="BF"/>
        <w:szCs w:val="20"/>
      </w:rPr>
      <w:t>:</w:t>
    </w:r>
    <w:r w:rsidRPr="009D610A">
      <w:rPr>
        <w:rFonts w:asciiTheme="minorHAnsi" w:hAnsiTheme="minorHAnsi" w:cstheme="minorHAnsi"/>
        <w:i/>
        <w:color w:val="404040" w:themeColor="text1" w:themeTint="BF"/>
        <w:szCs w:val="20"/>
      </w:rPr>
      <w:t xml:space="preserve">  </w:t>
    </w:r>
  </w:p>
  <w:p w14:paraId="4B2B5848" w14:textId="77777777" w:rsidR="005F3FCF" w:rsidRPr="00FE0F88" w:rsidRDefault="005F3FCF" w:rsidP="00C91F30">
    <w:pPr>
      <w:spacing w:line="360" w:lineRule="auto"/>
      <w:rPr>
        <w:rFonts w:asciiTheme="minorHAnsi" w:hAnsiTheme="minorHAnsi" w:cstheme="minorHAnsi"/>
        <w:color w:val="404040" w:themeColor="text1" w:themeTint="BF"/>
        <w:szCs w:val="20"/>
      </w:rPr>
    </w:pPr>
    <w:r w:rsidRPr="00FE0F88">
      <w:rPr>
        <w:rFonts w:asciiTheme="minorHAnsi" w:hAnsiTheme="minorHAnsi" w:cstheme="minorHAnsi"/>
        <w:color w:val="404040" w:themeColor="text1" w:themeTint="BF"/>
        <w:szCs w:val="20"/>
      </w:rPr>
      <w:t xml:space="preserve">The Consolidated Annual Performance and Evaluation Report (CAPER) for 2017-18 was made available for public review and </w:t>
    </w:r>
    <w:r w:rsidRPr="00F5641C">
      <w:rPr>
        <w:rFonts w:asciiTheme="minorHAnsi" w:hAnsiTheme="minorHAnsi" w:cstheme="minorHAnsi"/>
        <w:color w:val="404040" w:themeColor="text1" w:themeTint="BF"/>
        <w:szCs w:val="20"/>
      </w:rPr>
      <w:t xml:space="preserve">comment from </w:t>
    </w:r>
    <w:r>
      <w:rPr>
        <w:rFonts w:asciiTheme="minorHAnsi" w:hAnsiTheme="minorHAnsi" w:cstheme="minorHAnsi"/>
        <w:color w:val="404040" w:themeColor="text1" w:themeTint="BF"/>
        <w:szCs w:val="20"/>
      </w:rPr>
      <w:t>September 4 - September 19</w:t>
    </w:r>
    <w:r w:rsidRPr="00F5641C">
      <w:rPr>
        <w:rFonts w:asciiTheme="minorHAnsi" w:hAnsiTheme="minorHAnsi" w:cstheme="minorHAnsi"/>
        <w:color w:val="404040" w:themeColor="text1" w:themeTint="BF"/>
        <w:szCs w:val="20"/>
      </w:rPr>
      <w:t>, 2018. Copies</w:t>
    </w:r>
    <w:r w:rsidRPr="00FE0F88">
      <w:rPr>
        <w:rFonts w:asciiTheme="minorHAnsi" w:hAnsiTheme="minorHAnsi" w:cstheme="minorHAnsi"/>
        <w:color w:val="404040" w:themeColor="text1" w:themeTint="BF"/>
        <w:szCs w:val="20"/>
      </w:rPr>
      <w:t xml:space="preserve"> were located at Salt Lake City Corporation, 451 South State Street, in the Office of Community Affairs (Room 345) and in Housing and Neighborhood Development (Room 445) as well as posted on the City’s official web site.  A copy was also placed for public review at the Salt Lake City Public Library, Main Branch, located at 210 East 400 South in Salt Lake City.  </w:t>
    </w:r>
  </w:p>
  <w:p w14:paraId="58E6995F" w14:textId="77777777" w:rsidR="005F3FCF" w:rsidRPr="00FE0F88" w:rsidRDefault="005F3FCF" w:rsidP="00C91F30">
    <w:pPr>
      <w:spacing w:line="360" w:lineRule="auto"/>
      <w:rPr>
        <w:rFonts w:asciiTheme="minorHAnsi" w:hAnsiTheme="minorHAnsi" w:cstheme="minorHAnsi"/>
        <w:color w:val="404040" w:themeColor="text1" w:themeTint="BF"/>
        <w:szCs w:val="20"/>
      </w:rPr>
    </w:pPr>
  </w:p>
  <w:p w14:paraId="2196BBD6" w14:textId="77777777" w:rsidR="005F3FCF" w:rsidRPr="00FE0F88" w:rsidRDefault="005F3FCF" w:rsidP="00C91F30">
    <w:pPr>
      <w:spacing w:line="360" w:lineRule="auto"/>
      <w:rPr>
        <w:rFonts w:asciiTheme="minorHAnsi" w:hAnsiTheme="minorHAnsi" w:cstheme="minorHAnsi"/>
        <w:color w:val="404040" w:themeColor="text1" w:themeTint="BF"/>
        <w:szCs w:val="20"/>
      </w:rPr>
    </w:pPr>
    <w:r w:rsidRPr="00FE0F88">
      <w:rPr>
        <w:rFonts w:asciiTheme="minorHAnsi" w:hAnsiTheme="minorHAnsi" w:cstheme="minorHAnsi"/>
        <w:color w:val="404040" w:themeColor="text1" w:themeTint="BF"/>
        <w:szCs w:val="20"/>
      </w:rPr>
      <w:t>The following IDIS reports (Appendix B) were made available for public review at the offices of Housing and Neighborhood Development, located at 451 South State Street, room 445:</w:t>
    </w:r>
  </w:p>
  <w:p w14:paraId="2EB0D0EB" w14:textId="77777777" w:rsidR="005F3FCF" w:rsidRPr="00FE0F88" w:rsidRDefault="005F3FCF" w:rsidP="00C91F30">
    <w:pPr>
      <w:pStyle w:val="Default"/>
      <w:numPr>
        <w:ilvl w:val="0"/>
        <w:numId w:val="4"/>
      </w:numPr>
      <w:spacing w:line="360" w:lineRule="auto"/>
      <w:rPr>
        <w:rFonts w:asciiTheme="minorHAnsi" w:hAnsiTheme="minorHAnsi" w:cstheme="minorHAnsi"/>
        <w:color w:val="404040" w:themeColor="text1" w:themeTint="BF"/>
        <w:sz w:val="20"/>
        <w:szCs w:val="20"/>
      </w:rPr>
    </w:pPr>
    <w:r w:rsidRPr="00FE0F88">
      <w:rPr>
        <w:rFonts w:asciiTheme="minorHAnsi" w:hAnsiTheme="minorHAnsi" w:cstheme="minorHAnsi"/>
        <w:color w:val="404040" w:themeColor="text1" w:themeTint="BF"/>
        <w:sz w:val="20"/>
        <w:szCs w:val="20"/>
      </w:rPr>
      <w:t xml:space="preserve">Summary of Accomplishments Report (C04PR23) </w:t>
    </w:r>
  </w:p>
  <w:p w14:paraId="504B887C" w14:textId="77777777" w:rsidR="005F3FCF" w:rsidRPr="00FE0F88" w:rsidRDefault="005F3FCF" w:rsidP="00C91F30">
    <w:pPr>
      <w:pStyle w:val="Default"/>
      <w:numPr>
        <w:ilvl w:val="0"/>
        <w:numId w:val="4"/>
      </w:numPr>
      <w:spacing w:line="360" w:lineRule="auto"/>
      <w:rPr>
        <w:rFonts w:asciiTheme="minorHAnsi" w:hAnsiTheme="minorHAnsi" w:cstheme="minorHAnsi"/>
        <w:color w:val="404040" w:themeColor="text1" w:themeTint="BF"/>
        <w:sz w:val="20"/>
        <w:szCs w:val="20"/>
      </w:rPr>
    </w:pPr>
    <w:r w:rsidRPr="00FE0F88">
      <w:rPr>
        <w:rFonts w:asciiTheme="minorHAnsi" w:hAnsiTheme="minorHAnsi" w:cstheme="minorHAnsi"/>
        <w:color w:val="404040" w:themeColor="text1" w:themeTint="BF"/>
        <w:sz w:val="20"/>
        <w:szCs w:val="20"/>
      </w:rPr>
      <w:t>Summary of Consolidated Plan Projects for Report Year 201</w:t>
    </w:r>
    <w:r>
      <w:rPr>
        <w:rFonts w:asciiTheme="minorHAnsi" w:hAnsiTheme="minorHAnsi" w:cstheme="minorHAnsi"/>
        <w:color w:val="404040" w:themeColor="text1" w:themeTint="BF"/>
        <w:sz w:val="20"/>
        <w:szCs w:val="20"/>
      </w:rPr>
      <w:t>7</w:t>
    </w:r>
    <w:r w:rsidRPr="00FE0F88">
      <w:rPr>
        <w:rFonts w:asciiTheme="minorHAnsi" w:hAnsiTheme="minorHAnsi" w:cstheme="minorHAnsi"/>
        <w:color w:val="404040" w:themeColor="text1" w:themeTint="BF"/>
        <w:sz w:val="20"/>
        <w:szCs w:val="20"/>
      </w:rPr>
      <w:t xml:space="preserve"> (C04PR06)</w:t>
    </w:r>
  </w:p>
  <w:p w14:paraId="7CBFD0F7" w14:textId="77777777" w:rsidR="005F3FCF" w:rsidRPr="00FE0F88" w:rsidRDefault="005F3FCF" w:rsidP="00C91F30">
    <w:pPr>
      <w:pStyle w:val="Default"/>
      <w:numPr>
        <w:ilvl w:val="0"/>
        <w:numId w:val="4"/>
      </w:numPr>
      <w:spacing w:line="360" w:lineRule="auto"/>
      <w:rPr>
        <w:rFonts w:asciiTheme="minorHAnsi" w:hAnsiTheme="minorHAnsi" w:cstheme="minorHAnsi"/>
        <w:color w:val="404040" w:themeColor="text1" w:themeTint="BF"/>
        <w:sz w:val="20"/>
        <w:szCs w:val="20"/>
      </w:rPr>
    </w:pPr>
    <w:r w:rsidRPr="00FE0F88">
      <w:rPr>
        <w:rFonts w:asciiTheme="minorHAnsi" w:hAnsiTheme="minorHAnsi" w:cstheme="minorHAnsi"/>
        <w:color w:val="404040" w:themeColor="text1" w:themeTint="BF"/>
        <w:sz w:val="20"/>
        <w:szCs w:val="20"/>
      </w:rPr>
      <w:t xml:space="preserve">CDBG Financial Summary Report (C04PR26) </w:t>
    </w:r>
  </w:p>
  <w:p w14:paraId="65C07E5A" w14:textId="77777777" w:rsidR="005F3FCF" w:rsidRPr="00FE0F88" w:rsidRDefault="005F3FCF" w:rsidP="00C91F30">
    <w:pPr>
      <w:pStyle w:val="Default"/>
      <w:numPr>
        <w:ilvl w:val="0"/>
        <w:numId w:val="4"/>
      </w:numPr>
      <w:spacing w:line="360" w:lineRule="auto"/>
      <w:rPr>
        <w:rFonts w:asciiTheme="minorHAnsi" w:hAnsiTheme="minorHAnsi" w:cstheme="minorHAnsi"/>
        <w:color w:val="404040" w:themeColor="text1" w:themeTint="BF"/>
        <w:sz w:val="20"/>
        <w:szCs w:val="20"/>
      </w:rPr>
    </w:pPr>
    <w:r w:rsidRPr="00FE0F88">
      <w:rPr>
        <w:rFonts w:asciiTheme="minorHAnsi" w:hAnsiTheme="minorHAnsi" w:cstheme="minorHAnsi"/>
        <w:color w:val="404040" w:themeColor="text1" w:themeTint="BF"/>
        <w:sz w:val="20"/>
        <w:szCs w:val="20"/>
      </w:rPr>
      <w:t xml:space="preserve">CDBG Summary of Activities (C04PR03) </w:t>
    </w:r>
  </w:p>
  <w:p w14:paraId="24BC2ED2" w14:textId="77777777" w:rsidR="005F3FCF" w:rsidRPr="00FE0F88" w:rsidRDefault="005F3FCF" w:rsidP="00C91F30">
    <w:pPr>
      <w:pStyle w:val="Default"/>
      <w:numPr>
        <w:ilvl w:val="0"/>
        <w:numId w:val="4"/>
      </w:numPr>
      <w:spacing w:line="360" w:lineRule="auto"/>
      <w:rPr>
        <w:rFonts w:asciiTheme="minorHAnsi" w:hAnsiTheme="minorHAnsi" w:cstheme="minorHAnsi"/>
        <w:color w:val="404040" w:themeColor="text1" w:themeTint="BF"/>
        <w:sz w:val="20"/>
        <w:szCs w:val="20"/>
      </w:rPr>
    </w:pPr>
    <w:r w:rsidRPr="00FE0F88">
      <w:rPr>
        <w:rFonts w:asciiTheme="minorHAnsi" w:hAnsiTheme="minorHAnsi" w:cstheme="minorHAnsi"/>
        <w:color w:val="404040" w:themeColor="text1" w:themeTint="BF"/>
        <w:sz w:val="20"/>
        <w:szCs w:val="20"/>
      </w:rPr>
      <w:t xml:space="preserve">CDBG Performance Measures Report (C04PR83) </w:t>
    </w:r>
  </w:p>
  <w:p w14:paraId="625CE5E2" w14:textId="77777777" w:rsidR="005F3FCF" w:rsidRPr="00FE0F88" w:rsidRDefault="005F3FCF" w:rsidP="00C91F30">
    <w:pPr>
      <w:pStyle w:val="Default"/>
      <w:numPr>
        <w:ilvl w:val="0"/>
        <w:numId w:val="4"/>
      </w:numPr>
      <w:spacing w:line="360" w:lineRule="auto"/>
      <w:rPr>
        <w:rFonts w:asciiTheme="minorHAnsi" w:hAnsiTheme="minorHAnsi" w:cstheme="minorHAnsi"/>
        <w:color w:val="404040" w:themeColor="text1" w:themeTint="BF"/>
        <w:sz w:val="20"/>
        <w:szCs w:val="20"/>
      </w:rPr>
    </w:pPr>
    <w:r w:rsidRPr="00FE0F88">
      <w:rPr>
        <w:rFonts w:asciiTheme="minorHAnsi" w:hAnsiTheme="minorHAnsi" w:cstheme="minorHAnsi"/>
        <w:color w:val="404040" w:themeColor="text1" w:themeTint="BF"/>
        <w:sz w:val="20"/>
        <w:szCs w:val="20"/>
      </w:rPr>
      <w:t xml:space="preserve">HOME Housing Performance Report (Grantee/PJ) (C04PR85) </w:t>
    </w:r>
  </w:p>
  <w:p w14:paraId="20EC06C4" w14:textId="77777777" w:rsidR="005F3FCF" w:rsidRPr="00D967BE" w:rsidRDefault="005F3FCF" w:rsidP="00C91F30">
    <w:pPr>
      <w:spacing w:line="276" w:lineRule="auto"/>
      <w:rPr>
        <w:rFonts w:asciiTheme="minorHAnsi" w:hAnsiTheme="minorHAnsi" w:cstheme="minorHAnsi"/>
        <w:b/>
        <w:color w:val="404040" w:themeColor="text1" w:themeTint="BF"/>
        <w:szCs w:val="20"/>
      </w:rPr>
    </w:pPr>
  </w:p>
  <w:p w14:paraId="19CC43C1" w14:textId="77777777" w:rsidR="005F3FCF" w:rsidRDefault="005F3FCF" w:rsidP="00C91F30">
    <w:pPr>
      <w:spacing w:line="276" w:lineRule="auto"/>
      <w:ind w:right="360"/>
      <w:rPr>
        <w:rFonts w:asciiTheme="minorHAnsi" w:hAnsiTheme="minorHAnsi" w:cstheme="minorHAnsi"/>
        <w:b/>
        <w:color w:val="FF0000"/>
        <w:szCs w:val="20"/>
      </w:rPr>
    </w:pPr>
  </w:p>
  <w:p w14:paraId="4C4FFF94" w14:textId="77777777" w:rsidR="005F3FCF" w:rsidRPr="00F7751B" w:rsidRDefault="005F3FCF" w:rsidP="00C91F30">
    <w:pPr>
      <w:spacing w:line="276" w:lineRule="auto"/>
      <w:ind w:right="360"/>
      <w:rPr>
        <w:rFonts w:asciiTheme="minorHAnsi" w:hAnsiTheme="minorHAnsi" w:cstheme="minorHAnsi"/>
        <w:i/>
        <w:color w:val="1F497D" w:themeColor="text2"/>
        <w:sz w:val="18"/>
        <w:szCs w:val="18"/>
      </w:rPr>
    </w:pPr>
    <w:r w:rsidRPr="0095002E">
      <w:rPr>
        <w:rFonts w:asciiTheme="minorHAnsi" w:hAnsiTheme="minorHAnsi" w:cstheme="minorHAnsi"/>
        <w:szCs w:val="20"/>
      </w:rPr>
      <w:br w:type="page"/>
    </w:r>
    <w:r w:rsidRPr="009629AD">
      <w:rPr>
        <w:rFonts w:asciiTheme="minorHAnsi" w:hAnsiTheme="minorHAnsi" w:cstheme="minorHAnsi"/>
        <w:b/>
        <w:color w:val="1F497D" w:themeColor="text2"/>
        <w:sz w:val="24"/>
      </w:rPr>
      <w:t>CR-</w:t>
    </w:r>
    <w:r>
      <w:rPr>
        <w:rFonts w:asciiTheme="minorHAnsi" w:hAnsiTheme="minorHAnsi" w:cstheme="minorHAnsi"/>
        <w:b/>
        <w:color w:val="1F497D" w:themeColor="text2"/>
        <w:sz w:val="24"/>
      </w:rPr>
      <w:t xml:space="preserve">45 CDBG </w:t>
    </w:r>
    <w:r>
      <w:rPr>
        <w:rFonts w:asciiTheme="minorHAnsi" w:hAnsiTheme="minorHAnsi" w:cstheme="minorHAnsi"/>
        <w:i/>
        <w:color w:val="1F497D" w:themeColor="text2"/>
        <w:sz w:val="18"/>
        <w:szCs w:val="18"/>
      </w:rPr>
      <w:t xml:space="preserve">– 91.520 (c) </w:t>
    </w:r>
  </w:p>
  <w:p w14:paraId="340CC102" w14:textId="77777777" w:rsidR="005F3FCF" w:rsidRDefault="005F3FCF" w:rsidP="00C91F30">
    <w:pPr>
      <w:spacing w:line="276" w:lineRule="auto"/>
      <w:ind w:right="360"/>
      <w:rPr>
        <w:rFonts w:asciiTheme="minorHAnsi" w:hAnsiTheme="minorHAnsi" w:cstheme="minorHAnsi"/>
        <w:b/>
        <w:color w:val="FF0000"/>
        <w:szCs w:val="20"/>
      </w:rPr>
    </w:pPr>
  </w:p>
  <w:p w14:paraId="6855474F" w14:textId="77777777" w:rsidR="005F3FCF" w:rsidRPr="00D55BD7" w:rsidRDefault="005F3FCF" w:rsidP="00C91F30">
    <w:pPr>
      <w:spacing w:line="360" w:lineRule="auto"/>
      <w:ind w:right="360"/>
      <w:rPr>
        <w:rFonts w:asciiTheme="minorHAnsi" w:hAnsiTheme="minorHAnsi" w:cstheme="minorHAnsi"/>
        <w:b/>
        <w:color w:val="404040" w:themeColor="text1" w:themeTint="BF"/>
        <w:szCs w:val="20"/>
      </w:rPr>
    </w:pPr>
    <w:r w:rsidRPr="00D55BD7">
      <w:rPr>
        <w:rFonts w:asciiTheme="minorHAnsi" w:hAnsiTheme="minorHAnsi" w:cstheme="minorHAnsi"/>
        <w:b/>
        <w:color w:val="404040" w:themeColor="text1" w:themeTint="BF"/>
        <w:szCs w:val="20"/>
      </w:rPr>
      <w:t>Specify the nature of, and reasons for, any changes in the City’s program objectives and indications of how the City would change its program as a result of its experiences.</w:t>
    </w:r>
  </w:p>
  <w:p w14:paraId="2A9D9CE2" w14:textId="77777777" w:rsidR="005F3FCF" w:rsidRPr="00D55BD7" w:rsidRDefault="005F3FCF" w:rsidP="00C91F30">
    <w:pPr>
      <w:spacing w:line="360" w:lineRule="auto"/>
      <w:ind w:right="360"/>
      <w:rPr>
        <w:rFonts w:asciiTheme="minorHAnsi" w:hAnsiTheme="minorHAnsi" w:cstheme="minorHAnsi"/>
        <w:b/>
        <w:color w:val="404040" w:themeColor="text1" w:themeTint="BF"/>
        <w:szCs w:val="20"/>
      </w:rPr>
    </w:pPr>
  </w:p>
  <w:p w14:paraId="7B985540" w14:textId="77777777" w:rsidR="005F3FCF" w:rsidRPr="00D55BD7" w:rsidRDefault="005F3FCF" w:rsidP="00C91F30">
    <w:pPr>
      <w:spacing w:line="360" w:lineRule="auto"/>
      <w:ind w:right="360"/>
      <w:rPr>
        <w:rFonts w:asciiTheme="minorHAnsi" w:hAnsiTheme="minorHAnsi" w:cstheme="minorHAnsi"/>
        <w:color w:val="404040" w:themeColor="text1" w:themeTint="BF"/>
        <w:szCs w:val="20"/>
      </w:rPr>
    </w:pPr>
    <w:r w:rsidRPr="00D55BD7">
      <w:rPr>
        <w:rFonts w:asciiTheme="minorHAnsi" w:hAnsiTheme="minorHAnsi" w:cstheme="minorHAnsi"/>
        <w:color w:val="404040" w:themeColor="text1" w:themeTint="BF"/>
        <w:szCs w:val="20"/>
      </w:rPr>
      <w:t xml:space="preserve">This CAPER report closes out the </w:t>
    </w:r>
    <w:r>
      <w:rPr>
        <w:rFonts w:asciiTheme="minorHAnsi" w:hAnsiTheme="minorHAnsi" w:cstheme="minorHAnsi"/>
        <w:color w:val="404040" w:themeColor="text1" w:themeTint="BF"/>
        <w:szCs w:val="20"/>
      </w:rPr>
      <w:t>third</w:t>
    </w:r>
    <w:r w:rsidRPr="00D55BD7">
      <w:rPr>
        <w:rFonts w:asciiTheme="minorHAnsi" w:hAnsiTheme="minorHAnsi" w:cstheme="minorHAnsi"/>
        <w:color w:val="404040" w:themeColor="text1" w:themeTint="BF"/>
        <w:szCs w:val="20"/>
      </w:rPr>
      <w:t xml:space="preserve"> year of a five year consolidated plan period. It is clear that the goals and objectives of the plan are still relevant and should not be changed at this time. </w:t>
    </w:r>
  </w:p>
  <w:p w14:paraId="1E0B7F93" w14:textId="77777777" w:rsidR="005F3FCF" w:rsidRPr="00D55BD7" w:rsidRDefault="005F3FCF" w:rsidP="00C91F30">
    <w:pPr>
      <w:spacing w:line="360" w:lineRule="auto"/>
      <w:ind w:right="360"/>
      <w:rPr>
        <w:rFonts w:asciiTheme="minorHAnsi" w:hAnsiTheme="minorHAnsi" w:cstheme="minorHAnsi"/>
        <w:color w:val="404040" w:themeColor="text1" w:themeTint="BF"/>
        <w:szCs w:val="20"/>
      </w:rPr>
    </w:pPr>
  </w:p>
  <w:p w14:paraId="3A29DFAD" w14:textId="77777777" w:rsidR="005F3FCF" w:rsidRPr="00D55BD7" w:rsidRDefault="005F3FCF" w:rsidP="00C91F30">
    <w:pPr>
      <w:spacing w:line="360" w:lineRule="auto"/>
      <w:ind w:right="360"/>
      <w:rPr>
        <w:rFonts w:asciiTheme="minorHAnsi" w:hAnsiTheme="minorHAnsi" w:cstheme="minorHAnsi"/>
        <w:color w:val="404040" w:themeColor="text1" w:themeTint="BF"/>
        <w:szCs w:val="20"/>
      </w:rPr>
    </w:pPr>
    <w:r>
      <w:rPr>
        <w:rFonts w:asciiTheme="minorHAnsi" w:hAnsiTheme="minorHAnsi" w:cstheme="minorHAnsi"/>
        <w:color w:val="404040" w:themeColor="text1" w:themeTint="BF"/>
        <w:szCs w:val="20"/>
      </w:rPr>
      <w:t xml:space="preserve">The City will continue to monitor and evaluate the goals in the Consolidated Plan. Much of this will be in relation to the new housing plan, </w:t>
    </w:r>
    <w:r w:rsidRPr="00D92FCD">
      <w:rPr>
        <w:rFonts w:asciiTheme="minorHAnsi" w:hAnsiTheme="minorHAnsi" w:cstheme="minorHAnsi"/>
        <w:i/>
        <w:color w:val="404040" w:themeColor="text1" w:themeTint="BF"/>
        <w:szCs w:val="20"/>
      </w:rPr>
      <w:t>Growing SLC</w:t>
    </w:r>
    <w:r>
      <w:rPr>
        <w:rFonts w:asciiTheme="minorHAnsi" w:hAnsiTheme="minorHAnsi" w:cstheme="minorHAnsi"/>
        <w:color w:val="404040" w:themeColor="text1" w:themeTint="BF"/>
        <w:szCs w:val="20"/>
      </w:rPr>
      <w:t xml:space="preserve">. Salt Lake City will use the information collected as part of the process to provide guidance and leverage CDBG funding to achieve the goals of both the Consolidated Plan and </w:t>
    </w:r>
    <w:r w:rsidRPr="00D92FCD">
      <w:rPr>
        <w:rFonts w:asciiTheme="minorHAnsi" w:hAnsiTheme="minorHAnsi" w:cstheme="minorHAnsi"/>
        <w:i/>
        <w:color w:val="404040" w:themeColor="text1" w:themeTint="BF"/>
        <w:szCs w:val="20"/>
      </w:rPr>
      <w:t>Growing SLC</w:t>
    </w:r>
    <w:r>
      <w:rPr>
        <w:rFonts w:asciiTheme="minorHAnsi" w:hAnsiTheme="minorHAnsi" w:cstheme="minorHAnsi"/>
        <w:color w:val="404040" w:themeColor="text1" w:themeTint="BF"/>
        <w:szCs w:val="20"/>
      </w:rPr>
      <w:t xml:space="preserve">.  </w:t>
    </w:r>
  </w:p>
  <w:p w14:paraId="7376CF4E" w14:textId="77777777" w:rsidR="005F3FCF" w:rsidRPr="000F79D2" w:rsidRDefault="005F3FCF" w:rsidP="00C91F30">
    <w:pPr>
      <w:spacing w:line="276" w:lineRule="auto"/>
      <w:ind w:right="360"/>
      <w:rPr>
        <w:rFonts w:asciiTheme="minorHAnsi" w:hAnsiTheme="minorHAnsi" w:cstheme="minorHAnsi"/>
        <w:color w:val="FF0000"/>
        <w:szCs w:val="20"/>
      </w:rPr>
    </w:pPr>
  </w:p>
  <w:p w14:paraId="2FFBCCE9" w14:textId="77777777" w:rsidR="005F3FCF" w:rsidRDefault="005F3FCF" w:rsidP="00C91F30">
    <w:pPr>
      <w:spacing w:line="276" w:lineRule="auto"/>
      <w:ind w:right="360"/>
      <w:rPr>
        <w:rFonts w:asciiTheme="minorHAnsi" w:hAnsiTheme="minorHAnsi" w:cstheme="minorHAnsi"/>
        <w:b/>
        <w:color w:val="FF0000"/>
        <w:szCs w:val="20"/>
      </w:rPr>
    </w:pPr>
  </w:p>
  <w:p w14:paraId="69F0DDEF" w14:textId="77777777" w:rsidR="005F3FCF" w:rsidRPr="000F79D2" w:rsidRDefault="005F3FCF" w:rsidP="00DA09CA">
    <w:pPr>
      <w:spacing w:line="276" w:lineRule="auto"/>
      <w:ind w:right="360"/>
      <w:rPr>
        <w:rFonts w:asciiTheme="minorHAnsi" w:hAnsiTheme="minorHAnsi" w:cstheme="minorHAnsi"/>
        <w:color w:val="FF0000"/>
        <w:szCs w:val="20"/>
      </w:rPr>
    </w:pPr>
  </w:p>
  <w:p w14:paraId="587F0B1D" w14:textId="77777777" w:rsidR="005F3FCF" w:rsidRDefault="005F3FCF" w:rsidP="00DA09CA">
    <w:pPr>
      <w:spacing w:line="276" w:lineRule="auto"/>
      <w:ind w:right="360"/>
      <w:rPr>
        <w:rFonts w:asciiTheme="minorHAnsi" w:hAnsiTheme="minorHAnsi" w:cstheme="minorHAnsi"/>
        <w:b/>
        <w:color w:val="FF0000"/>
        <w:szCs w:val="20"/>
      </w:rPr>
    </w:pPr>
  </w:p>
  <w:p w14:paraId="1CDA49F4" w14:textId="77777777" w:rsidR="005F3FCF" w:rsidRDefault="005F3FCF" w:rsidP="00DA09CA">
    <w:pPr>
      <w:spacing w:line="276" w:lineRule="auto"/>
      <w:ind w:right="360"/>
      <w:rPr>
        <w:rFonts w:asciiTheme="minorHAnsi" w:hAnsiTheme="minorHAnsi" w:cstheme="minorHAnsi"/>
        <w:b/>
        <w:color w:val="FF0000"/>
        <w:szCs w:val="20"/>
      </w:rPr>
    </w:pPr>
  </w:p>
  <w:p w14:paraId="7D53D720" w14:textId="77777777" w:rsidR="005F3FCF" w:rsidRDefault="005F3FCF" w:rsidP="00DA09CA">
    <w:pPr>
      <w:spacing w:line="276" w:lineRule="auto"/>
      <w:ind w:right="360"/>
      <w:rPr>
        <w:rFonts w:asciiTheme="minorHAnsi" w:hAnsiTheme="minorHAnsi" w:cstheme="minorHAnsi"/>
        <w:b/>
        <w:color w:val="FF0000"/>
        <w:szCs w:val="20"/>
      </w:rPr>
    </w:pPr>
  </w:p>
  <w:p w14:paraId="1470DD64" w14:textId="77777777" w:rsidR="005F3FCF" w:rsidRDefault="005F3FCF" w:rsidP="00DA09CA">
    <w:pPr>
      <w:spacing w:line="276" w:lineRule="auto"/>
      <w:ind w:right="360"/>
      <w:rPr>
        <w:rFonts w:asciiTheme="minorHAnsi" w:hAnsiTheme="minorHAnsi" w:cstheme="minorHAnsi"/>
        <w:b/>
        <w:color w:val="FF0000"/>
        <w:szCs w:val="20"/>
      </w:rPr>
    </w:pPr>
  </w:p>
  <w:p w14:paraId="48E9F50F" w14:textId="77777777" w:rsidR="005F3FCF" w:rsidRDefault="005F3FCF" w:rsidP="00DA09CA">
    <w:pPr>
      <w:spacing w:line="276" w:lineRule="auto"/>
      <w:ind w:right="360"/>
      <w:rPr>
        <w:rFonts w:asciiTheme="minorHAnsi" w:hAnsiTheme="minorHAnsi" w:cstheme="minorHAnsi"/>
        <w:b/>
        <w:color w:val="FF0000"/>
        <w:szCs w:val="20"/>
      </w:rPr>
    </w:pPr>
  </w:p>
  <w:p w14:paraId="526B0EF9" w14:textId="77777777" w:rsidR="005F3FCF" w:rsidRPr="00F7751B" w:rsidRDefault="005F3FCF" w:rsidP="000B6DFA">
    <w:pPr>
      <w:spacing w:line="276" w:lineRule="auto"/>
      <w:ind w:right="360"/>
      <w:rPr>
        <w:rFonts w:asciiTheme="minorHAnsi" w:hAnsiTheme="minorHAnsi" w:cstheme="minorHAnsi"/>
        <w:i/>
        <w:color w:val="1F497D" w:themeColor="text2"/>
        <w:sz w:val="18"/>
        <w:szCs w:val="18"/>
      </w:rPr>
    </w:pPr>
    <w:r>
      <w:rPr>
        <w:rFonts w:asciiTheme="minorHAnsi" w:hAnsiTheme="minorHAnsi" w:cstheme="minorHAnsi"/>
        <w:b/>
        <w:color w:val="FF0000"/>
        <w:szCs w:val="20"/>
      </w:rPr>
      <w:br w:type="page"/>
    </w:r>
    <w:r w:rsidRPr="009629AD">
      <w:rPr>
        <w:rFonts w:asciiTheme="minorHAnsi" w:hAnsiTheme="minorHAnsi" w:cstheme="minorHAnsi"/>
        <w:b/>
        <w:color w:val="1F497D" w:themeColor="text2"/>
        <w:sz w:val="24"/>
      </w:rPr>
      <w:t>CR-</w:t>
    </w:r>
    <w:r>
      <w:rPr>
        <w:rFonts w:asciiTheme="minorHAnsi" w:hAnsiTheme="minorHAnsi" w:cstheme="minorHAnsi"/>
        <w:b/>
        <w:color w:val="1F497D" w:themeColor="text2"/>
        <w:sz w:val="24"/>
      </w:rPr>
      <w:t xml:space="preserve">50 HOME </w:t>
    </w:r>
    <w:r>
      <w:rPr>
        <w:rFonts w:asciiTheme="minorHAnsi" w:hAnsiTheme="minorHAnsi" w:cstheme="minorHAnsi"/>
        <w:i/>
        <w:color w:val="1F497D" w:themeColor="text2"/>
        <w:sz w:val="18"/>
        <w:szCs w:val="18"/>
      </w:rPr>
      <w:t xml:space="preserve">– 91.520 (d) </w:t>
    </w:r>
  </w:p>
  <w:p w14:paraId="702A4E15" w14:textId="77777777" w:rsidR="005F3FCF" w:rsidRDefault="005F3FCF" w:rsidP="00DA09CA">
    <w:pPr>
      <w:spacing w:line="276" w:lineRule="auto"/>
      <w:ind w:right="360"/>
      <w:rPr>
        <w:rFonts w:asciiTheme="minorHAnsi" w:hAnsiTheme="minorHAnsi" w:cstheme="minorHAnsi"/>
        <w:b/>
        <w:color w:val="FF0000"/>
        <w:szCs w:val="20"/>
      </w:rPr>
    </w:pPr>
  </w:p>
  <w:p w14:paraId="22025D7D" w14:textId="77777777" w:rsidR="005F3FCF" w:rsidRPr="00735B21" w:rsidRDefault="005F3FCF" w:rsidP="00C91F30">
    <w:pPr>
      <w:spacing w:line="276" w:lineRule="auto"/>
      <w:ind w:right="360"/>
      <w:rPr>
        <w:rFonts w:asciiTheme="minorHAnsi" w:hAnsiTheme="minorHAnsi" w:cstheme="minorHAnsi"/>
        <w:b/>
        <w:color w:val="404040" w:themeColor="text1" w:themeTint="BF"/>
        <w:szCs w:val="20"/>
      </w:rPr>
    </w:pPr>
    <w:r w:rsidRPr="00735B21">
      <w:rPr>
        <w:rFonts w:asciiTheme="minorHAnsi" w:hAnsiTheme="minorHAnsi" w:cstheme="minorHAnsi"/>
        <w:b/>
        <w:color w:val="404040" w:themeColor="text1" w:themeTint="BF"/>
        <w:szCs w:val="20"/>
      </w:rPr>
      <w:t>Include the results of on-site inspections of affordable rental housing assisted under the program to determine compliance with housing codes and other applicable regulations.</w:t>
    </w:r>
  </w:p>
  <w:p w14:paraId="4FC94094" w14:textId="77777777" w:rsidR="005F3FCF" w:rsidRPr="00735B21" w:rsidRDefault="005F3FCF" w:rsidP="00C91F30">
    <w:pPr>
      <w:spacing w:line="276" w:lineRule="auto"/>
      <w:ind w:right="360"/>
      <w:rPr>
        <w:rFonts w:asciiTheme="minorHAnsi" w:hAnsiTheme="minorHAnsi" w:cstheme="minorHAnsi"/>
        <w:b/>
        <w:color w:val="404040" w:themeColor="text1" w:themeTint="BF"/>
        <w:szCs w:val="20"/>
      </w:rPr>
    </w:pPr>
  </w:p>
  <w:p w14:paraId="76BF4222" w14:textId="77777777" w:rsidR="005F3FCF" w:rsidRPr="00735B21" w:rsidRDefault="005F3FCF" w:rsidP="00C91F30">
    <w:pPr>
      <w:spacing w:line="276" w:lineRule="auto"/>
      <w:ind w:right="360"/>
      <w:rPr>
        <w:rFonts w:asciiTheme="minorHAnsi" w:hAnsiTheme="minorHAnsi" w:cstheme="minorHAnsi"/>
        <w:b/>
        <w:i/>
        <w:color w:val="404040" w:themeColor="text1" w:themeTint="BF"/>
        <w:szCs w:val="20"/>
      </w:rPr>
    </w:pPr>
    <w:r w:rsidRPr="00735B21">
      <w:rPr>
        <w:rFonts w:asciiTheme="minorHAnsi" w:hAnsiTheme="minorHAnsi" w:cstheme="minorHAnsi"/>
        <w:b/>
        <w:i/>
        <w:color w:val="404040" w:themeColor="text1" w:themeTint="BF"/>
        <w:szCs w:val="20"/>
      </w:rPr>
      <w:t>List those projects that should have been inspected on-site this program year based upon the schedule in 92.504(d). Indicate which of these were inspected and a summary of issues that were detected during the inspection. For those that were not inspected, please indicate the reason and how the City will remedy the situation.</w:t>
    </w:r>
  </w:p>
  <w:p w14:paraId="2259006C" w14:textId="77777777" w:rsidR="005F3FCF" w:rsidRPr="00735B21" w:rsidRDefault="005F3FCF" w:rsidP="00C91F30">
    <w:pPr>
      <w:spacing w:line="360" w:lineRule="auto"/>
      <w:ind w:right="360"/>
      <w:rPr>
        <w:rFonts w:asciiTheme="minorHAnsi" w:hAnsiTheme="minorHAnsi" w:cstheme="minorHAnsi"/>
        <w:b/>
        <w:color w:val="404040" w:themeColor="text1" w:themeTint="BF"/>
        <w:szCs w:val="20"/>
      </w:rPr>
    </w:pPr>
  </w:p>
  <w:p w14:paraId="4B7202A1" w14:textId="77777777" w:rsidR="005F3FCF" w:rsidRPr="00735B21" w:rsidRDefault="005F3FCF" w:rsidP="00C91F30">
    <w:pPr>
      <w:spacing w:line="360" w:lineRule="auto"/>
      <w:ind w:right="360"/>
      <w:rPr>
        <w:rFonts w:asciiTheme="minorHAnsi" w:hAnsiTheme="minorHAnsi"/>
        <w:bCs/>
        <w:color w:val="404040" w:themeColor="text1" w:themeTint="BF"/>
        <w:szCs w:val="20"/>
      </w:rPr>
    </w:pPr>
    <w:r w:rsidRPr="00735B21">
      <w:rPr>
        <w:rFonts w:asciiTheme="minorHAnsi" w:hAnsiTheme="minorHAnsi"/>
        <w:bCs/>
        <w:color w:val="404040" w:themeColor="text1" w:themeTint="BF"/>
        <w:szCs w:val="20"/>
      </w:rPr>
      <w:t>Each year, Salt Lake City arranges to do a file review and a physical onsite inspection of affordable rental housing. The property visited is determined by the HOME regulations in terms of affordability period and the funds invested in each property. For the 2017-2018 year, the City was required to conduct on-site inspections of three properties. The City conducted an assessment of three properties, listed below. The on-site inspection and monitoring included a review of how residents are selected, affirmative marketing plans, accessibility, lease agreements; client files for income certification, visual inspections, as well a review of the interior and exterior physical conditions, maintenance and upkeep of the premises.</w:t>
    </w:r>
  </w:p>
  <w:p w14:paraId="6FDBBAB2" w14:textId="77777777" w:rsidR="005F3FCF" w:rsidRPr="00735B21" w:rsidRDefault="005F3FCF" w:rsidP="00C91F30">
    <w:pPr>
      <w:spacing w:line="360" w:lineRule="auto"/>
      <w:ind w:right="360"/>
      <w:rPr>
        <w:rFonts w:asciiTheme="minorHAnsi" w:hAnsiTheme="minorHAnsi"/>
        <w:b/>
        <w:bCs/>
        <w:color w:val="404040" w:themeColor="text1" w:themeTint="BF"/>
        <w:szCs w:val="20"/>
      </w:rPr>
    </w:pPr>
  </w:p>
  <w:p w14:paraId="5B962132" w14:textId="77777777" w:rsidR="005F3FCF" w:rsidRPr="00735B21" w:rsidRDefault="005F3FCF" w:rsidP="00C91F30">
    <w:pPr>
      <w:spacing w:line="360" w:lineRule="auto"/>
      <w:ind w:right="360"/>
      <w:rPr>
        <w:rFonts w:asciiTheme="minorHAnsi" w:hAnsiTheme="minorHAnsi"/>
        <w:bCs/>
        <w:color w:val="404040" w:themeColor="text1" w:themeTint="BF"/>
        <w:szCs w:val="20"/>
      </w:rPr>
    </w:pPr>
    <w:r w:rsidRPr="00735B21">
      <w:rPr>
        <w:rFonts w:asciiTheme="minorHAnsi" w:hAnsiTheme="minorHAnsi"/>
        <w:bCs/>
        <w:color w:val="404040" w:themeColor="text1" w:themeTint="BF"/>
        <w:szCs w:val="20"/>
      </w:rPr>
      <w:t>Typically a minimum of ten percent of the files were monitored and inspected for each project. The properties that were monitored and inspected are as follows:</w:t>
    </w:r>
  </w:p>
  <w:p w14:paraId="29844F9C" w14:textId="77777777" w:rsidR="005F3FCF" w:rsidRPr="00735B21" w:rsidRDefault="005F3FCF" w:rsidP="00C91F30">
    <w:pPr>
      <w:spacing w:line="360" w:lineRule="auto"/>
      <w:ind w:right="360"/>
      <w:rPr>
        <w:rFonts w:asciiTheme="minorHAnsi" w:hAnsiTheme="minorHAnsi"/>
        <w:b/>
        <w:bCs/>
        <w:color w:val="404040" w:themeColor="text1" w:themeTint="BF"/>
        <w:szCs w:val="20"/>
      </w:rPr>
    </w:pPr>
  </w:p>
  <w:p w14:paraId="53EEE258" w14:textId="77777777" w:rsidR="005F3FCF" w:rsidRPr="00735B21" w:rsidRDefault="005F3FCF" w:rsidP="00C91F30">
    <w:pPr>
      <w:numPr>
        <w:ilvl w:val="0"/>
        <w:numId w:val="21"/>
      </w:numPr>
      <w:spacing w:line="360" w:lineRule="auto"/>
      <w:ind w:right="360"/>
      <w:contextualSpacing/>
      <w:rPr>
        <w:rFonts w:asciiTheme="minorHAnsi" w:hAnsiTheme="minorHAnsi"/>
        <w:bCs/>
        <w:color w:val="404040" w:themeColor="text1" w:themeTint="BF"/>
        <w:szCs w:val="20"/>
      </w:rPr>
    </w:pPr>
    <w:r w:rsidRPr="00735B21">
      <w:rPr>
        <w:rFonts w:asciiTheme="minorHAnsi" w:hAnsiTheme="minorHAnsi"/>
        <w:bCs/>
        <w:color w:val="404040" w:themeColor="text1" w:themeTint="BF"/>
        <w:szCs w:val="20"/>
      </w:rPr>
      <w:t>Lowell Apartments</w:t>
    </w:r>
    <w:r w:rsidRPr="00735B21">
      <w:rPr>
        <w:rFonts w:asciiTheme="minorHAnsi" w:hAnsiTheme="minorHAnsi"/>
        <w:bCs/>
        <w:color w:val="404040" w:themeColor="text1" w:themeTint="BF"/>
        <w:szCs w:val="20"/>
      </w:rPr>
      <w:tab/>
    </w:r>
    <w:r w:rsidRPr="00735B21">
      <w:rPr>
        <w:rFonts w:asciiTheme="minorHAnsi" w:hAnsiTheme="minorHAnsi"/>
        <w:bCs/>
        <w:color w:val="404040" w:themeColor="text1" w:themeTint="BF"/>
        <w:szCs w:val="20"/>
      </w:rPr>
      <w:tab/>
    </w:r>
    <w:r w:rsidRPr="00735B21">
      <w:rPr>
        <w:rFonts w:asciiTheme="minorHAnsi" w:hAnsiTheme="minorHAnsi"/>
        <w:bCs/>
        <w:color w:val="404040" w:themeColor="text1" w:themeTint="BF"/>
        <w:szCs w:val="20"/>
      </w:rPr>
      <w:tab/>
      <w:t>746 South 200 East</w:t>
    </w:r>
  </w:p>
  <w:p w14:paraId="0E6E3F89" w14:textId="77777777" w:rsidR="005F3FCF" w:rsidRPr="00735B21" w:rsidRDefault="005F3FCF" w:rsidP="00C91F30">
    <w:pPr>
      <w:numPr>
        <w:ilvl w:val="0"/>
        <w:numId w:val="21"/>
      </w:numPr>
      <w:spacing w:line="360" w:lineRule="auto"/>
      <w:ind w:right="360"/>
      <w:contextualSpacing/>
      <w:rPr>
        <w:rFonts w:asciiTheme="minorHAnsi" w:hAnsiTheme="minorHAnsi"/>
        <w:bCs/>
        <w:color w:val="404040" w:themeColor="text1" w:themeTint="BF"/>
        <w:szCs w:val="20"/>
      </w:rPr>
    </w:pPr>
    <w:r w:rsidRPr="00735B21">
      <w:rPr>
        <w:rFonts w:asciiTheme="minorHAnsi" w:hAnsiTheme="minorHAnsi"/>
        <w:bCs/>
        <w:color w:val="404040" w:themeColor="text1" w:themeTint="BF"/>
        <w:szCs w:val="20"/>
      </w:rPr>
      <w:t>Sedona Apartments</w:t>
    </w:r>
    <w:r w:rsidRPr="00735B21">
      <w:rPr>
        <w:rFonts w:asciiTheme="minorHAnsi" w:hAnsiTheme="minorHAnsi"/>
        <w:bCs/>
        <w:color w:val="404040" w:themeColor="text1" w:themeTint="BF"/>
        <w:szCs w:val="20"/>
      </w:rPr>
      <w:tab/>
    </w:r>
    <w:r w:rsidRPr="00735B21">
      <w:rPr>
        <w:rFonts w:asciiTheme="minorHAnsi" w:hAnsiTheme="minorHAnsi"/>
        <w:bCs/>
        <w:color w:val="404040" w:themeColor="text1" w:themeTint="BF"/>
        <w:szCs w:val="20"/>
      </w:rPr>
      <w:tab/>
    </w:r>
    <w:r w:rsidRPr="00735B21">
      <w:rPr>
        <w:rFonts w:asciiTheme="minorHAnsi" w:hAnsiTheme="minorHAnsi"/>
        <w:bCs/>
        <w:color w:val="404040" w:themeColor="text1" w:themeTint="BF"/>
        <w:szCs w:val="20"/>
      </w:rPr>
      <w:tab/>
      <w:t>562 West 200 North</w:t>
    </w:r>
  </w:p>
  <w:p w14:paraId="36881E05" w14:textId="77777777" w:rsidR="005F3FCF" w:rsidRPr="00735B21" w:rsidRDefault="005F3FCF" w:rsidP="00C91F30">
    <w:pPr>
      <w:numPr>
        <w:ilvl w:val="0"/>
        <w:numId w:val="21"/>
      </w:numPr>
      <w:spacing w:line="360" w:lineRule="auto"/>
      <w:ind w:right="360"/>
      <w:contextualSpacing/>
      <w:rPr>
        <w:rFonts w:asciiTheme="minorHAnsi" w:hAnsiTheme="minorHAnsi"/>
        <w:bCs/>
        <w:color w:val="404040" w:themeColor="text1" w:themeTint="BF"/>
        <w:szCs w:val="20"/>
      </w:rPr>
    </w:pPr>
    <w:r w:rsidRPr="00735B21">
      <w:rPr>
        <w:rFonts w:asciiTheme="minorHAnsi" w:hAnsiTheme="minorHAnsi"/>
        <w:bCs/>
        <w:color w:val="404040" w:themeColor="text1" w:themeTint="BF"/>
        <w:szCs w:val="20"/>
      </w:rPr>
      <w:t>Young Men’s Transitional House</w:t>
    </w:r>
    <w:r w:rsidRPr="00735B21">
      <w:rPr>
        <w:rFonts w:asciiTheme="minorHAnsi" w:hAnsiTheme="minorHAnsi"/>
        <w:bCs/>
        <w:color w:val="404040" w:themeColor="text1" w:themeTint="BF"/>
        <w:szCs w:val="20"/>
      </w:rPr>
      <w:tab/>
    </w:r>
    <w:r w:rsidRPr="00735B21">
      <w:rPr>
        <w:rFonts w:asciiTheme="minorHAnsi" w:hAnsiTheme="minorHAnsi"/>
        <w:bCs/>
        <w:color w:val="404040" w:themeColor="text1" w:themeTint="BF"/>
        <w:szCs w:val="20"/>
      </w:rPr>
      <w:tab/>
      <w:t>556 South 500 East</w:t>
    </w:r>
  </w:p>
  <w:p w14:paraId="1EF488F3" w14:textId="77777777" w:rsidR="005F3FCF" w:rsidRPr="00735B21" w:rsidRDefault="005F3FCF" w:rsidP="00C91F30">
    <w:pPr>
      <w:spacing w:line="360" w:lineRule="auto"/>
      <w:ind w:right="360"/>
      <w:rPr>
        <w:rFonts w:asciiTheme="minorHAnsi" w:hAnsiTheme="minorHAnsi"/>
        <w:b/>
        <w:bCs/>
        <w:color w:val="404040" w:themeColor="text1" w:themeTint="BF"/>
        <w:szCs w:val="20"/>
      </w:rPr>
    </w:pPr>
  </w:p>
  <w:p w14:paraId="263691AB" w14:textId="77777777" w:rsidR="005F3FCF" w:rsidRPr="00735B21" w:rsidRDefault="005F3FCF" w:rsidP="00C91F30">
    <w:pPr>
      <w:spacing w:line="360" w:lineRule="auto"/>
      <w:ind w:right="360"/>
      <w:rPr>
        <w:rFonts w:asciiTheme="minorHAnsi" w:hAnsiTheme="minorHAnsi"/>
        <w:color w:val="404040" w:themeColor="text1" w:themeTint="BF"/>
        <w:szCs w:val="20"/>
      </w:rPr>
    </w:pPr>
    <w:r w:rsidRPr="00735B21">
      <w:rPr>
        <w:rFonts w:asciiTheme="minorHAnsi" w:hAnsiTheme="minorHAnsi"/>
        <w:color w:val="404040" w:themeColor="text1" w:themeTint="BF"/>
        <w:szCs w:val="20"/>
      </w:rPr>
      <w:t>The primary purpose of reviewing the tenant files was to ensure that both the tenant and property owner sign all required documents and to verify that income certifications are being done annually. Lease agreements were reviewed for compliance with HOME requirements, to ensure that tenants are income-eligible, and that income is properly documented. Finally, the City looks to ensure that rents being charged do not exceed program guidelines.</w:t>
    </w:r>
  </w:p>
  <w:p w14:paraId="167F1A3A" w14:textId="77777777" w:rsidR="005F3FCF" w:rsidRPr="00735B21" w:rsidRDefault="005F3FCF" w:rsidP="00C91F30">
    <w:pPr>
      <w:spacing w:line="360" w:lineRule="auto"/>
      <w:ind w:right="360"/>
      <w:rPr>
        <w:rFonts w:asciiTheme="minorHAnsi" w:hAnsiTheme="minorHAnsi"/>
        <w:b/>
        <w:bCs/>
        <w:color w:val="404040" w:themeColor="text1" w:themeTint="BF"/>
        <w:szCs w:val="20"/>
      </w:rPr>
    </w:pPr>
  </w:p>
  <w:p w14:paraId="251DD307" w14:textId="77777777" w:rsidR="005F3FCF" w:rsidRPr="00735B21" w:rsidRDefault="005F3FCF" w:rsidP="00C91F30">
    <w:pPr>
      <w:spacing w:line="360" w:lineRule="auto"/>
      <w:ind w:right="360"/>
      <w:rPr>
        <w:rFonts w:asciiTheme="minorHAnsi" w:hAnsiTheme="minorHAnsi"/>
        <w:color w:val="404040" w:themeColor="text1" w:themeTint="BF"/>
        <w:szCs w:val="20"/>
      </w:rPr>
    </w:pPr>
    <w:r w:rsidRPr="00735B21">
      <w:rPr>
        <w:rFonts w:asciiTheme="minorHAnsi" w:hAnsiTheme="minorHAnsi"/>
        <w:color w:val="404040" w:themeColor="text1" w:themeTint="BF"/>
        <w:szCs w:val="20"/>
      </w:rPr>
      <w:t>City staff also reviewed Fair Housing Marketing Plans that include all efforts for outreach with other nonprofit organizations, housing authorities and social service agencies to fill vacancies. Because the housing projects may serve special populations, the majority of prospective tenants are referred by agencies that provide case management for their clientele. Contact with referring agencies is done on a regular basis, or whenever a unit/apartment becomes vacant. On-site signage is also used for advertising and City staff ensures that signs include the Fair Housing and Equal Opportunity logos.</w:t>
    </w:r>
  </w:p>
  <w:p w14:paraId="0435709D" w14:textId="77777777" w:rsidR="005F3FCF" w:rsidRPr="00735B21" w:rsidRDefault="005F3FCF" w:rsidP="00C91F30">
    <w:pPr>
      <w:spacing w:line="360" w:lineRule="auto"/>
      <w:ind w:right="360"/>
      <w:rPr>
        <w:rFonts w:asciiTheme="minorHAnsi" w:hAnsiTheme="minorHAnsi"/>
        <w:b/>
        <w:bCs/>
        <w:color w:val="404040" w:themeColor="text1" w:themeTint="BF"/>
        <w:szCs w:val="20"/>
      </w:rPr>
    </w:pPr>
  </w:p>
  <w:p w14:paraId="112DEBF0" w14:textId="77777777" w:rsidR="005F3FCF" w:rsidRPr="00735B21" w:rsidRDefault="005F3FCF" w:rsidP="00C91F30">
    <w:pPr>
      <w:spacing w:line="360" w:lineRule="auto"/>
      <w:ind w:right="360"/>
      <w:rPr>
        <w:rFonts w:asciiTheme="minorHAnsi" w:hAnsiTheme="minorHAnsi"/>
        <w:b/>
        <w:bCs/>
        <w:color w:val="404040" w:themeColor="text1" w:themeTint="BF"/>
        <w:szCs w:val="20"/>
      </w:rPr>
    </w:pPr>
    <w:r w:rsidRPr="00735B21">
      <w:rPr>
        <w:rFonts w:asciiTheme="minorHAnsi" w:hAnsiTheme="minorHAnsi"/>
        <w:color w:val="404040" w:themeColor="text1" w:themeTint="BF"/>
        <w:szCs w:val="20"/>
      </w:rPr>
      <w:t>The primary purpose of doing an on-site inspection is to ensure that the physical property, including the buildings and rental units, is maintained according to Salt Lake City Residential Building Code and that the property is free of hazards. All of this is in an effort to ensure that those residents living on these premises are housed in a clean, safe and decent living environment.</w:t>
    </w:r>
  </w:p>
  <w:p w14:paraId="29C112CE" w14:textId="77777777" w:rsidR="005F3FCF" w:rsidRPr="00735B21" w:rsidRDefault="005F3FCF" w:rsidP="00C91F30">
    <w:pPr>
      <w:spacing w:line="360" w:lineRule="auto"/>
      <w:ind w:right="360"/>
      <w:rPr>
        <w:rFonts w:asciiTheme="minorHAnsi" w:hAnsiTheme="minorHAnsi"/>
        <w:color w:val="404040" w:themeColor="text1" w:themeTint="BF"/>
        <w:szCs w:val="20"/>
      </w:rPr>
    </w:pPr>
  </w:p>
  <w:p w14:paraId="6EFB40A6" w14:textId="77777777" w:rsidR="005F3FCF" w:rsidRPr="00735B21" w:rsidRDefault="005F3FCF" w:rsidP="00C91F30">
    <w:pPr>
      <w:spacing w:line="360" w:lineRule="auto"/>
      <w:ind w:right="360"/>
      <w:rPr>
        <w:rFonts w:asciiTheme="minorHAnsi" w:hAnsiTheme="minorHAnsi"/>
        <w:color w:val="404040" w:themeColor="text1" w:themeTint="BF"/>
        <w:szCs w:val="20"/>
      </w:rPr>
    </w:pPr>
    <w:r w:rsidRPr="00735B21">
      <w:rPr>
        <w:rFonts w:asciiTheme="minorHAnsi" w:hAnsiTheme="minorHAnsi"/>
        <w:color w:val="404040" w:themeColor="text1" w:themeTint="BF"/>
        <w:szCs w:val="20"/>
      </w:rPr>
      <w:t xml:space="preserve">The City sends monitoring results within sixty days of the audit to the project owner. If issues arise that need to be addressed, the apartment owner is provided up to 30 days to bring the units into compliance. The length of time is dependent upon the severity of the issues identified. The City requires that the property owner submit a letter indicating that all findings have been addressed with proof of work completed. This may be in the form of maintenance work orders, invoices, payments, </w:t>
    </w:r>
    <w:r>
      <w:rPr>
        <w:rFonts w:asciiTheme="minorHAnsi" w:hAnsiTheme="minorHAnsi"/>
        <w:color w:val="404040" w:themeColor="text1" w:themeTint="BF"/>
        <w:szCs w:val="20"/>
      </w:rPr>
      <w:t>or photographs of corrected deficiencies approved by a member of the City’s inspection team.</w:t>
    </w:r>
  </w:p>
  <w:p w14:paraId="37EC1C03" w14:textId="77777777" w:rsidR="005F3FCF" w:rsidRPr="00735B21" w:rsidRDefault="005F3FCF" w:rsidP="00C91F30">
    <w:pPr>
      <w:spacing w:line="360" w:lineRule="auto"/>
      <w:ind w:right="360"/>
      <w:rPr>
        <w:rFonts w:asciiTheme="minorHAnsi" w:hAnsiTheme="minorHAnsi"/>
        <w:color w:val="404040" w:themeColor="text1" w:themeTint="BF"/>
        <w:szCs w:val="20"/>
      </w:rPr>
    </w:pPr>
  </w:p>
  <w:p w14:paraId="77FB74BB" w14:textId="77777777" w:rsidR="005F3FCF" w:rsidRPr="00735B21" w:rsidRDefault="005F3FCF" w:rsidP="00C91F30">
    <w:pPr>
      <w:autoSpaceDE w:val="0"/>
      <w:autoSpaceDN w:val="0"/>
      <w:adjustRightInd w:val="0"/>
      <w:spacing w:line="360" w:lineRule="auto"/>
      <w:rPr>
        <w:rFonts w:asciiTheme="minorHAnsi" w:hAnsiTheme="minorHAnsi"/>
        <w:bCs/>
        <w:i/>
        <w:color w:val="404040" w:themeColor="text1" w:themeTint="BF"/>
        <w:szCs w:val="20"/>
        <w:u w:val="single"/>
      </w:rPr>
    </w:pPr>
    <w:r w:rsidRPr="00735B21">
      <w:rPr>
        <w:rFonts w:asciiTheme="minorHAnsi" w:hAnsiTheme="minorHAnsi"/>
        <w:bCs/>
        <w:i/>
        <w:color w:val="404040" w:themeColor="text1" w:themeTint="BF"/>
        <w:szCs w:val="20"/>
        <w:u w:val="single"/>
      </w:rPr>
      <w:t xml:space="preserve">Utah Nonprofit Housing Corporation (UNPHC) </w:t>
    </w:r>
  </w:p>
  <w:p w14:paraId="04BA1B61" w14:textId="77777777" w:rsidR="005F3FCF" w:rsidRPr="00735B21" w:rsidRDefault="005F3FCF" w:rsidP="00C91F30">
    <w:pPr>
      <w:spacing w:line="360" w:lineRule="auto"/>
      <w:ind w:right="360"/>
      <w:rPr>
        <w:rFonts w:asciiTheme="minorHAnsi" w:hAnsiTheme="minorHAnsi"/>
        <w:color w:val="404040" w:themeColor="text1" w:themeTint="BF"/>
        <w:szCs w:val="20"/>
      </w:rPr>
    </w:pPr>
    <w:r w:rsidRPr="00735B21">
      <w:rPr>
        <w:rFonts w:asciiTheme="minorHAnsi" w:hAnsiTheme="minorHAnsi"/>
        <w:color w:val="404040" w:themeColor="text1" w:themeTint="BF"/>
        <w:szCs w:val="20"/>
      </w:rPr>
      <w:t>UNPHC owns and manages the following properties: Lowell Apartments and Sedona Apartments. All properties have access to the same computer programs and forms are uniform at each property. As in years past, UNPHC holds training meetings on a regular basis for their property managers. They also ensure that appropriate personnel attend federal award training to ensure compliance throughout their properties.</w:t>
    </w:r>
  </w:p>
  <w:p w14:paraId="72B90C03" w14:textId="77777777" w:rsidR="005F3FCF" w:rsidRPr="00735B21" w:rsidRDefault="005F3FCF" w:rsidP="00C91F30">
    <w:pPr>
      <w:spacing w:line="360" w:lineRule="auto"/>
      <w:ind w:right="360"/>
      <w:rPr>
        <w:rFonts w:asciiTheme="minorHAnsi" w:hAnsiTheme="minorHAnsi"/>
        <w:color w:val="404040" w:themeColor="text1" w:themeTint="BF"/>
        <w:szCs w:val="20"/>
      </w:rPr>
    </w:pPr>
  </w:p>
  <w:p w14:paraId="400EBCA3" w14:textId="77777777" w:rsidR="005F3FCF" w:rsidRPr="00735B21" w:rsidRDefault="005F3FCF" w:rsidP="00C91F30">
    <w:pPr>
      <w:spacing w:line="360" w:lineRule="auto"/>
      <w:ind w:left="720" w:right="360"/>
      <w:rPr>
        <w:rFonts w:asciiTheme="minorHAnsi" w:hAnsiTheme="minorHAnsi"/>
        <w:i/>
        <w:color w:val="404040" w:themeColor="text1" w:themeTint="BF"/>
        <w:szCs w:val="20"/>
        <w:u w:val="single"/>
      </w:rPr>
    </w:pPr>
    <w:r w:rsidRPr="00735B21">
      <w:rPr>
        <w:rFonts w:asciiTheme="minorHAnsi" w:hAnsiTheme="minorHAnsi"/>
        <w:i/>
        <w:color w:val="404040" w:themeColor="text1" w:themeTint="BF"/>
        <w:szCs w:val="20"/>
        <w:u w:val="single"/>
      </w:rPr>
      <w:t>Lowell Tenant Files:</w:t>
    </w:r>
  </w:p>
  <w:p w14:paraId="10678246" w14:textId="77777777" w:rsidR="005F3FCF" w:rsidRPr="00735B21" w:rsidRDefault="005F3FCF" w:rsidP="00C91F30">
    <w:pPr>
      <w:spacing w:line="360" w:lineRule="auto"/>
      <w:ind w:left="720" w:right="360"/>
      <w:rPr>
        <w:rFonts w:asciiTheme="minorHAnsi" w:hAnsiTheme="minorHAnsi"/>
        <w:i/>
        <w:color w:val="404040" w:themeColor="text1" w:themeTint="BF"/>
        <w:szCs w:val="20"/>
        <w:u w:val="single"/>
      </w:rPr>
    </w:pPr>
    <w:r w:rsidRPr="00735B21">
      <w:rPr>
        <w:rFonts w:asciiTheme="minorHAnsi" w:hAnsiTheme="minorHAnsi"/>
        <w:color w:val="404040" w:themeColor="text1" w:themeTint="BF"/>
        <w:szCs w:val="20"/>
      </w:rPr>
      <w:t xml:space="preserve">This property has eighty-one units. Of these units, eighty-one fixed units include HOME funding.  During the previous year’s monitoring, Salt Lake City and UNPHC determined that future monitoring visits would focus on files created within the last two years; this was due to the extensive file issues from previous property management that could not be feasibly corrected. A total of eight files were selected to be monitored and reviewed for consistency and accuracy with three of the files exhibiting compliance issues. Three files were missing signed HOME addendums. The three files missing signed HOME addendums were files from May 2016 or earlier. All files reviewed created after June 2016 contained signed HOME addendums. After discussing current policies and procedures with the current property management team, Salt Lake City is satisfied that all prior year file issues have been addressed and will not reoccur moving forward. </w:t>
    </w:r>
  </w:p>
  <w:p w14:paraId="6DFD6EB9" w14:textId="77777777" w:rsidR="005F3FCF" w:rsidRPr="00735B21" w:rsidRDefault="005F3FCF" w:rsidP="00C91F30">
    <w:pPr>
      <w:spacing w:line="360" w:lineRule="auto"/>
      <w:ind w:left="720" w:right="360"/>
      <w:rPr>
        <w:rFonts w:asciiTheme="minorHAnsi" w:hAnsiTheme="minorHAnsi"/>
        <w:i/>
        <w:color w:val="404040" w:themeColor="text1" w:themeTint="BF"/>
        <w:szCs w:val="20"/>
        <w:u w:val="single"/>
      </w:rPr>
    </w:pPr>
  </w:p>
  <w:p w14:paraId="2E8DB15C" w14:textId="77777777" w:rsidR="005F3FCF" w:rsidRPr="00735B21" w:rsidRDefault="005F3FCF" w:rsidP="00C91F30">
    <w:pPr>
      <w:spacing w:line="360" w:lineRule="auto"/>
      <w:ind w:left="720" w:right="360"/>
      <w:rPr>
        <w:rFonts w:asciiTheme="minorHAnsi" w:hAnsiTheme="minorHAnsi"/>
        <w:i/>
        <w:color w:val="404040" w:themeColor="text1" w:themeTint="BF"/>
        <w:szCs w:val="20"/>
        <w:u w:val="single"/>
      </w:rPr>
    </w:pPr>
    <w:r w:rsidRPr="00735B21">
      <w:rPr>
        <w:rFonts w:asciiTheme="minorHAnsi" w:hAnsiTheme="minorHAnsi"/>
        <w:i/>
        <w:color w:val="404040" w:themeColor="text1" w:themeTint="BF"/>
        <w:szCs w:val="20"/>
        <w:u w:val="single"/>
      </w:rPr>
      <w:t>Lowell On-Site Inspection:</w:t>
    </w:r>
  </w:p>
  <w:p w14:paraId="0CD9DD88" w14:textId="77777777" w:rsidR="005F3FCF" w:rsidRPr="00735B21" w:rsidRDefault="005F3FCF" w:rsidP="00C91F30">
    <w:pPr>
      <w:spacing w:line="360" w:lineRule="auto"/>
      <w:ind w:left="720" w:right="360"/>
      <w:rPr>
        <w:rFonts w:asciiTheme="minorHAnsi" w:hAnsiTheme="minorHAnsi"/>
        <w:color w:val="404040" w:themeColor="text1" w:themeTint="BF"/>
        <w:szCs w:val="20"/>
      </w:rPr>
    </w:pPr>
    <w:r w:rsidRPr="00735B21">
      <w:rPr>
        <w:rFonts w:asciiTheme="minorHAnsi" w:hAnsiTheme="minorHAnsi"/>
        <w:color w:val="404040" w:themeColor="text1" w:themeTint="BF"/>
        <w:szCs w:val="20"/>
      </w:rPr>
      <w:t>This building was inspected by Salt Lake City Housing &amp; Neighborhood Development staff and a Building Enforcement officer. Physical inspections were completed on eight units and all common areas, with no significant deficiencies found.</w:t>
    </w:r>
  </w:p>
  <w:p w14:paraId="1D146C58" w14:textId="77777777" w:rsidR="005F3FCF" w:rsidRPr="00735B21" w:rsidRDefault="005F3FCF" w:rsidP="00C91F30">
    <w:pPr>
      <w:spacing w:line="360" w:lineRule="auto"/>
      <w:ind w:left="720" w:right="360"/>
      <w:rPr>
        <w:rFonts w:asciiTheme="minorHAnsi" w:hAnsiTheme="minorHAnsi"/>
        <w:b/>
        <w:color w:val="404040" w:themeColor="text1" w:themeTint="BF"/>
        <w:szCs w:val="20"/>
        <w:u w:val="single"/>
      </w:rPr>
    </w:pPr>
  </w:p>
  <w:p w14:paraId="338D3FD1" w14:textId="77777777" w:rsidR="005F3FCF" w:rsidRDefault="005F3FCF" w:rsidP="00C91F30">
    <w:pPr>
      <w:spacing w:line="360" w:lineRule="auto"/>
      <w:ind w:left="720" w:right="360"/>
      <w:rPr>
        <w:rFonts w:asciiTheme="minorHAnsi" w:hAnsiTheme="minorHAnsi"/>
        <w:i/>
        <w:color w:val="404040" w:themeColor="text1" w:themeTint="BF"/>
        <w:szCs w:val="20"/>
        <w:u w:val="single"/>
      </w:rPr>
    </w:pPr>
  </w:p>
  <w:p w14:paraId="4CD5F237" w14:textId="77777777" w:rsidR="005F3FCF" w:rsidRPr="00735B21" w:rsidRDefault="005F3FCF" w:rsidP="00C91F30">
    <w:pPr>
      <w:spacing w:line="360" w:lineRule="auto"/>
      <w:ind w:left="720" w:right="360"/>
      <w:rPr>
        <w:rFonts w:asciiTheme="minorHAnsi" w:hAnsiTheme="minorHAnsi"/>
        <w:i/>
        <w:color w:val="404040" w:themeColor="text1" w:themeTint="BF"/>
        <w:szCs w:val="20"/>
        <w:u w:val="single"/>
      </w:rPr>
    </w:pPr>
    <w:r w:rsidRPr="00735B21">
      <w:rPr>
        <w:rFonts w:asciiTheme="minorHAnsi" w:hAnsiTheme="minorHAnsi"/>
        <w:i/>
        <w:color w:val="404040" w:themeColor="text1" w:themeTint="BF"/>
        <w:szCs w:val="20"/>
        <w:u w:val="single"/>
      </w:rPr>
      <w:t xml:space="preserve">Sedona Tenant Files: </w:t>
    </w:r>
  </w:p>
  <w:p w14:paraId="46BA1826" w14:textId="77777777" w:rsidR="005F3FCF" w:rsidRPr="00735B21" w:rsidRDefault="005F3FCF" w:rsidP="00C91F30">
    <w:pPr>
      <w:spacing w:line="360" w:lineRule="auto"/>
      <w:ind w:left="720" w:right="360"/>
      <w:rPr>
        <w:rFonts w:asciiTheme="minorHAnsi" w:hAnsiTheme="minorHAnsi"/>
        <w:color w:val="404040" w:themeColor="text1" w:themeTint="BF"/>
        <w:szCs w:val="20"/>
      </w:rPr>
    </w:pPr>
    <w:r w:rsidRPr="00735B21">
      <w:rPr>
        <w:rFonts w:asciiTheme="minorHAnsi" w:hAnsiTheme="minorHAnsi"/>
        <w:color w:val="404040" w:themeColor="text1" w:themeTint="BF"/>
        <w:szCs w:val="20"/>
      </w:rPr>
      <w:t>Tenant files appeared to be complete and accurate. This property has sixteen units, two of which are floating and HOME funded. Two files were randomly selected to be monitored and reviewed for consistency and accuracy. There were no identified issues with the files reviewed.</w:t>
    </w:r>
  </w:p>
  <w:p w14:paraId="6C3D406B" w14:textId="77777777" w:rsidR="005F3FCF" w:rsidRPr="00735B21" w:rsidRDefault="005F3FCF" w:rsidP="00C91F30">
    <w:pPr>
      <w:spacing w:line="360" w:lineRule="auto"/>
      <w:ind w:left="720" w:right="360"/>
      <w:rPr>
        <w:rFonts w:asciiTheme="minorHAnsi" w:hAnsiTheme="minorHAnsi"/>
        <w:i/>
        <w:color w:val="404040" w:themeColor="text1" w:themeTint="BF"/>
        <w:szCs w:val="20"/>
        <w:u w:val="single"/>
      </w:rPr>
    </w:pPr>
  </w:p>
  <w:p w14:paraId="04DD482E" w14:textId="77777777" w:rsidR="005F3FCF" w:rsidRPr="00735B21" w:rsidRDefault="005F3FCF" w:rsidP="00C91F30">
    <w:pPr>
      <w:spacing w:line="360" w:lineRule="auto"/>
      <w:ind w:left="720" w:right="360"/>
      <w:rPr>
        <w:rFonts w:asciiTheme="minorHAnsi" w:hAnsiTheme="minorHAnsi"/>
        <w:i/>
        <w:color w:val="404040" w:themeColor="text1" w:themeTint="BF"/>
        <w:szCs w:val="20"/>
        <w:u w:val="single"/>
      </w:rPr>
    </w:pPr>
    <w:r w:rsidRPr="00735B21">
      <w:rPr>
        <w:rFonts w:asciiTheme="minorHAnsi" w:hAnsiTheme="minorHAnsi"/>
        <w:i/>
        <w:color w:val="404040" w:themeColor="text1" w:themeTint="BF"/>
        <w:szCs w:val="20"/>
        <w:u w:val="single"/>
      </w:rPr>
      <w:t>Sedona On-Site Inspection:</w:t>
    </w:r>
  </w:p>
  <w:p w14:paraId="3826B134" w14:textId="77777777" w:rsidR="005F3FCF" w:rsidRPr="00735B21" w:rsidRDefault="005F3FCF" w:rsidP="00C91F30">
    <w:pPr>
      <w:spacing w:line="360" w:lineRule="auto"/>
      <w:ind w:left="720" w:right="360"/>
      <w:rPr>
        <w:rFonts w:asciiTheme="minorHAnsi" w:hAnsiTheme="minorHAnsi"/>
        <w:color w:val="404040" w:themeColor="text1" w:themeTint="BF"/>
        <w:szCs w:val="20"/>
      </w:rPr>
    </w:pPr>
    <w:r w:rsidRPr="00735B21">
      <w:rPr>
        <w:rFonts w:asciiTheme="minorHAnsi" w:hAnsiTheme="minorHAnsi"/>
        <w:color w:val="404040" w:themeColor="text1" w:themeTint="BF"/>
        <w:szCs w:val="20"/>
      </w:rPr>
      <w:t>This building was inspected by Salt Lake City Housing &amp; Neighborhood Development staff and a Building Enforcement officer. Physical inspections were completed on two units and all common areas, with no significant deficiencies found.</w:t>
    </w:r>
  </w:p>
  <w:p w14:paraId="3F68DCFA" w14:textId="77777777" w:rsidR="005F3FCF" w:rsidRPr="00735B21" w:rsidRDefault="005F3FCF" w:rsidP="00C91F30">
    <w:pPr>
      <w:spacing w:line="360" w:lineRule="auto"/>
      <w:ind w:right="360"/>
      <w:rPr>
        <w:rFonts w:asciiTheme="minorHAnsi" w:hAnsiTheme="minorHAnsi"/>
        <w:color w:val="404040" w:themeColor="text1" w:themeTint="BF"/>
        <w:szCs w:val="20"/>
      </w:rPr>
    </w:pPr>
  </w:p>
  <w:p w14:paraId="34F2286E" w14:textId="77777777" w:rsidR="005F3FCF" w:rsidRPr="00735B21" w:rsidRDefault="005F3FCF" w:rsidP="00C91F30">
    <w:pPr>
      <w:spacing w:line="360" w:lineRule="auto"/>
      <w:ind w:right="360"/>
      <w:rPr>
        <w:rFonts w:asciiTheme="minorHAnsi" w:hAnsiTheme="minorHAnsi"/>
        <w:i/>
        <w:color w:val="404040" w:themeColor="text1" w:themeTint="BF"/>
        <w:szCs w:val="20"/>
        <w:u w:val="single"/>
      </w:rPr>
    </w:pPr>
    <w:r>
      <w:rPr>
        <w:rFonts w:asciiTheme="minorHAnsi" w:hAnsiTheme="minorHAnsi"/>
        <w:i/>
        <w:color w:val="404040" w:themeColor="text1" w:themeTint="BF"/>
        <w:szCs w:val="20"/>
        <w:u w:val="single"/>
      </w:rPr>
      <w:t xml:space="preserve">Volunteers of America, Utah: </w:t>
    </w:r>
    <w:r w:rsidRPr="00735B21">
      <w:rPr>
        <w:rFonts w:asciiTheme="minorHAnsi" w:hAnsiTheme="minorHAnsi"/>
        <w:i/>
        <w:color w:val="404040" w:themeColor="text1" w:themeTint="BF"/>
        <w:szCs w:val="20"/>
        <w:u w:val="single"/>
      </w:rPr>
      <w:t>Young Men’s Transition House Tenant Files:</w:t>
    </w:r>
  </w:p>
  <w:p w14:paraId="4905D3FC" w14:textId="77777777" w:rsidR="005F3FCF" w:rsidRPr="00735B21" w:rsidRDefault="005F3FCF" w:rsidP="00C91F30">
    <w:pPr>
      <w:spacing w:line="360" w:lineRule="auto"/>
      <w:ind w:right="360"/>
      <w:rPr>
        <w:rFonts w:asciiTheme="minorHAnsi" w:hAnsiTheme="minorHAnsi"/>
        <w:color w:val="404040" w:themeColor="text1" w:themeTint="BF"/>
        <w:szCs w:val="20"/>
      </w:rPr>
    </w:pPr>
    <w:r w:rsidRPr="00735B21">
      <w:rPr>
        <w:rFonts w:asciiTheme="minorHAnsi" w:hAnsiTheme="minorHAnsi"/>
        <w:color w:val="404040" w:themeColor="text1" w:themeTint="BF"/>
        <w:szCs w:val="20"/>
      </w:rPr>
      <w:t xml:space="preserve">Tenant files </w:t>
    </w:r>
    <w:r>
      <w:rPr>
        <w:rFonts w:asciiTheme="minorHAnsi" w:hAnsiTheme="minorHAnsi"/>
        <w:color w:val="404040" w:themeColor="text1" w:themeTint="BF"/>
        <w:szCs w:val="20"/>
      </w:rPr>
      <w:t>were found to be missing source documentation of income</w:t>
    </w:r>
    <w:r w:rsidRPr="00735B21">
      <w:rPr>
        <w:rFonts w:asciiTheme="minorHAnsi" w:hAnsiTheme="minorHAnsi"/>
        <w:color w:val="404040" w:themeColor="text1" w:themeTint="BF"/>
        <w:szCs w:val="20"/>
      </w:rPr>
      <w:t xml:space="preserve">. This property has </w:t>
    </w:r>
    <w:r>
      <w:rPr>
        <w:rFonts w:asciiTheme="minorHAnsi" w:hAnsiTheme="minorHAnsi"/>
        <w:color w:val="404040" w:themeColor="text1" w:themeTint="BF"/>
        <w:szCs w:val="20"/>
      </w:rPr>
      <w:t>fourteen</w:t>
    </w:r>
    <w:r w:rsidRPr="00735B21">
      <w:rPr>
        <w:rFonts w:asciiTheme="minorHAnsi" w:hAnsiTheme="minorHAnsi"/>
        <w:color w:val="404040" w:themeColor="text1" w:themeTint="BF"/>
        <w:szCs w:val="20"/>
      </w:rPr>
      <w:t xml:space="preserve"> units. Of these units, </w:t>
    </w:r>
    <w:r>
      <w:rPr>
        <w:rFonts w:asciiTheme="minorHAnsi" w:hAnsiTheme="minorHAnsi"/>
        <w:color w:val="404040" w:themeColor="text1" w:themeTint="BF"/>
        <w:szCs w:val="20"/>
      </w:rPr>
      <w:t>eight</w:t>
    </w:r>
    <w:r w:rsidRPr="00735B21">
      <w:rPr>
        <w:rFonts w:asciiTheme="minorHAnsi" w:hAnsiTheme="minorHAnsi"/>
        <w:color w:val="404040" w:themeColor="text1" w:themeTint="BF"/>
        <w:szCs w:val="20"/>
      </w:rPr>
      <w:t xml:space="preserve"> units include HOME funding.  Five files were reviewed and determined to be</w:t>
    </w:r>
    <w:r>
      <w:rPr>
        <w:rFonts w:asciiTheme="minorHAnsi" w:hAnsiTheme="minorHAnsi"/>
        <w:color w:val="404040" w:themeColor="text1" w:themeTint="BF"/>
        <w:szCs w:val="20"/>
      </w:rPr>
      <w:t xml:space="preserve"> non-</w:t>
    </w:r>
    <w:r w:rsidRPr="00735B21">
      <w:rPr>
        <w:rFonts w:asciiTheme="minorHAnsi" w:hAnsiTheme="minorHAnsi"/>
        <w:color w:val="404040" w:themeColor="text1" w:themeTint="BF"/>
        <w:szCs w:val="20"/>
      </w:rPr>
      <w:t xml:space="preserve">compliant. </w:t>
    </w:r>
    <w:r>
      <w:rPr>
        <w:rFonts w:asciiTheme="minorHAnsi" w:hAnsiTheme="minorHAnsi"/>
        <w:color w:val="404040" w:themeColor="text1" w:themeTint="BF"/>
        <w:szCs w:val="20"/>
      </w:rPr>
      <w:t>Files for clients who had zero income at entry did not have source documentation, self-certification, or budget worksheets completed by clients or staff to meet the requirements laid out in 24 CFR 92. In response, VOA updated their internal policies and procedures to include guidance on gathering source documentation and, when necessary, completing budgets and self-certifications to ensure income verification is sufficiently documented.</w:t>
    </w:r>
  </w:p>
  <w:p w14:paraId="7FA24415" w14:textId="77777777" w:rsidR="005F3FCF" w:rsidRPr="00735B21" w:rsidRDefault="005F3FCF" w:rsidP="00C91F30">
    <w:pPr>
      <w:spacing w:line="360" w:lineRule="auto"/>
      <w:ind w:right="360"/>
      <w:rPr>
        <w:rFonts w:asciiTheme="minorHAnsi" w:hAnsiTheme="minorHAnsi"/>
        <w:b/>
        <w:color w:val="404040" w:themeColor="text1" w:themeTint="BF"/>
        <w:szCs w:val="20"/>
        <w:u w:val="single"/>
      </w:rPr>
    </w:pPr>
  </w:p>
  <w:p w14:paraId="0F1ADC28" w14:textId="77777777" w:rsidR="005F3FCF" w:rsidRPr="00735B21" w:rsidRDefault="005F3FCF" w:rsidP="00C91F30">
    <w:pPr>
      <w:spacing w:line="360" w:lineRule="auto"/>
      <w:ind w:right="360"/>
      <w:rPr>
        <w:rFonts w:asciiTheme="minorHAnsi" w:hAnsiTheme="minorHAnsi"/>
        <w:i/>
        <w:color w:val="404040" w:themeColor="text1" w:themeTint="BF"/>
        <w:szCs w:val="20"/>
        <w:u w:val="single"/>
      </w:rPr>
    </w:pPr>
    <w:r w:rsidRPr="00735B21">
      <w:rPr>
        <w:rFonts w:asciiTheme="minorHAnsi" w:hAnsiTheme="minorHAnsi"/>
        <w:i/>
        <w:color w:val="404040" w:themeColor="text1" w:themeTint="BF"/>
        <w:szCs w:val="20"/>
        <w:u w:val="single"/>
      </w:rPr>
      <w:t>Young Men’s Transition House On-Site Inspection:</w:t>
    </w:r>
  </w:p>
  <w:p w14:paraId="147CAE32" w14:textId="77777777" w:rsidR="005F3FCF" w:rsidRPr="00735B21" w:rsidRDefault="005F3FCF" w:rsidP="00C91F30">
    <w:pPr>
      <w:spacing w:line="360" w:lineRule="auto"/>
      <w:ind w:right="360"/>
      <w:rPr>
        <w:rFonts w:asciiTheme="minorHAnsi" w:hAnsiTheme="minorHAnsi"/>
        <w:color w:val="404040" w:themeColor="text1" w:themeTint="BF"/>
        <w:szCs w:val="20"/>
      </w:rPr>
    </w:pPr>
    <w:r w:rsidRPr="00735B21">
      <w:rPr>
        <w:rFonts w:asciiTheme="minorHAnsi" w:hAnsiTheme="minorHAnsi"/>
        <w:color w:val="404040" w:themeColor="text1" w:themeTint="BF"/>
        <w:szCs w:val="20"/>
      </w:rPr>
      <w:t>This building was inspected by Salt Lake City Housing &amp; Neighborhood Development staff and a Building Enforcement officer. Physical inspections were completed on five units and all common areas, with one significant deficiency identified. The deficienc</w:t>
    </w:r>
    <w:r>
      <w:rPr>
        <w:rFonts w:asciiTheme="minorHAnsi" w:hAnsiTheme="minorHAnsi"/>
        <w:color w:val="404040" w:themeColor="text1" w:themeTint="BF"/>
        <w:szCs w:val="20"/>
      </w:rPr>
      <w:t>y was addressed within two days and proof of correction via photograph and re-inspection was submitted.</w:t>
    </w:r>
  </w:p>
  <w:p w14:paraId="0E336878" w14:textId="77777777" w:rsidR="005F3FCF" w:rsidRPr="00735B21" w:rsidRDefault="005F3FCF" w:rsidP="00C91F30">
    <w:pPr>
      <w:spacing w:line="276" w:lineRule="auto"/>
      <w:ind w:right="360"/>
      <w:rPr>
        <w:rFonts w:asciiTheme="minorHAnsi" w:hAnsiTheme="minorHAnsi" w:cstheme="minorHAnsi"/>
        <w:b/>
        <w:color w:val="FF0000"/>
        <w:szCs w:val="20"/>
      </w:rPr>
    </w:pPr>
  </w:p>
  <w:p w14:paraId="653B6ED3" w14:textId="77777777" w:rsidR="005F3FCF" w:rsidRPr="00735B21" w:rsidRDefault="005F3FCF" w:rsidP="00C91F30">
    <w:pPr>
      <w:spacing w:line="360" w:lineRule="auto"/>
      <w:ind w:right="360"/>
      <w:rPr>
        <w:rFonts w:asciiTheme="minorHAnsi" w:hAnsiTheme="minorHAnsi" w:cstheme="minorHAnsi"/>
        <w:b/>
        <w:color w:val="404040" w:themeColor="text1" w:themeTint="BF"/>
        <w:szCs w:val="20"/>
      </w:rPr>
    </w:pPr>
    <w:r w:rsidRPr="00735B21">
      <w:rPr>
        <w:rFonts w:asciiTheme="minorHAnsi" w:hAnsiTheme="minorHAnsi" w:cstheme="minorHAnsi"/>
        <w:b/>
        <w:color w:val="404040" w:themeColor="text1" w:themeTint="BF"/>
        <w:szCs w:val="20"/>
      </w:rPr>
      <w:t>Provide an assessment of the City’s affirmative marketing actions for HOME units. 92.351(b)</w:t>
    </w:r>
  </w:p>
  <w:p w14:paraId="34178D70" w14:textId="77777777" w:rsidR="005F3FCF" w:rsidRPr="00735B21" w:rsidRDefault="005F3FCF" w:rsidP="00C91F30">
    <w:pPr>
      <w:spacing w:line="360" w:lineRule="auto"/>
      <w:ind w:right="360"/>
      <w:rPr>
        <w:rFonts w:asciiTheme="minorHAnsi" w:hAnsiTheme="minorHAnsi"/>
        <w:color w:val="404040" w:themeColor="text1" w:themeTint="BF"/>
        <w:szCs w:val="20"/>
      </w:rPr>
    </w:pPr>
    <w:r w:rsidRPr="00735B21">
      <w:rPr>
        <w:rFonts w:asciiTheme="minorHAnsi" w:hAnsiTheme="minorHAnsi"/>
        <w:color w:val="404040" w:themeColor="text1" w:themeTint="BF"/>
        <w:szCs w:val="20"/>
      </w:rPr>
      <w:t>The City’s affirmative marketing actions for informing the public, project owners and potential tenants about Federal fair housing laws include the following:</w:t>
    </w:r>
  </w:p>
  <w:p w14:paraId="0699D40A" w14:textId="77777777" w:rsidR="005F3FCF" w:rsidRPr="00735B21" w:rsidRDefault="005F3FCF" w:rsidP="00C91F30">
    <w:pPr>
      <w:spacing w:line="360" w:lineRule="auto"/>
      <w:ind w:right="360"/>
      <w:rPr>
        <w:rFonts w:asciiTheme="minorHAnsi" w:hAnsiTheme="minorHAnsi"/>
        <w:color w:val="404040" w:themeColor="text1" w:themeTint="BF"/>
        <w:szCs w:val="20"/>
      </w:rPr>
    </w:pPr>
  </w:p>
  <w:p w14:paraId="566828A5" w14:textId="77777777" w:rsidR="005F3FCF" w:rsidRPr="00735B21" w:rsidRDefault="005F3FCF" w:rsidP="00C91F30">
    <w:pPr>
      <w:spacing w:line="360" w:lineRule="auto"/>
      <w:ind w:right="360"/>
      <w:rPr>
        <w:rFonts w:asciiTheme="minorHAnsi" w:hAnsiTheme="minorHAnsi"/>
        <w:color w:val="404040" w:themeColor="text1" w:themeTint="BF"/>
        <w:szCs w:val="20"/>
      </w:rPr>
    </w:pPr>
    <w:r w:rsidRPr="00735B21">
      <w:rPr>
        <w:rFonts w:asciiTheme="minorHAnsi" w:hAnsiTheme="minorHAnsi"/>
        <w:color w:val="404040" w:themeColor="text1" w:themeTint="BF"/>
        <w:szCs w:val="20"/>
      </w:rPr>
      <w:t>Salt Lake City is a member of the Utah Fair Housing Forum through which it coordinates activities with HUD’s Regional Office of Fair Housing and Equal Opportunity and the Utah Antidiscrimination and Labor Division. To promote knowledge of fair housing laws among landlords and tenants, the City also supports and participates in the annual Education Conference and Trade Show sponsored by the Utah Fair Housing Forum and Utah Apartment Association. This is been an excellent opportunity for individuals, realtors, apartment owners, property managers, landlords and tenants to learn about Federal Fair Housing Laws.</w:t>
    </w:r>
  </w:p>
  <w:p w14:paraId="74EC37CD" w14:textId="77777777" w:rsidR="005F3FCF" w:rsidRPr="00735B21" w:rsidRDefault="005F3FCF" w:rsidP="00C91F30">
    <w:pPr>
      <w:spacing w:line="360" w:lineRule="auto"/>
      <w:ind w:right="360"/>
      <w:rPr>
        <w:rFonts w:asciiTheme="minorHAnsi" w:hAnsiTheme="minorHAnsi"/>
        <w:color w:val="404040" w:themeColor="text1" w:themeTint="BF"/>
        <w:szCs w:val="20"/>
      </w:rPr>
    </w:pPr>
  </w:p>
  <w:p w14:paraId="2525A8F6" w14:textId="77777777" w:rsidR="005F3FCF" w:rsidRPr="00735B21" w:rsidRDefault="005F3FCF" w:rsidP="00C91F30">
    <w:pPr>
      <w:spacing w:line="360" w:lineRule="auto"/>
      <w:ind w:right="360"/>
      <w:rPr>
        <w:rFonts w:asciiTheme="minorHAnsi" w:hAnsiTheme="minorHAnsi"/>
        <w:b/>
        <w:bCs/>
        <w:color w:val="404040" w:themeColor="text1" w:themeTint="BF"/>
        <w:szCs w:val="20"/>
      </w:rPr>
    </w:pPr>
    <w:r w:rsidRPr="00735B21">
      <w:rPr>
        <w:rFonts w:asciiTheme="minorHAnsi" w:hAnsiTheme="minorHAnsi"/>
        <w:color w:val="404040" w:themeColor="text1" w:themeTint="BF"/>
        <w:szCs w:val="20"/>
      </w:rPr>
      <w:t>The City’s Housing and Neighborhood Development Division continues to be proactive in affirmative marketing actions by providing information and training at its annual workshop for sub-recipients to help them increase the awareness of their clients—many of whom are immigrants, minorities, and tenants—about fair housing laws.</w:t>
    </w:r>
  </w:p>
  <w:p w14:paraId="30CFB804" w14:textId="77777777" w:rsidR="005F3FCF" w:rsidRPr="00735B21" w:rsidRDefault="005F3FCF" w:rsidP="00C91F30">
    <w:pPr>
      <w:spacing w:line="360" w:lineRule="auto"/>
      <w:ind w:right="360"/>
      <w:rPr>
        <w:rFonts w:asciiTheme="minorHAnsi" w:hAnsiTheme="minorHAnsi"/>
        <w:b/>
        <w:bCs/>
        <w:color w:val="404040" w:themeColor="text1" w:themeTint="BF"/>
        <w:szCs w:val="20"/>
      </w:rPr>
    </w:pPr>
  </w:p>
  <w:p w14:paraId="2BD33258" w14:textId="77777777" w:rsidR="005F3FCF" w:rsidRPr="00735B21" w:rsidRDefault="005F3FCF" w:rsidP="00C91F30">
    <w:pPr>
      <w:spacing w:line="360" w:lineRule="auto"/>
      <w:ind w:right="360"/>
      <w:rPr>
        <w:rFonts w:asciiTheme="minorHAnsi" w:hAnsiTheme="minorHAnsi"/>
        <w:color w:val="404040" w:themeColor="text1" w:themeTint="BF"/>
        <w:szCs w:val="20"/>
      </w:rPr>
    </w:pPr>
    <w:r w:rsidRPr="00735B21">
      <w:rPr>
        <w:rFonts w:asciiTheme="minorHAnsi" w:hAnsiTheme="minorHAnsi"/>
        <w:color w:val="404040" w:themeColor="text1" w:themeTint="BF"/>
        <w:szCs w:val="20"/>
      </w:rPr>
      <w:t>Housing and Neighborhood Development’s website also includes a fair housing page with a link to HUD’s Housing Discrimination and Complaints website. This link provides citizens with the ability to file fair housing discrimination complaints on-line.</w:t>
    </w:r>
  </w:p>
  <w:p w14:paraId="603F18FB" w14:textId="77777777" w:rsidR="005F3FCF" w:rsidRPr="00735B21" w:rsidRDefault="005F3FCF" w:rsidP="00C91F30">
    <w:pPr>
      <w:spacing w:line="360" w:lineRule="auto"/>
      <w:ind w:right="360"/>
      <w:rPr>
        <w:rFonts w:asciiTheme="minorHAnsi" w:hAnsiTheme="minorHAnsi"/>
        <w:color w:val="404040" w:themeColor="text1" w:themeTint="BF"/>
        <w:szCs w:val="20"/>
      </w:rPr>
    </w:pPr>
  </w:p>
  <w:p w14:paraId="6FAE4C2B" w14:textId="77777777" w:rsidR="005F3FCF" w:rsidRPr="00735B21" w:rsidRDefault="005F3FCF" w:rsidP="00C91F30">
    <w:pPr>
      <w:spacing w:line="360" w:lineRule="auto"/>
      <w:ind w:right="360"/>
      <w:rPr>
        <w:rFonts w:asciiTheme="minorHAnsi" w:hAnsiTheme="minorHAnsi"/>
        <w:color w:val="404040" w:themeColor="text1" w:themeTint="BF"/>
        <w:szCs w:val="20"/>
      </w:rPr>
    </w:pPr>
    <w:r w:rsidRPr="00735B21">
      <w:rPr>
        <w:rFonts w:asciiTheme="minorHAnsi" w:hAnsiTheme="minorHAnsi"/>
        <w:color w:val="404040" w:themeColor="text1" w:themeTint="BF"/>
        <w:szCs w:val="20"/>
      </w:rPr>
      <w:t xml:space="preserve">In recent months, Salt Lake City has been actively working with the local field office to remain updated on the Assessment of Fair Housing process. To date, this has included reviewing mapping data, evaluating AFH guidebook, and discussing the AFH community participation process. </w:t>
    </w:r>
    <w:r>
      <w:rPr>
        <w:rFonts w:asciiTheme="minorHAnsi" w:hAnsiTheme="minorHAnsi"/>
        <w:color w:val="404040" w:themeColor="text1" w:themeTint="BF"/>
        <w:szCs w:val="20"/>
      </w:rPr>
      <w:t>While the guidance on utilizing the AFH was rescinded and the requirement for completing the Assessment of Fair Housing has been delayed, City staff continue to assess impediments to fair housing and coordinate with other community providers on fair housing issues as they arise.</w:t>
    </w:r>
  </w:p>
  <w:p w14:paraId="0CACF88C" w14:textId="77777777" w:rsidR="005F3FCF" w:rsidRPr="00735B21" w:rsidRDefault="005F3FCF" w:rsidP="00C91F30">
    <w:pPr>
      <w:spacing w:line="360" w:lineRule="auto"/>
      <w:ind w:right="360"/>
      <w:rPr>
        <w:rFonts w:asciiTheme="minorHAnsi" w:hAnsiTheme="minorHAnsi" w:cstheme="minorHAnsi"/>
        <w:b/>
        <w:color w:val="404040" w:themeColor="text1" w:themeTint="BF"/>
        <w:szCs w:val="20"/>
      </w:rPr>
    </w:pPr>
  </w:p>
  <w:p w14:paraId="62C7CE20" w14:textId="77777777" w:rsidR="005F3FCF" w:rsidRPr="00735B21" w:rsidRDefault="005F3FCF" w:rsidP="00C91F30">
    <w:pPr>
      <w:spacing w:line="360" w:lineRule="auto"/>
      <w:ind w:right="360"/>
      <w:rPr>
        <w:rFonts w:asciiTheme="minorHAnsi" w:hAnsiTheme="minorHAnsi" w:cstheme="minorHAnsi"/>
        <w:b/>
        <w:color w:val="404040" w:themeColor="text1" w:themeTint="BF"/>
        <w:szCs w:val="20"/>
      </w:rPr>
    </w:pPr>
    <w:r w:rsidRPr="00735B21">
      <w:rPr>
        <w:rFonts w:asciiTheme="minorHAnsi" w:hAnsiTheme="minorHAnsi" w:cstheme="minorHAnsi"/>
        <w:b/>
        <w:color w:val="404040" w:themeColor="text1" w:themeTint="BF"/>
        <w:szCs w:val="20"/>
      </w:rPr>
      <w:t>Refer to IDIS reports to describe the amount and use of program income for projects, including the number of projects and owner and tenant characteristics.</w:t>
    </w:r>
  </w:p>
  <w:p w14:paraId="263B9577" w14:textId="77777777" w:rsidR="005F3FCF" w:rsidRPr="00735B21" w:rsidRDefault="005F3FCF" w:rsidP="00C91F30">
    <w:pPr>
      <w:spacing w:line="360" w:lineRule="auto"/>
      <w:ind w:right="360"/>
      <w:rPr>
        <w:rFonts w:asciiTheme="minorHAnsi" w:hAnsiTheme="minorHAnsi"/>
        <w:color w:val="404040" w:themeColor="text1" w:themeTint="BF"/>
        <w:szCs w:val="20"/>
      </w:rPr>
    </w:pPr>
    <w:r w:rsidRPr="00735B21">
      <w:rPr>
        <w:rFonts w:asciiTheme="minorHAnsi" w:hAnsiTheme="minorHAnsi"/>
        <w:color w:val="404040" w:themeColor="text1" w:themeTint="BF"/>
        <w:szCs w:val="20"/>
      </w:rPr>
      <w:t>In program year 1</w:t>
    </w:r>
    <w:r>
      <w:rPr>
        <w:rFonts w:asciiTheme="minorHAnsi" w:hAnsiTheme="minorHAnsi"/>
        <w:color w:val="404040" w:themeColor="text1" w:themeTint="BF"/>
        <w:szCs w:val="20"/>
      </w:rPr>
      <w:t>7</w:t>
    </w:r>
    <w:r w:rsidRPr="00735B21">
      <w:rPr>
        <w:rFonts w:asciiTheme="minorHAnsi" w:hAnsiTheme="minorHAnsi"/>
        <w:color w:val="404040" w:themeColor="text1" w:themeTint="BF"/>
        <w:szCs w:val="20"/>
      </w:rPr>
      <w:t>-1</w:t>
    </w:r>
    <w:r>
      <w:rPr>
        <w:rFonts w:asciiTheme="minorHAnsi" w:hAnsiTheme="minorHAnsi"/>
        <w:color w:val="404040" w:themeColor="text1" w:themeTint="BF"/>
        <w:szCs w:val="20"/>
      </w:rPr>
      <w:t>8</w:t>
    </w:r>
    <w:r w:rsidRPr="00735B21">
      <w:rPr>
        <w:rFonts w:asciiTheme="minorHAnsi" w:hAnsiTheme="minorHAnsi"/>
        <w:color w:val="404040" w:themeColor="text1" w:themeTint="BF"/>
        <w:szCs w:val="20"/>
      </w:rPr>
      <w:t>, Salt Lake City brought in a total of $</w:t>
    </w:r>
    <w:r>
      <w:rPr>
        <w:rFonts w:asciiTheme="minorHAnsi" w:hAnsiTheme="minorHAnsi"/>
        <w:color w:val="404040" w:themeColor="text1" w:themeTint="BF"/>
        <w:szCs w:val="20"/>
      </w:rPr>
      <w:t>342,000</w:t>
    </w:r>
    <w:r w:rsidRPr="00735B21">
      <w:rPr>
        <w:rFonts w:asciiTheme="minorHAnsi" w:hAnsiTheme="minorHAnsi"/>
        <w:color w:val="404040" w:themeColor="text1" w:themeTint="BF"/>
        <w:szCs w:val="20"/>
      </w:rPr>
      <w:t xml:space="preserve"> in Program Income. To date, $</w:t>
    </w:r>
    <w:r>
      <w:rPr>
        <w:rFonts w:asciiTheme="minorHAnsi" w:hAnsiTheme="minorHAnsi"/>
        <w:color w:val="404040" w:themeColor="text1" w:themeTint="BF"/>
        <w:szCs w:val="20"/>
      </w:rPr>
      <w:t>342,000</w:t>
    </w:r>
    <w:r w:rsidRPr="00735B21">
      <w:rPr>
        <w:rFonts w:asciiTheme="minorHAnsi" w:hAnsiTheme="minorHAnsi"/>
        <w:color w:val="404040" w:themeColor="text1" w:themeTint="BF"/>
        <w:szCs w:val="20"/>
      </w:rPr>
      <w:t xml:space="preserve"> (including </w:t>
    </w:r>
    <w:r w:rsidRPr="00735B21">
      <w:rPr>
        <w:rFonts w:asciiTheme="minorHAnsi" w:hAnsiTheme="minorHAnsi" w:cstheme="minorHAnsi"/>
        <w:color w:val="404040" w:themeColor="text1" w:themeTint="BF"/>
        <w:szCs w:val="20"/>
      </w:rPr>
      <w:t>$</w:t>
    </w:r>
    <w:r>
      <w:rPr>
        <w:rFonts w:asciiTheme="minorHAnsi" w:hAnsiTheme="minorHAnsi" w:cstheme="minorHAnsi"/>
        <w:color w:val="404040" w:themeColor="text1" w:themeTint="BF"/>
        <w:szCs w:val="20"/>
      </w:rPr>
      <w:t>0</w:t>
    </w:r>
    <w:r w:rsidRPr="00735B21">
      <w:rPr>
        <w:rFonts w:asciiTheme="minorHAnsi" w:hAnsiTheme="minorHAnsi" w:cstheme="minorHAnsi"/>
        <w:color w:val="404040" w:themeColor="text1" w:themeTint="BF"/>
        <w:szCs w:val="20"/>
      </w:rPr>
      <w:t xml:space="preserve"> on hand from the end of the 1</w:t>
    </w:r>
    <w:r>
      <w:rPr>
        <w:rFonts w:asciiTheme="minorHAnsi" w:hAnsiTheme="minorHAnsi" w:cstheme="minorHAnsi"/>
        <w:color w:val="404040" w:themeColor="text1" w:themeTint="BF"/>
        <w:szCs w:val="20"/>
      </w:rPr>
      <w:t>6</w:t>
    </w:r>
    <w:r w:rsidRPr="00735B21">
      <w:rPr>
        <w:rFonts w:asciiTheme="minorHAnsi" w:hAnsiTheme="minorHAnsi" w:cstheme="minorHAnsi"/>
        <w:color w:val="404040" w:themeColor="text1" w:themeTint="BF"/>
        <w:szCs w:val="20"/>
      </w:rPr>
      <w:t>-1</w:t>
    </w:r>
    <w:r>
      <w:rPr>
        <w:rFonts w:asciiTheme="minorHAnsi" w:hAnsiTheme="minorHAnsi" w:cstheme="minorHAnsi"/>
        <w:color w:val="404040" w:themeColor="text1" w:themeTint="BF"/>
        <w:szCs w:val="20"/>
      </w:rPr>
      <w:t>7 reporting period</w:t>
    </w:r>
    <w:r w:rsidRPr="00735B21">
      <w:rPr>
        <w:rFonts w:asciiTheme="minorHAnsi" w:hAnsiTheme="minorHAnsi" w:cstheme="minorHAnsi"/>
        <w:color w:val="404040" w:themeColor="text1" w:themeTint="BF"/>
        <w:szCs w:val="20"/>
      </w:rPr>
      <w:t xml:space="preserve">) </w:t>
    </w:r>
    <w:r w:rsidRPr="00735B21">
      <w:rPr>
        <w:rFonts w:asciiTheme="minorHAnsi" w:hAnsiTheme="minorHAnsi"/>
        <w:color w:val="404040" w:themeColor="text1" w:themeTint="BF"/>
        <w:szCs w:val="20"/>
      </w:rPr>
      <w:t xml:space="preserve">has been drawn from Salt Lake City HOME Program Income funds to support a total of </w:t>
    </w:r>
    <w:r>
      <w:rPr>
        <w:rFonts w:asciiTheme="minorHAnsi" w:hAnsiTheme="minorHAnsi"/>
        <w:color w:val="404040" w:themeColor="text1" w:themeTint="BF"/>
        <w:szCs w:val="20"/>
      </w:rPr>
      <w:t>seven</w:t>
    </w:r>
    <w:r w:rsidRPr="00735B21">
      <w:rPr>
        <w:rFonts w:asciiTheme="minorHAnsi" w:hAnsiTheme="minorHAnsi"/>
        <w:color w:val="404040" w:themeColor="text1" w:themeTint="BF"/>
        <w:szCs w:val="20"/>
      </w:rPr>
      <w:t xml:space="preserve"> projects. These projects include: </w:t>
    </w:r>
  </w:p>
  <w:p w14:paraId="56E1C906" w14:textId="77777777" w:rsidR="005F3FCF" w:rsidRPr="00735B21" w:rsidRDefault="005F3FCF" w:rsidP="00C91F30">
    <w:pPr>
      <w:numPr>
        <w:ilvl w:val="0"/>
        <w:numId w:val="22"/>
      </w:numPr>
      <w:spacing w:line="360" w:lineRule="auto"/>
      <w:ind w:right="360"/>
      <w:contextualSpacing/>
      <w:rPr>
        <w:rFonts w:asciiTheme="minorHAnsi" w:hAnsiTheme="minorHAnsi"/>
        <w:color w:val="404040" w:themeColor="text1" w:themeTint="BF"/>
        <w:szCs w:val="20"/>
      </w:rPr>
    </w:pPr>
    <w:r w:rsidRPr="00735B21">
      <w:rPr>
        <w:rFonts w:asciiTheme="minorHAnsi" w:hAnsiTheme="minorHAnsi"/>
        <w:color w:val="404040" w:themeColor="text1" w:themeTint="BF"/>
        <w:szCs w:val="20"/>
      </w:rPr>
      <w:t xml:space="preserve">New Development of Affordable Housing – </w:t>
    </w:r>
    <w:r>
      <w:rPr>
        <w:rFonts w:asciiTheme="minorHAnsi" w:hAnsiTheme="minorHAnsi"/>
        <w:color w:val="404040" w:themeColor="text1" w:themeTint="BF"/>
        <w:szCs w:val="20"/>
      </w:rPr>
      <w:t>14</w:t>
    </w:r>
    <w:r w:rsidRPr="00735B21">
      <w:rPr>
        <w:rFonts w:asciiTheme="minorHAnsi" w:hAnsiTheme="minorHAnsi"/>
        <w:color w:val="404040" w:themeColor="text1" w:themeTint="BF"/>
        <w:szCs w:val="20"/>
      </w:rPr>
      <w:t>% (1 project)</w:t>
    </w:r>
  </w:p>
  <w:p w14:paraId="2EE9E05E" w14:textId="77777777" w:rsidR="005F3FCF" w:rsidRPr="00735B21" w:rsidRDefault="005F3FCF" w:rsidP="00C91F30">
    <w:pPr>
      <w:numPr>
        <w:ilvl w:val="0"/>
        <w:numId w:val="22"/>
      </w:numPr>
      <w:spacing w:line="360" w:lineRule="auto"/>
      <w:ind w:right="360"/>
      <w:contextualSpacing/>
      <w:rPr>
        <w:rFonts w:asciiTheme="minorHAnsi" w:hAnsiTheme="minorHAnsi"/>
        <w:color w:val="404040" w:themeColor="text1" w:themeTint="BF"/>
        <w:szCs w:val="20"/>
      </w:rPr>
    </w:pPr>
    <w:r w:rsidRPr="00735B21">
      <w:rPr>
        <w:rFonts w:asciiTheme="minorHAnsi" w:hAnsiTheme="minorHAnsi"/>
        <w:color w:val="404040" w:themeColor="text1" w:themeTint="BF"/>
        <w:szCs w:val="20"/>
      </w:rPr>
      <w:t xml:space="preserve">First Time Homebuyer Assistance </w:t>
    </w:r>
    <w:r>
      <w:rPr>
        <w:rFonts w:asciiTheme="minorHAnsi" w:hAnsiTheme="minorHAnsi"/>
        <w:color w:val="404040" w:themeColor="text1" w:themeTint="BF"/>
        <w:szCs w:val="20"/>
      </w:rPr>
      <w:t>57</w:t>
    </w:r>
    <w:r w:rsidRPr="00735B21">
      <w:rPr>
        <w:rFonts w:asciiTheme="minorHAnsi" w:hAnsiTheme="minorHAnsi"/>
        <w:color w:val="404040" w:themeColor="text1" w:themeTint="BF"/>
        <w:szCs w:val="20"/>
      </w:rPr>
      <w:t>% (</w:t>
    </w:r>
    <w:r>
      <w:rPr>
        <w:rFonts w:asciiTheme="minorHAnsi" w:hAnsiTheme="minorHAnsi"/>
        <w:color w:val="404040" w:themeColor="text1" w:themeTint="BF"/>
        <w:szCs w:val="20"/>
      </w:rPr>
      <w:t>4</w:t>
    </w:r>
    <w:r w:rsidRPr="00735B21">
      <w:rPr>
        <w:rFonts w:asciiTheme="minorHAnsi" w:hAnsiTheme="minorHAnsi"/>
        <w:color w:val="404040" w:themeColor="text1" w:themeTint="BF"/>
        <w:szCs w:val="20"/>
      </w:rPr>
      <w:t xml:space="preserve"> projects)</w:t>
    </w:r>
  </w:p>
  <w:p w14:paraId="5D515348" w14:textId="77777777" w:rsidR="005F3FCF" w:rsidRPr="00F0490B" w:rsidRDefault="005F3FCF" w:rsidP="00C91F30">
    <w:pPr>
      <w:numPr>
        <w:ilvl w:val="0"/>
        <w:numId w:val="22"/>
      </w:numPr>
      <w:spacing w:line="360" w:lineRule="auto"/>
      <w:ind w:right="360"/>
      <w:contextualSpacing/>
      <w:rPr>
        <w:rFonts w:asciiTheme="minorHAnsi" w:hAnsiTheme="minorHAnsi"/>
        <w:b/>
        <w:color w:val="404040" w:themeColor="text1" w:themeTint="BF"/>
        <w:szCs w:val="20"/>
        <w:u w:val="single"/>
      </w:rPr>
    </w:pPr>
    <w:r w:rsidRPr="00735B21">
      <w:rPr>
        <w:rFonts w:asciiTheme="minorHAnsi" w:hAnsiTheme="minorHAnsi"/>
        <w:color w:val="404040" w:themeColor="text1" w:themeTint="BF"/>
        <w:szCs w:val="20"/>
      </w:rPr>
      <w:t>Tenant Based Rental Assistance 2</w:t>
    </w:r>
    <w:r>
      <w:rPr>
        <w:rFonts w:asciiTheme="minorHAnsi" w:hAnsiTheme="minorHAnsi"/>
        <w:color w:val="404040" w:themeColor="text1" w:themeTint="BF"/>
        <w:szCs w:val="20"/>
      </w:rPr>
      <w:t>9</w:t>
    </w:r>
    <w:r w:rsidRPr="00735B21">
      <w:rPr>
        <w:rFonts w:asciiTheme="minorHAnsi" w:hAnsiTheme="minorHAnsi"/>
        <w:color w:val="404040" w:themeColor="text1" w:themeTint="BF"/>
        <w:szCs w:val="20"/>
      </w:rPr>
      <w:t>% (</w:t>
    </w:r>
    <w:r>
      <w:rPr>
        <w:rFonts w:asciiTheme="minorHAnsi" w:hAnsiTheme="minorHAnsi"/>
        <w:color w:val="404040" w:themeColor="text1" w:themeTint="BF"/>
        <w:szCs w:val="20"/>
      </w:rPr>
      <w:t>2</w:t>
    </w:r>
    <w:r w:rsidRPr="00735B21">
      <w:rPr>
        <w:rFonts w:asciiTheme="minorHAnsi" w:hAnsiTheme="minorHAnsi"/>
        <w:color w:val="404040" w:themeColor="text1" w:themeTint="BF"/>
        <w:szCs w:val="20"/>
      </w:rPr>
      <w:t xml:space="preserve"> projects) </w:t>
    </w:r>
  </w:p>
  <w:p w14:paraId="13F4E8E5" w14:textId="77777777" w:rsidR="005F3FCF" w:rsidRPr="00735B21" w:rsidRDefault="005F3FCF" w:rsidP="00F0490B">
    <w:pPr>
      <w:spacing w:line="360" w:lineRule="auto"/>
      <w:ind w:left="360" w:right="360"/>
      <w:contextualSpacing/>
      <w:rPr>
        <w:rFonts w:asciiTheme="minorHAnsi" w:hAnsiTheme="minorHAnsi"/>
        <w:b/>
        <w:color w:val="404040" w:themeColor="text1" w:themeTint="BF"/>
        <w:szCs w:val="20"/>
        <w:u w:val="single"/>
      </w:rPr>
    </w:pPr>
  </w:p>
  <w:p w14:paraId="359756B5" w14:textId="77777777" w:rsidR="005F3FCF" w:rsidRPr="00735B21" w:rsidRDefault="005F3FCF" w:rsidP="00C91F30">
    <w:pPr>
      <w:spacing w:line="360" w:lineRule="auto"/>
      <w:ind w:right="360"/>
      <w:rPr>
        <w:rFonts w:asciiTheme="minorHAnsi" w:hAnsiTheme="minorHAnsi"/>
        <w:b/>
        <w:color w:val="404040" w:themeColor="text1" w:themeTint="BF"/>
        <w:szCs w:val="20"/>
        <w:u w:val="single"/>
      </w:rPr>
    </w:pPr>
    <w:r w:rsidRPr="00735B21">
      <w:rPr>
        <w:rFonts w:asciiTheme="minorHAnsi" w:hAnsiTheme="minorHAnsi"/>
        <w:b/>
        <w:color w:val="404040" w:themeColor="text1" w:themeTint="BF"/>
        <w:szCs w:val="20"/>
        <w:u w:val="single"/>
      </w:rPr>
      <w:t>Owner and Tenant Characteristics</w:t>
    </w:r>
  </w:p>
  <w:p w14:paraId="09E63C78" w14:textId="77777777" w:rsidR="005F3FCF" w:rsidRPr="00735B21" w:rsidRDefault="005F3FCF" w:rsidP="00C91F30">
    <w:pPr>
      <w:spacing w:line="360" w:lineRule="auto"/>
      <w:ind w:right="360"/>
      <w:rPr>
        <w:rFonts w:asciiTheme="minorHAnsi" w:hAnsiTheme="minorHAnsi"/>
        <w:color w:val="404040" w:themeColor="text1" w:themeTint="BF"/>
        <w:szCs w:val="20"/>
      </w:rPr>
    </w:pPr>
    <w:r w:rsidRPr="00735B21">
      <w:rPr>
        <w:rFonts w:asciiTheme="minorHAnsi" w:hAnsiTheme="minorHAnsi"/>
        <w:color w:val="404040" w:themeColor="text1" w:themeTint="BF"/>
        <w:szCs w:val="20"/>
      </w:rPr>
      <w:t xml:space="preserve">Of the </w:t>
    </w:r>
    <w:r>
      <w:rPr>
        <w:rFonts w:asciiTheme="minorHAnsi" w:hAnsiTheme="minorHAnsi"/>
        <w:color w:val="404040" w:themeColor="text1" w:themeTint="BF"/>
        <w:szCs w:val="20"/>
      </w:rPr>
      <w:t>seven</w:t>
    </w:r>
    <w:r w:rsidRPr="00735B21">
      <w:rPr>
        <w:rFonts w:asciiTheme="minorHAnsi" w:hAnsiTheme="minorHAnsi"/>
        <w:color w:val="404040" w:themeColor="text1" w:themeTint="BF"/>
        <w:szCs w:val="20"/>
      </w:rPr>
      <w:t xml:space="preserve"> projects funded, </w:t>
    </w:r>
    <w:r>
      <w:rPr>
        <w:rFonts w:asciiTheme="minorHAnsi" w:hAnsiTheme="minorHAnsi"/>
        <w:color w:val="404040" w:themeColor="text1" w:themeTint="BF"/>
        <w:szCs w:val="20"/>
      </w:rPr>
      <w:t>14</w:t>
    </w:r>
    <w:r w:rsidRPr="00735B21">
      <w:rPr>
        <w:rFonts w:asciiTheme="minorHAnsi" w:hAnsiTheme="minorHAnsi"/>
        <w:color w:val="404040" w:themeColor="text1" w:themeTint="BF"/>
        <w:szCs w:val="20"/>
      </w:rPr>
      <w:t xml:space="preserve">% were new development and </w:t>
    </w:r>
    <w:r>
      <w:rPr>
        <w:rFonts w:asciiTheme="minorHAnsi" w:hAnsiTheme="minorHAnsi"/>
        <w:color w:val="404040" w:themeColor="text1" w:themeTint="BF"/>
        <w:szCs w:val="20"/>
      </w:rPr>
      <w:t>57</w:t>
    </w:r>
    <w:r w:rsidRPr="00735B21">
      <w:rPr>
        <w:rFonts w:asciiTheme="minorHAnsi" w:hAnsiTheme="minorHAnsi"/>
        <w:color w:val="404040" w:themeColor="text1" w:themeTint="BF"/>
        <w:szCs w:val="20"/>
      </w:rPr>
      <w:t xml:space="preserve">% were first time homebuyer assistance. All activities served (or in the case of new development, marketed toward) households of 80% AMI or below. </w:t>
    </w:r>
    <w:r>
      <w:rPr>
        <w:rFonts w:asciiTheme="minorHAnsi" w:hAnsiTheme="minorHAnsi"/>
        <w:color w:val="404040" w:themeColor="text1" w:themeTint="BF"/>
        <w:szCs w:val="20"/>
      </w:rPr>
      <w:t>Two</w:t>
    </w:r>
    <w:r w:rsidRPr="00735B21">
      <w:rPr>
        <w:rFonts w:asciiTheme="minorHAnsi" w:hAnsiTheme="minorHAnsi"/>
        <w:color w:val="404040" w:themeColor="text1" w:themeTint="BF"/>
        <w:szCs w:val="20"/>
      </w:rPr>
      <w:t xml:space="preserve"> tenant-based rental assistance projects (or 2</w:t>
    </w:r>
    <w:r>
      <w:rPr>
        <w:rFonts w:asciiTheme="minorHAnsi" w:hAnsiTheme="minorHAnsi"/>
        <w:color w:val="404040" w:themeColor="text1" w:themeTint="BF"/>
        <w:szCs w:val="20"/>
      </w:rPr>
      <w:t>9</w:t>
    </w:r>
    <w:r w:rsidRPr="00735B21">
      <w:rPr>
        <w:rFonts w:asciiTheme="minorHAnsi" w:hAnsiTheme="minorHAnsi"/>
        <w:color w:val="404040" w:themeColor="text1" w:themeTint="BF"/>
        <w:szCs w:val="20"/>
      </w:rPr>
      <w:t>% of PI funded projects) were funded in part with HOME PI funds served homeless individuals at 0-30% AMI or below.</w:t>
    </w:r>
  </w:p>
  <w:p w14:paraId="60AA6B7C" w14:textId="77777777" w:rsidR="005F3FCF" w:rsidRPr="00F0490B" w:rsidRDefault="005F3FCF" w:rsidP="00F0490B">
    <w:pPr>
      <w:spacing w:line="360" w:lineRule="auto"/>
      <w:ind w:right="360"/>
      <w:rPr>
        <w:rFonts w:asciiTheme="minorHAnsi" w:hAnsiTheme="minorHAnsi"/>
        <w:color w:val="404040" w:themeColor="text1" w:themeTint="BF"/>
        <w:szCs w:val="20"/>
      </w:rPr>
    </w:pPr>
  </w:p>
  <w:p w14:paraId="04EA4E1D" w14:textId="77777777" w:rsidR="005F3FCF" w:rsidRPr="00735B21" w:rsidRDefault="005F3FCF" w:rsidP="00C91F30">
    <w:pPr>
      <w:spacing w:line="360" w:lineRule="auto"/>
      <w:ind w:right="360"/>
      <w:rPr>
        <w:rFonts w:asciiTheme="minorHAnsi" w:hAnsiTheme="minorHAnsi" w:cstheme="minorHAnsi"/>
        <w:b/>
        <w:color w:val="404040" w:themeColor="text1" w:themeTint="BF"/>
        <w:szCs w:val="20"/>
      </w:rPr>
    </w:pPr>
    <w:r w:rsidRPr="005F3FCF">
      <w:rPr>
        <w:rFonts w:asciiTheme="minorHAnsi" w:hAnsiTheme="minorHAnsi"/>
        <w:color w:val="404040" w:themeColor="text1" w:themeTint="BF"/>
        <w:szCs w:val="20"/>
      </w:rPr>
      <w:t>Describe</w:t>
    </w:r>
    <w:r w:rsidRPr="00735B21">
      <w:rPr>
        <w:rFonts w:asciiTheme="minorHAnsi" w:hAnsiTheme="minorHAnsi" w:cstheme="minorHAnsi"/>
        <w:b/>
        <w:color w:val="404040" w:themeColor="text1" w:themeTint="BF"/>
        <w:szCs w:val="20"/>
      </w:rPr>
      <w:t xml:space="preserve"> other actions taken to foster and maintain affordable housing. 92.220(k)</w:t>
    </w:r>
  </w:p>
  <w:p w14:paraId="2BC36EC0" w14:textId="77777777" w:rsidR="005F3FCF" w:rsidRPr="00735B21" w:rsidRDefault="005F3FCF" w:rsidP="005F3FCF">
    <w:pPr>
      <w:spacing w:line="360" w:lineRule="auto"/>
      <w:ind w:right="360"/>
      <w:rPr>
        <w:rFonts w:asciiTheme="minorHAnsi" w:hAnsiTheme="minorHAnsi"/>
        <w:color w:val="404040" w:themeColor="text1" w:themeTint="BF"/>
        <w:szCs w:val="20"/>
      </w:rPr>
    </w:pPr>
    <w:r w:rsidRPr="005F3FCF">
      <w:rPr>
        <w:rFonts w:asciiTheme="minorHAnsi" w:hAnsiTheme="minorHAnsi" w:cstheme="minorHAnsi"/>
        <w:b/>
        <w:color w:val="404040" w:themeColor="text1" w:themeTint="BF"/>
        <w:szCs w:val="20"/>
      </w:rPr>
      <w:t>During the last year, Salt Lake City has faced significant challenges to increasing</w:t>
    </w:r>
    <w:r w:rsidRPr="00735B21">
      <w:rPr>
        <w:rFonts w:asciiTheme="minorHAnsi" w:hAnsiTheme="minorHAnsi"/>
        <w:color w:val="404040" w:themeColor="text1" w:themeTint="BF"/>
        <w:szCs w:val="20"/>
      </w:rPr>
      <w:t xml:space="preserve"> the affordable housing opportunities in our city. The City continues to see significant demand for owner and renter-occupied housing and the resulting impact on the supply of affordable housing. Salt Lake City’s Division of Housing and Neighborhood Development utilized federal funding to expand housing opportunities for low and moderate-income households, as well as vulnerable and at-risk populations. These funds were leveraged with other community resources and efforts such as Low Income Housing Tax Credits, Salt Lake City’s Housing Trust Fund, and State of Utah Olene Walker Trust Fund. </w:t>
    </w:r>
  </w:p>
  <w:p w14:paraId="037C88C8" w14:textId="77777777" w:rsidR="005F3FCF" w:rsidRPr="00735B21" w:rsidRDefault="005F3FCF" w:rsidP="00C91F30">
    <w:pPr>
      <w:spacing w:line="360" w:lineRule="auto"/>
      <w:rPr>
        <w:rFonts w:asciiTheme="minorHAnsi" w:hAnsiTheme="minorHAnsi"/>
        <w:color w:val="404040" w:themeColor="text1" w:themeTint="BF"/>
        <w:szCs w:val="20"/>
      </w:rPr>
    </w:pPr>
  </w:p>
  <w:p w14:paraId="5B9809A4" w14:textId="77777777" w:rsidR="005F3FCF" w:rsidRPr="003D2034" w:rsidRDefault="005F3FCF" w:rsidP="00C91F30">
    <w:pPr>
      <w:spacing w:line="360" w:lineRule="auto"/>
      <w:rPr>
        <w:rFonts w:asciiTheme="minorHAnsi" w:hAnsiTheme="minorHAnsi"/>
        <w:color w:val="404040" w:themeColor="text1" w:themeTint="BF"/>
        <w:szCs w:val="20"/>
      </w:rPr>
    </w:pPr>
    <w:r w:rsidRPr="00735B21">
      <w:rPr>
        <w:rFonts w:asciiTheme="minorHAnsi" w:hAnsiTheme="minorHAnsi"/>
        <w:color w:val="404040" w:themeColor="text1" w:themeTint="BF"/>
        <w:szCs w:val="20"/>
      </w:rPr>
      <w:t>Salt Lake City utilized HOME funds to provide a wide range of activities including acquisition and rehabilitation/construction of affordable housing for homeownership, rehabilitation of existing homes, and providing direct rental assistance to low-income residents. HOME funding is targeted to households earning 0% to 80% AMI. In 201</w:t>
    </w:r>
    <w:r>
      <w:rPr>
        <w:rFonts w:asciiTheme="minorHAnsi" w:hAnsiTheme="minorHAnsi"/>
        <w:color w:val="404040" w:themeColor="text1" w:themeTint="BF"/>
        <w:szCs w:val="20"/>
      </w:rPr>
      <w:t>7</w:t>
    </w:r>
    <w:r w:rsidRPr="00735B21">
      <w:rPr>
        <w:rFonts w:asciiTheme="minorHAnsi" w:hAnsiTheme="minorHAnsi"/>
        <w:color w:val="404040" w:themeColor="text1" w:themeTint="BF"/>
        <w:szCs w:val="20"/>
      </w:rPr>
      <w:t>-1</w:t>
    </w:r>
    <w:r>
      <w:rPr>
        <w:rFonts w:asciiTheme="minorHAnsi" w:hAnsiTheme="minorHAnsi"/>
        <w:color w:val="404040" w:themeColor="text1" w:themeTint="BF"/>
        <w:szCs w:val="20"/>
      </w:rPr>
      <w:t>8</w:t>
    </w:r>
    <w:r w:rsidRPr="00735B21">
      <w:rPr>
        <w:rFonts w:asciiTheme="minorHAnsi" w:hAnsiTheme="minorHAnsi"/>
        <w:color w:val="404040" w:themeColor="text1" w:themeTint="BF"/>
        <w:szCs w:val="20"/>
      </w:rPr>
      <w:t xml:space="preserve">, </w:t>
    </w:r>
    <w:r>
      <w:rPr>
        <w:rFonts w:asciiTheme="minorHAnsi" w:hAnsiTheme="minorHAnsi"/>
        <w:color w:val="404040" w:themeColor="text1" w:themeTint="BF"/>
        <w:szCs w:val="20"/>
      </w:rPr>
      <w:t>86</w:t>
    </w:r>
    <w:r w:rsidRPr="00735B21">
      <w:rPr>
        <w:rFonts w:asciiTheme="minorHAnsi" w:hAnsiTheme="minorHAnsi"/>
        <w:color w:val="404040" w:themeColor="text1" w:themeTint="BF"/>
        <w:szCs w:val="20"/>
      </w:rPr>
      <w:t>% of the funding went directly to create or preserve affordable housing, or provide rental assistance.</w:t>
    </w:r>
  </w:p>
  <w:p w14:paraId="72B6C020" w14:textId="77777777" w:rsidR="005F3FCF" w:rsidRPr="005F3FCF" w:rsidRDefault="005F3FCF" w:rsidP="005F3FCF">
    <w:pPr>
      <w:spacing w:line="360" w:lineRule="auto"/>
      <w:rPr>
        <w:rFonts w:asciiTheme="minorHAnsi" w:hAnsiTheme="minorHAnsi"/>
        <w:color w:val="404040" w:themeColor="text1" w:themeTint="BF"/>
        <w:szCs w:val="20"/>
      </w:rPr>
    </w:pPr>
  </w:p>
  <w:p w14:paraId="67F58CE0" w14:textId="77777777" w:rsidR="005F3FCF" w:rsidRPr="005F3FCF" w:rsidRDefault="005F3FCF" w:rsidP="005F3FCF">
    <w:pPr>
      <w:spacing w:line="360" w:lineRule="auto"/>
      <w:rPr>
        <w:rFonts w:asciiTheme="minorHAnsi" w:hAnsiTheme="minorHAnsi"/>
        <w:color w:val="404040" w:themeColor="text1" w:themeTint="BF"/>
        <w:szCs w:val="20"/>
      </w:rPr>
    </w:pPr>
  </w:p>
  <w:p w14:paraId="522A53F3" w14:textId="77777777" w:rsidR="005F3FCF" w:rsidRPr="005F3FCF" w:rsidRDefault="005F3FCF" w:rsidP="005F3FCF">
    <w:pPr>
      <w:spacing w:line="360" w:lineRule="auto"/>
      <w:rPr>
        <w:rFonts w:asciiTheme="minorHAnsi" w:hAnsiTheme="minorHAnsi"/>
        <w:color w:val="404040" w:themeColor="text1" w:themeTint="BF"/>
        <w:szCs w:val="20"/>
      </w:rPr>
    </w:pPr>
  </w:p>
  <w:p w14:paraId="3CE384AB" w14:textId="77777777" w:rsidR="005F3FCF" w:rsidRPr="005F3FCF" w:rsidRDefault="005F3FCF" w:rsidP="005F3FCF">
    <w:pPr>
      <w:spacing w:line="360" w:lineRule="auto"/>
      <w:rPr>
        <w:rFonts w:asciiTheme="minorHAnsi" w:hAnsiTheme="minorHAnsi"/>
        <w:color w:val="404040" w:themeColor="text1" w:themeTint="BF"/>
        <w:szCs w:val="20"/>
      </w:rPr>
    </w:pPr>
  </w:p>
  <w:p w14:paraId="7F656377" w14:textId="77777777" w:rsidR="005F3FCF" w:rsidRPr="005F3FCF" w:rsidRDefault="005F3FCF" w:rsidP="005F3FCF">
    <w:pPr>
      <w:spacing w:line="360" w:lineRule="auto"/>
      <w:rPr>
        <w:rFonts w:asciiTheme="minorHAnsi" w:hAnsiTheme="minorHAnsi"/>
        <w:color w:val="404040" w:themeColor="text1" w:themeTint="BF"/>
        <w:szCs w:val="20"/>
      </w:rPr>
    </w:pPr>
  </w:p>
  <w:p w14:paraId="6FA5DA24" w14:textId="77777777" w:rsidR="005F3FCF" w:rsidRPr="005F3FCF" w:rsidRDefault="005F3FCF" w:rsidP="005F3FCF">
    <w:pPr>
      <w:spacing w:line="360" w:lineRule="auto"/>
      <w:rPr>
        <w:rFonts w:asciiTheme="minorHAnsi" w:hAnsiTheme="minorHAnsi"/>
        <w:color w:val="404040" w:themeColor="text1" w:themeTint="BF"/>
        <w:szCs w:val="20"/>
      </w:rPr>
    </w:pPr>
  </w:p>
  <w:p w14:paraId="48AE987B" w14:textId="77777777" w:rsidR="005F3FCF" w:rsidRPr="005F3FCF" w:rsidRDefault="005F3FCF" w:rsidP="005F3FCF">
    <w:pPr>
      <w:spacing w:line="360" w:lineRule="auto"/>
      <w:rPr>
        <w:rFonts w:asciiTheme="minorHAnsi" w:hAnsiTheme="minorHAnsi"/>
        <w:color w:val="404040" w:themeColor="text1" w:themeTint="BF"/>
        <w:szCs w:val="20"/>
      </w:rPr>
    </w:pPr>
  </w:p>
  <w:p w14:paraId="6D1C74D5" w14:textId="77777777" w:rsidR="005F3FCF" w:rsidRPr="005F3FCF" w:rsidRDefault="005F3FCF" w:rsidP="005F3FCF">
    <w:pPr>
      <w:spacing w:line="360" w:lineRule="auto"/>
      <w:rPr>
        <w:rFonts w:asciiTheme="minorHAnsi" w:hAnsiTheme="minorHAnsi"/>
        <w:color w:val="404040" w:themeColor="text1" w:themeTint="BF"/>
        <w:szCs w:val="20"/>
      </w:rPr>
    </w:pPr>
  </w:p>
  <w:p w14:paraId="77BAFA86" w14:textId="77777777" w:rsidR="005F3FCF" w:rsidRPr="005F3FCF" w:rsidRDefault="005F3FCF" w:rsidP="005F3FCF">
    <w:pPr>
      <w:spacing w:line="360" w:lineRule="auto"/>
      <w:rPr>
        <w:rFonts w:asciiTheme="minorHAnsi" w:hAnsiTheme="minorHAnsi"/>
        <w:color w:val="404040" w:themeColor="text1" w:themeTint="BF"/>
        <w:szCs w:val="20"/>
      </w:rPr>
    </w:pPr>
  </w:p>
  <w:p w14:paraId="5B29DD4A" w14:textId="77777777" w:rsidR="005F3FCF" w:rsidRPr="005F3FCF" w:rsidRDefault="005F3FCF" w:rsidP="005F3FCF">
    <w:pPr>
      <w:spacing w:line="360" w:lineRule="auto"/>
      <w:rPr>
        <w:rFonts w:asciiTheme="minorHAnsi" w:hAnsiTheme="minorHAnsi"/>
        <w:color w:val="404040" w:themeColor="text1" w:themeTint="BF"/>
        <w:szCs w:val="20"/>
      </w:rPr>
    </w:pPr>
  </w:p>
  <w:p w14:paraId="701B4E66" w14:textId="77777777" w:rsidR="005F3FCF" w:rsidRPr="005F3FCF" w:rsidRDefault="005F3FCF" w:rsidP="005F3FCF">
    <w:pPr>
      <w:spacing w:line="360" w:lineRule="auto"/>
      <w:rPr>
        <w:rFonts w:asciiTheme="minorHAnsi" w:hAnsiTheme="minorHAnsi"/>
        <w:color w:val="404040" w:themeColor="text1" w:themeTint="BF"/>
        <w:szCs w:val="20"/>
      </w:rPr>
    </w:pPr>
  </w:p>
  <w:p w14:paraId="629B9C2F" w14:textId="77777777" w:rsidR="005F3FCF" w:rsidRPr="005F3FCF" w:rsidRDefault="005F3FCF" w:rsidP="005F3FCF">
    <w:pPr>
      <w:spacing w:line="360" w:lineRule="auto"/>
      <w:rPr>
        <w:rFonts w:asciiTheme="minorHAnsi" w:hAnsiTheme="minorHAnsi"/>
        <w:color w:val="404040" w:themeColor="text1" w:themeTint="BF"/>
        <w:szCs w:val="20"/>
      </w:rPr>
    </w:pPr>
  </w:p>
  <w:p w14:paraId="06C39E1B" w14:textId="77777777" w:rsidR="005F3FCF" w:rsidRPr="005F3FCF" w:rsidRDefault="005F3FCF" w:rsidP="005F3FCF">
    <w:pPr>
      <w:spacing w:line="360" w:lineRule="auto"/>
      <w:rPr>
        <w:rFonts w:asciiTheme="minorHAnsi" w:hAnsiTheme="minorHAnsi"/>
        <w:color w:val="404040" w:themeColor="text1" w:themeTint="BF"/>
        <w:szCs w:val="20"/>
      </w:rPr>
    </w:pPr>
  </w:p>
  <w:p w14:paraId="19951BEC" w14:textId="77777777" w:rsidR="005F3FCF" w:rsidRPr="005F3FCF" w:rsidRDefault="005F3FCF" w:rsidP="005F3FCF">
    <w:pPr>
      <w:spacing w:line="360" w:lineRule="auto"/>
      <w:rPr>
        <w:rFonts w:asciiTheme="minorHAnsi" w:hAnsiTheme="minorHAnsi"/>
        <w:color w:val="404040" w:themeColor="text1" w:themeTint="BF"/>
        <w:szCs w:val="20"/>
      </w:rPr>
    </w:pPr>
  </w:p>
  <w:p w14:paraId="085CE35C" w14:textId="77777777" w:rsidR="005F3FCF" w:rsidRPr="005F3FCF" w:rsidRDefault="005F3FCF" w:rsidP="005F3FCF">
    <w:pPr>
      <w:spacing w:line="360" w:lineRule="auto"/>
      <w:rPr>
        <w:rFonts w:asciiTheme="minorHAnsi" w:hAnsiTheme="minorHAnsi"/>
        <w:color w:val="404040" w:themeColor="text1" w:themeTint="BF"/>
        <w:szCs w:val="20"/>
      </w:rPr>
    </w:pPr>
  </w:p>
  <w:p w14:paraId="6E8B03DB" w14:textId="77777777" w:rsidR="005F3FCF" w:rsidRPr="005F3FCF" w:rsidRDefault="005F3FCF" w:rsidP="005F3FCF">
    <w:pPr>
      <w:spacing w:line="360" w:lineRule="auto"/>
      <w:rPr>
        <w:rFonts w:asciiTheme="minorHAnsi" w:hAnsiTheme="minorHAnsi"/>
        <w:color w:val="404040" w:themeColor="text1" w:themeTint="BF"/>
        <w:szCs w:val="20"/>
      </w:rPr>
    </w:pPr>
  </w:p>
  <w:p w14:paraId="661FD4AE" w14:textId="77777777" w:rsidR="005F3FCF" w:rsidRPr="005F3FCF" w:rsidRDefault="005F3FCF" w:rsidP="005F3FCF">
    <w:pPr>
      <w:spacing w:line="360" w:lineRule="auto"/>
      <w:rPr>
        <w:rFonts w:asciiTheme="minorHAnsi" w:hAnsiTheme="minorHAnsi"/>
        <w:color w:val="404040" w:themeColor="text1" w:themeTint="BF"/>
        <w:szCs w:val="20"/>
      </w:rPr>
    </w:pPr>
  </w:p>
  <w:p w14:paraId="6E2EF53E" w14:textId="77777777" w:rsidR="005F3FCF" w:rsidRPr="005F3FCF" w:rsidRDefault="005F3FCF" w:rsidP="005F3FCF">
    <w:pPr>
      <w:spacing w:line="360" w:lineRule="auto"/>
      <w:rPr>
        <w:rFonts w:asciiTheme="minorHAnsi" w:hAnsiTheme="minorHAnsi"/>
        <w:color w:val="404040" w:themeColor="text1" w:themeTint="BF"/>
        <w:szCs w:val="20"/>
      </w:rPr>
    </w:pPr>
  </w:p>
  <w:p w14:paraId="1A834A28" w14:textId="77777777" w:rsidR="005F3FCF" w:rsidRPr="005F3FCF" w:rsidRDefault="005F3FCF" w:rsidP="005F3FCF">
    <w:pPr>
      <w:spacing w:line="360" w:lineRule="auto"/>
      <w:rPr>
        <w:rFonts w:asciiTheme="minorHAnsi" w:hAnsiTheme="minorHAnsi"/>
        <w:color w:val="404040" w:themeColor="text1" w:themeTint="BF"/>
        <w:szCs w:val="20"/>
      </w:rPr>
    </w:pPr>
  </w:p>
  <w:p w14:paraId="39C0931C" w14:textId="77777777" w:rsidR="005F3FCF" w:rsidRPr="005F3FCF" w:rsidRDefault="005F3FCF" w:rsidP="005F3FCF">
    <w:pPr>
      <w:spacing w:line="360" w:lineRule="auto"/>
      <w:rPr>
        <w:rFonts w:asciiTheme="minorHAnsi" w:hAnsiTheme="minorHAnsi"/>
        <w:color w:val="404040" w:themeColor="text1" w:themeTint="BF"/>
        <w:szCs w:val="20"/>
      </w:rPr>
    </w:pPr>
  </w:p>
  <w:p w14:paraId="2BD863F4" w14:textId="77777777" w:rsidR="005F3FCF" w:rsidRPr="005F3FCF" w:rsidRDefault="005F3FCF" w:rsidP="005F3FCF">
    <w:pPr>
      <w:spacing w:line="360" w:lineRule="auto"/>
      <w:rPr>
        <w:rFonts w:asciiTheme="minorHAnsi" w:hAnsiTheme="minorHAnsi"/>
        <w:color w:val="404040" w:themeColor="text1" w:themeTint="BF"/>
        <w:szCs w:val="20"/>
      </w:rPr>
    </w:pPr>
  </w:p>
  <w:p w14:paraId="277F45C2" w14:textId="77777777" w:rsidR="005F3FCF" w:rsidRPr="005F3FCF" w:rsidRDefault="005F3FCF" w:rsidP="005F3FCF">
    <w:pPr>
      <w:spacing w:line="360" w:lineRule="auto"/>
      <w:rPr>
        <w:rFonts w:asciiTheme="minorHAnsi" w:hAnsiTheme="minorHAnsi"/>
        <w:color w:val="404040" w:themeColor="text1" w:themeTint="BF"/>
        <w:szCs w:val="20"/>
      </w:rPr>
    </w:pPr>
  </w:p>
  <w:p w14:paraId="58A3ED34" w14:textId="77777777" w:rsidR="005F3FCF" w:rsidRPr="005F3FCF" w:rsidRDefault="005F3FCF" w:rsidP="005F3FCF">
    <w:pPr>
      <w:spacing w:line="360" w:lineRule="auto"/>
      <w:rPr>
        <w:rFonts w:asciiTheme="minorHAnsi" w:hAnsiTheme="minorHAnsi"/>
        <w:color w:val="404040" w:themeColor="text1" w:themeTint="BF"/>
        <w:szCs w:val="20"/>
      </w:rPr>
    </w:pPr>
  </w:p>
  <w:p w14:paraId="23CFD9E8" w14:textId="77777777" w:rsidR="005F3FCF" w:rsidRPr="005F3FCF" w:rsidRDefault="005F3FCF" w:rsidP="005F3FCF">
    <w:pPr>
      <w:spacing w:line="360" w:lineRule="auto"/>
      <w:rPr>
        <w:rFonts w:asciiTheme="minorHAnsi" w:hAnsiTheme="minorHAnsi"/>
        <w:color w:val="404040" w:themeColor="text1" w:themeTint="BF"/>
        <w:szCs w:val="20"/>
      </w:rPr>
    </w:pPr>
  </w:p>
  <w:p w14:paraId="77E74FFA" w14:textId="77777777" w:rsidR="005F3FCF" w:rsidRPr="005F3FCF" w:rsidRDefault="005F3FCF" w:rsidP="005F3FCF">
    <w:pPr>
      <w:spacing w:line="360" w:lineRule="auto"/>
      <w:rPr>
        <w:rFonts w:asciiTheme="minorHAnsi" w:hAnsiTheme="minorHAnsi"/>
        <w:color w:val="404040" w:themeColor="text1" w:themeTint="BF"/>
        <w:szCs w:val="20"/>
      </w:rPr>
    </w:pPr>
  </w:p>
  <w:p w14:paraId="7FF41A95" w14:textId="77777777" w:rsidR="005F3FCF" w:rsidRPr="005F3FCF" w:rsidRDefault="005F3FCF" w:rsidP="005F3FCF">
    <w:pPr>
      <w:spacing w:line="360" w:lineRule="auto"/>
      <w:rPr>
        <w:rFonts w:asciiTheme="minorHAnsi" w:hAnsiTheme="minorHAnsi"/>
        <w:color w:val="404040" w:themeColor="text1" w:themeTint="BF"/>
        <w:szCs w:val="20"/>
      </w:rPr>
    </w:pPr>
  </w:p>
  <w:p w14:paraId="52ACD491" w14:textId="77777777" w:rsidR="005F3FCF" w:rsidRPr="005F3FCF" w:rsidRDefault="005F3FCF" w:rsidP="005F3FCF">
    <w:pPr>
      <w:spacing w:line="360" w:lineRule="auto"/>
      <w:rPr>
        <w:rFonts w:asciiTheme="minorHAnsi" w:hAnsiTheme="minorHAnsi"/>
        <w:color w:val="404040" w:themeColor="text1" w:themeTint="BF"/>
        <w:szCs w:val="20"/>
      </w:rPr>
    </w:pPr>
  </w:p>
  <w:p w14:paraId="4B63A40E" w14:textId="77777777" w:rsidR="005F3FCF" w:rsidRPr="005F3FCF" w:rsidRDefault="005F3FCF" w:rsidP="005F3FCF">
    <w:pPr>
      <w:spacing w:line="360" w:lineRule="auto"/>
      <w:rPr>
        <w:rFonts w:asciiTheme="minorHAnsi" w:hAnsiTheme="minorHAnsi"/>
        <w:color w:val="404040" w:themeColor="text1" w:themeTint="BF"/>
        <w:szCs w:val="20"/>
      </w:rPr>
    </w:pPr>
  </w:p>
  <w:p w14:paraId="48997DB5" w14:textId="77777777" w:rsidR="005F3FCF" w:rsidRPr="005F3FCF" w:rsidRDefault="005F3FCF" w:rsidP="005F3FCF">
    <w:pPr>
      <w:spacing w:line="360" w:lineRule="auto"/>
      <w:rPr>
        <w:rFonts w:asciiTheme="minorHAnsi" w:hAnsiTheme="minorHAnsi"/>
        <w:color w:val="404040" w:themeColor="text1" w:themeTint="BF"/>
        <w:szCs w:val="20"/>
      </w:rPr>
    </w:pPr>
    <w:r w:rsidRPr="005F3FCF">
      <w:rPr>
        <w:rFonts w:asciiTheme="minorHAnsi" w:hAnsiTheme="minorHAnsi"/>
        <w:color w:val="404040" w:themeColor="text1" w:themeTint="BF"/>
        <w:szCs w:val="20"/>
      </w:rPr>
      <w:t xml:space="preserve">CR-55 HOPWA – 91.520 (e) </w:t>
    </w:r>
  </w:p>
  <w:p w14:paraId="6B02446F" w14:textId="77777777" w:rsidR="00110B73" w:rsidRDefault="00110B73">
    <w:pPr>
      <w:pStyle w:val="Footer"/>
      <w:rPr>
        <w:color w:val="993300"/>
      </w:rPr>
    </w:pPr>
    <w:r>
      <w:fldChar w:fldCharType="end"/>
    </w:r>
    <w:r>
      <w:rPr>
        <w:color w:val="993300"/>
      </w:rPr>
      <w:t xml:space="preserve"> – 2010-2011</w:t>
    </w:r>
    <w:r>
      <w:rPr>
        <w:color w:val="993300"/>
      </w:rPr>
      <w:tab/>
    </w:r>
    <w:r>
      <w:rPr>
        <w:rStyle w:val="PageNumber"/>
        <w:color w:val="993300"/>
      </w:rPr>
      <w:fldChar w:fldCharType="begin"/>
    </w:r>
    <w:r>
      <w:rPr>
        <w:rStyle w:val="PageNumber"/>
        <w:color w:val="993300"/>
      </w:rPr>
      <w:instrText xml:space="preserve"> PAGE </w:instrText>
    </w:r>
    <w:r>
      <w:rPr>
        <w:rStyle w:val="PageNumber"/>
        <w:color w:val="993300"/>
      </w:rPr>
      <w:fldChar w:fldCharType="separate"/>
    </w:r>
    <w:r>
      <w:rPr>
        <w:rStyle w:val="PageNumber"/>
        <w:noProof/>
        <w:color w:val="993300"/>
      </w:rPr>
      <w:t>1</w:t>
    </w:r>
    <w:r>
      <w:rPr>
        <w:rStyle w:val="PageNumber"/>
        <w:color w:val="993300"/>
      </w:rPr>
      <w:fldChar w:fldCharType="end"/>
    </w:r>
    <w:r>
      <w:rPr>
        <w:rStyle w:val="PageNumber"/>
        <w:color w:val="993300"/>
      </w:rPr>
      <w:tab/>
    </w:r>
    <w:r>
      <w:rPr>
        <w:rStyle w:val="PageNumber"/>
        <w:color w:val="993300"/>
      </w:rPr>
      <w:fldChar w:fldCharType="begin"/>
    </w:r>
    <w:r>
      <w:rPr>
        <w:rStyle w:val="PageNumber"/>
        <w:color w:val="993300"/>
      </w:rPr>
      <w:instrText xml:space="preserve"> LINK Excel.Sheet.8 "\\\\slcinas2\\capplanning\\common\\2010 ConPlan\\1st Year CAPER\\1CPMP.xls" Links!R5C51 \a \t </w:instrText>
    </w:r>
    <w:r>
      <w:rPr>
        <w:rFonts w:ascii="Times New Roman" w:hAnsi="Times New Roman"/>
        <w:szCs w:val="20"/>
      </w:rPr>
      <w:fldChar w:fldCharType="separate"/>
    </w:r>
    <w:r>
      <w:rPr>
        <w:rFonts w:ascii="Times New Roman" w:hAnsi="Times New Roman"/>
        <w:b/>
        <w:bCs/>
        <w:szCs w:val="20"/>
      </w:rPr>
      <w:t>Error! Not a valid link.</w:t>
    </w:r>
    <w:r>
      <w:rPr>
        <w:rStyle w:val="PageNumber"/>
        <w:color w:val="99330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92933" w14:textId="77777777" w:rsidR="00110B73" w:rsidRPr="00C91F30" w:rsidRDefault="00110B73" w:rsidP="00C91F30">
    <w:pPr>
      <w:pStyle w:val="Footer"/>
      <w:pBdr>
        <w:top w:val="single" w:sz="4" w:space="0" w:color="D9D9D9"/>
      </w:pBdr>
      <w:jc w:val="right"/>
      <w:rPr>
        <w:color w:val="404040"/>
        <w:sz w:val="16"/>
        <w:szCs w:val="16"/>
      </w:rPr>
    </w:pPr>
    <w:r w:rsidRPr="00C91F30">
      <w:rPr>
        <w:b/>
        <w:color w:val="404040"/>
        <w:sz w:val="16"/>
        <w:szCs w:val="16"/>
      </w:rPr>
      <w:fldChar w:fldCharType="begin"/>
    </w:r>
    <w:r w:rsidRPr="00C91F30">
      <w:rPr>
        <w:b/>
        <w:color w:val="404040"/>
        <w:sz w:val="16"/>
        <w:szCs w:val="16"/>
      </w:rPr>
      <w:instrText xml:space="preserve"> PAGE   \* MERGEFORMAT </w:instrText>
    </w:r>
    <w:r w:rsidRPr="00C91F30">
      <w:rPr>
        <w:b/>
        <w:color w:val="404040"/>
        <w:sz w:val="16"/>
        <w:szCs w:val="16"/>
      </w:rPr>
      <w:fldChar w:fldCharType="separate"/>
    </w:r>
    <w:r w:rsidR="00EB09FD">
      <w:rPr>
        <w:b/>
        <w:noProof/>
        <w:color w:val="404040"/>
        <w:sz w:val="16"/>
        <w:szCs w:val="16"/>
      </w:rPr>
      <w:t>55</w:t>
    </w:r>
    <w:r w:rsidRPr="00C91F30">
      <w:rPr>
        <w:b/>
        <w:color w:val="404040"/>
        <w:sz w:val="16"/>
        <w:szCs w:val="16"/>
      </w:rPr>
      <w:fldChar w:fldCharType="end"/>
    </w:r>
    <w:r w:rsidRPr="00C91F30">
      <w:rPr>
        <w:color w:val="404040"/>
        <w:sz w:val="16"/>
        <w:szCs w:val="16"/>
      </w:rPr>
      <w:t xml:space="preserve"> </w:t>
    </w:r>
    <w:r w:rsidRPr="00C91F30">
      <w:rPr>
        <w:color w:val="ACB9CA"/>
        <w:sz w:val="16"/>
        <w:szCs w:val="16"/>
      </w:rPr>
      <w:t>|</w:t>
    </w:r>
    <w:r w:rsidRPr="00C91F30">
      <w:rPr>
        <w:color w:val="404040"/>
        <w:sz w:val="16"/>
        <w:szCs w:val="16"/>
      </w:rPr>
      <w:t xml:space="preserve"> </w:t>
    </w:r>
    <w:r w:rsidRPr="00C91F30">
      <w:rPr>
        <w:b/>
        <w:color w:val="404040"/>
        <w:spacing w:val="60"/>
        <w:sz w:val="16"/>
        <w:szCs w:val="16"/>
      </w:rPr>
      <w:t>Page</w:t>
    </w:r>
  </w:p>
  <w:p w14:paraId="3D0E3D3A" w14:textId="77777777" w:rsidR="00110B73" w:rsidRPr="00C91F30" w:rsidRDefault="00110B73">
    <w:pPr>
      <w:pStyle w:val="Footer"/>
      <w:rPr>
        <w:color w:val="404040"/>
        <w:sz w:val="16"/>
        <w:szCs w:val="16"/>
      </w:rPr>
    </w:pPr>
    <w:r w:rsidRPr="00C91F30">
      <w:rPr>
        <w:color w:val="404040"/>
        <w:sz w:val="16"/>
        <w:szCs w:val="16"/>
      </w:rPr>
      <w:t>SALT LAKE CITY CORPORATION</w:t>
    </w:r>
  </w:p>
  <w:p w14:paraId="664FC0A5" w14:textId="1983A48E" w:rsidR="00110B73" w:rsidRPr="00C91F30" w:rsidRDefault="00110B73">
    <w:pPr>
      <w:pStyle w:val="Footer"/>
      <w:rPr>
        <w:color w:val="404040"/>
        <w:sz w:val="16"/>
        <w:szCs w:val="16"/>
      </w:rPr>
    </w:pPr>
    <w:r w:rsidRPr="00C91F30">
      <w:rPr>
        <w:color w:val="404040"/>
        <w:sz w:val="16"/>
        <w:szCs w:val="16"/>
      </w:rPr>
      <w:t>2017-2018 CAPER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5253B" w14:textId="77777777" w:rsidR="00110B73" w:rsidRPr="00F63646" w:rsidRDefault="00110B73">
    <w:pPr>
      <w:pStyle w:val="Footer"/>
      <w:pBdr>
        <w:top w:val="thickThinSmallGap" w:sz="24" w:space="2" w:color="993300"/>
      </w:pBdr>
      <w:rPr>
        <w:color w:val="993300"/>
        <w:sz w:val="18"/>
        <w:szCs w:val="18"/>
      </w:rPr>
    </w:pPr>
    <w:r w:rsidRPr="00F63646">
      <w:rPr>
        <w:color w:val="993300"/>
        <w:sz w:val="18"/>
        <w:szCs w:val="18"/>
      </w:rPr>
      <w:t>Salt Lake City Corporation</w:t>
    </w:r>
  </w:p>
  <w:p w14:paraId="3A482573" w14:textId="77777777" w:rsidR="005F3FCF" w:rsidRPr="005F3FCF" w:rsidRDefault="00110B73" w:rsidP="005F3FCF">
    <w:pPr>
      <w:pStyle w:val="Footer"/>
      <w:rPr>
        <w:color w:val="993300"/>
      </w:rPr>
    </w:pPr>
    <w:r>
      <w:fldChar w:fldCharType="begin"/>
    </w:r>
    <w:r>
      <w:instrText xml:space="preserve"> REF Title Title2  \* MERGEFORMAT </w:instrText>
    </w:r>
    <w:r>
      <w:fldChar w:fldCharType="separate"/>
    </w:r>
  </w:p>
  <w:p w14:paraId="7CD16E09" w14:textId="77777777" w:rsidR="005F3FCF" w:rsidRPr="005F3FCF" w:rsidRDefault="005F3FCF" w:rsidP="005F3FCF">
    <w:pPr>
      <w:pStyle w:val="Footer"/>
      <w:rPr>
        <w:color w:val="993300"/>
      </w:rPr>
    </w:pPr>
  </w:p>
  <w:p w14:paraId="0977577E" w14:textId="77777777" w:rsidR="005F3FCF" w:rsidRPr="005F3FCF" w:rsidRDefault="005F3FCF" w:rsidP="005F3FCF">
    <w:pPr>
      <w:pStyle w:val="Footer"/>
      <w:rPr>
        <w:color w:val="993300"/>
      </w:rPr>
    </w:pPr>
  </w:p>
  <w:p w14:paraId="426438F1" w14:textId="77777777" w:rsidR="005F3FCF" w:rsidRPr="005F3FCF" w:rsidRDefault="005F3FCF" w:rsidP="005F3FCF">
    <w:pPr>
      <w:pStyle w:val="Footer"/>
      <w:rPr>
        <w:color w:val="993300"/>
      </w:rPr>
    </w:pPr>
  </w:p>
  <w:p w14:paraId="19E949EC" w14:textId="77777777" w:rsidR="005F3FCF" w:rsidRPr="005F3FCF" w:rsidRDefault="005F3FCF" w:rsidP="005F3FCF">
    <w:pPr>
      <w:pStyle w:val="Footer"/>
      <w:rPr>
        <w:rFonts w:ascii="Arial" w:hAnsi="Arial" w:cs="Arial"/>
        <w:b/>
        <w:color w:val="FF0000"/>
        <w:sz w:val="40"/>
        <w:szCs w:val="40"/>
      </w:rPr>
    </w:pPr>
  </w:p>
  <w:p w14:paraId="25C5AA71" w14:textId="77777777" w:rsidR="005F3FCF" w:rsidRPr="005F3FCF" w:rsidRDefault="005F3FCF" w:rsidP="005F3FCF">
    <w:pPr>
      <w:pStyle w:val="Footer"/>
      <w:rPr>
        <w:color w:val="993300"/>
      </w:rPr>
    </w:pPr>
  </w:p>
  <w:p w14:paraId="2B28845F" w14:textId="77777777" w:rsidR="005F3FCF" w:rsidRPr="005F3FCF" w:rsidRDefault="005F3FCF" w:rsidP="005F3FCF">
    <w:pPr>
      <w:pStyle w:val="Footer"/>
      <w:rPr>
        <w:b/>
        <w:sz w:val="44"/>
      </w:rPr>
    </w:pPr>
  </w:p>
  <w:p w14:paraId="4C6B09C0" w14:textId="77777777" w:rsidR="005F3FCF" w:rsidRPr="005F3FCF" w:rsidRDefault="005F3FCF" w:rsidP="005F3FCF">
    <w:pPr>
      <w:pStyle w:val="Footer"/>
      <w:rPr>
        <w:rFonts w:ascii="Arial" w:hAnsi="Arial" w:cs="Arial"/>
        <w:b/>
        <w:sz w:val="40"/>
        <w:szCs w:val="40"/>
      </w:rPr>
    </w:pPr>
  </w:p>
  <w:p w14:paraId="4161F167" w14:textId="77777777" w:rsidR="005F3FCF" w:rsidRPr="005F3FCF" w:rsidRDefault="005F3FCF" w:rsidP="005F3FCF">
    <w:pPr>
      <w:pStyle w:val="Footer"/>
      <w:rPr>
        <w:rFonts w:ascii="Arial" w:hAnsi="Arial" w:cs="Arial"/>
        <w:b/>
        <w:sz w:val="40"/>
        <w:szCs w:val="40"/>
      </w:rPr>
    </w:pPr>
  </w:p>
  <w:p w14:paraId="6576D069" w14:textId="77777777" w:rsidR="005F3FCF" w:rsidRPr="005F3FCF" w:rsidRDefault="005F3FCF" w:rsidP="005F3FCF">
    <w:pPr>
      <w:pStyle w:val="Footer"/>
      <w:rPr>
        <w:rFonts w:ascii="Arial" w:hAnsi="Arial" w:cs="Arial"/>
        <w:b/>
        <w:sz w:val="40"/>
        <w:szCs w:val="40"/>
      </w:rPr>
    </w:pPr>
  </w:p>
  <w:p w14:paraId="1A263DBD" w14:textId="77777777" w:rsidR="005F3FCF" w:rsidRPr="005F3FCF" w:rsidRDefault="005F3FCF" w:rsidP="005F3FCF">
    <w:pPr>
      <w:pStyle w:val="Footer"/>
      <w:rPr>
        <w:rFonts w:ascii="Arial" w:hAnsi="Arial" w:cs="Arial"/>
        <w:b/>
        <w:sz w:val="40"/>
        <w:szCs w:val="40"/>
      </w:rPr>
    </w:pPr>
  </w:p>
  <w:p w14:paraId="481B3D39" w14:textId="77777777" w:rsidR="005F3FCF" w:rsidRPr="005F3FCF" w:rsidRDefault="005F3FCF" w:rsidP="005F3FCF">
    <w:pPr>
      <w:pStyle w:val="Footer"/>
      <w:rPr>
        <w:rFonts w:ascii="Arial" w:hAnsi="Arial" w:cs="Arial"/>
        <w:b/>
        <w:sz w:val="40"/>
        <w:szCs w:val="40"/>
      </w:rPr>
    </w:pPr>
  </w:p>
  <w:p w14:paraId="58088B13" w14:textId="77777777" w:rsidR="005F3FCF" w:rsidRPr="005F3FCF" w:rsidRDefault="005F3FCF" w:rsidP="005F3FCF">
    <w:pPr>
      <w:pStyle w:val="Footer"/>
      <w:rPr>
        <w:rFonts w:ascii="Arial" w:hAnsi="Arial" w:cs="Arial"/>
        <w:b/>
        <w:sz w:val="40"/>
        <w:szCs w:val="40"/>
      </w:rPr>
    </w:pPr>
  </w:p>
  <w:p w14:paraId="5ACC29CC" w14:textId="77777777" w:rsidR="005F3FCF" w:rsidRPr="005F3FCF" w:rsidRDefault="005F3FCF" w:rsidP="005F3FCF">
    <w:pPr>
      <w:pStyle w:val="Footer"/>
      <w:rPr>
        <w:b/>
        <w:sz w:val="44"/>
      </w:rPr>
    </w:pPr>
  </w:p>
  <w:p w14:paraId="656C6567" w14:textId="77777777" w:rsidR="005F3FCF" w:rsidRPr="005F3FCF" w:rsidRDefault="005F3FCF" w:rsidP="005F3FCF">
    <w:pPr>
      <w:pStyle w:val="Footer"/>
      <w:rPr>
        <w:rFonts w:ascii="Georgia" w:hAnsi="Georgia"/>
        <w:b/>
        <w:color w:val="404040"/>
        <w:sz w:val="24"/>
      </w:rPr>
    </w:pPr>
    <w:r w:rsidRPr="005F3FCF">
      <w:rPr>
        <w:b/>
        <w:sz w:val="36"/>
        <w:szCs w:val="36"/>
      </w:rPr>
      <w:t>HUD</w:t>
    </w:r>
    <w:r w:rsidRPr="005F3FCF">
      <w:rPr>
        <w:rFonts w:ascii="Georgia" w:hAnsi="Georgia"/>
        <w:b/>
        <w:color w:val="404040"/>
        <w:sz w:val="24"/>
      </w:rPr>
      <w:t xml:space="preserve"> PROGRAM YEAR 2017</w:t>
    </w:r>
  </w:p>
  <w:p w14:paraId="0A7B08A6" w14:textId="77777777" w:rsidR="005F3FCF" w:rsidRPr="005F3FCF" w:rsidRDefault="005F3FCF" w:rsidP="005F3FCF">
    <w:pPr>
      <w:pStyle w:val="Footer"/>
      <w:rPr>
        <w:rFonts w:ascii="Georgia" w:hAnsi="Georgia"/>
        <w:b/>
        <w:color w:val="404040"/>
        <w:sz w:val="24"/>
      </w:rPr>
    </w:pPr>
    <w:r w:rsidRPr="005F3FCF">
      <w:rPr>
        <w:rFonts w:ascii="Arial" w:hAnsi="Arial" w:cs="Arial"/>
        <w:b/>
        <w:sz w:val="40"/>
        <w:szCs w:val="40"/>
      </w:rPr>
      <w:t>FISCAL</w:t>
    </w:r>
    <w:r w:rsidRPr="005F3FCF">
      <w:rPr>
        <w:rFonts w:ascii="Georgia" w:hAnsi="Georgia"/>
        <w:b/>
        <w:color w:val="404040"/>
        <w:sz w:val="24"/>
      </w:rPr>
      <w:t xml:space="preserve"> YEAR 2018</w:t>
    </w:r>
  </w:p>
  <w:p w14:paraId="2D076ED2" w14:textId="77777777" w:rsidR="005F3FCF" w:rsidRPr="005F3FCF" w:rsidRDefault="005F3FCF" w:rsidP="005F3FCF">
    <w:pPr>
      <w:pStyle w:val="Footer"/>
      <w:rPr>
        <w:rFonts w:ascii="Arial" w:hAnsi="Arial" w:cs="Arial"/>
        <w:b/>
        <w:sz w:val="40"/>
        <w:szCs w:val="40"/>
      </w:rPr>
    </w:pPr>
  </w:p>
  <w:p w14:paraId="11332FB4" w14:textId="77777777" w:rsidR="005F3FCF" w:rsidRPr="005F3FCF" w:rsidRDefault="005F3FCF" w:rsidP="005F3FCF">
    <w:pPr>
      <w:pStyle w:val="Footer"/>
      <w:rPr>
        <w:rFonts w:ascii="Arial" w:hAnsi="Arial" w:cs="Arial"/>
        <w:b/>
        <w:sz w:val="40"/>
        <w:szCs w:val="40"/>
      </w:rPr>
    </w:pPr>
  </w:p>
  <w:p w14:paraId="73B9D5D1" w14:textId="77777777" w:rsidR="005F3FCF" w:rsidRPr="005F3FCF" w:rsidRDefault="005F3FCF" w:rsidP="005F3FCF">
    <w:pPr>
      <w:pStyle w:val="Footer"/>
      <w:rPr>
        <w:rFonts w:ascii="Arial" w:hAnsi="Arial" w:cs="Arial"/>
        <w:b/>
        <w:sz w:val="40"/>
        <w:szCs w:val="40"/>
      </w:rPr>
    </w:pPr>
  </w:p>
  <w:p w14:paraId="3B4CB36E" w14:textId="77777777" w:rsidR="005F3FCF" w:rsidRPr="005F3FCF" w:rsidRDefault="005F3FCF" w:rsidP="005F3FCF">
    <w:pPr>
      <w:pStyle w:val="Footer"/>
      <w:rPr>
        <w:rFonts w:ascii="Arial" w:hAnsi="Arial" w:cs="Arial"/>
        <w:b/>
        <w:sz w:val="40"/>
        <w:szCs w:val="40"/>
      </w:rPr>
    </w:pPr>
  </w:p>
  <w:p w14:paraId="088C4A39" w14:textId="77777777" w:rsidR="005F3FCF" w:rsidRPr="005F3FCF" w:rsidRDefault="005F3FCF" w:rsidP="005F3FCF">
    <w:pPr>
      <w:pStyle w:val="Footer"/>
      <w:rPr>
        <w:rFonts w:ascii="Arial" w:hAnsi="Arial" w:cs="Arial"/>
        <w:b/>
        <w:sz w:val="40"/>
        <w:szCs w:val="40"/>
      </w:rPr>
    </w:pPr>
  </w:p>
  <w:p w14:paraId="09081639" w14:textId="77777777" w:rsidR="005F3FCF" w:rsidRPr="005F3FCF" w:rsidRDefault="005F3FCF" w:rsidP="005F3FCF">
    <w:pPr>
      <w:pStyle w:val="Footer"/>
      <w:rPr>
        <w:rFonts w:ascii="Arial" w:hAnsi="Arial" w:cs="Arial"/>
        <w:b/>
        <w:sz w:val="40"/>
        <w:szCs w:val="40"/>
      </w:rPr>
    </w:pPr>
  </w:p>
  <w:p w14:paraId="16492DF3" w14:textId="77777777" w:rsidR="005F3FCF" w:rsidRPr="005F3FCF" w:rsidRDefault="005F3FCF" w:rsidP="005F3FCF">
    <w:pPr>
      <w:pStyle w:val="Footer"/>
      <w:rPr>
        <w:rFonts w:ascii="Arial" w:hAnsi="Arial" w:cs="Arial"/>
        <w:b/>
        <w:sz w:val="40"/>
        <w:szCs w:val="40"/>
      </w:rPr>
    </w:pPr>
  </w:p>
  <w:p w14:paraId="10748152" w14:textId="77777777" w:rsidR="005F3FCF" w:rsidRPr="005F3FCF" w:rsidRDefault="005F3FCF" w:rsidP="005F3FCF">
    <w:pPr>
      <w:pStyle w:val="Footer"/>
      <w:rPr>
        <w:rFonts w:ascii="Arial" w:hAnsi="Arial" w:cs="Arial"/>
        <w:b/>
        <w:sz w:val="40"/>
        <w:szCs w:val="40"/>
      </w:rPr>
    </w:pPr>
  </w:p>
  <w:p w14:paraId="6091E98C" w14:textId="77777777" w:rsidR="005F3FCF" w:rsidRPr="005F3FCF" w:rsidRDefault="005F3FCF" w:rsidP="005F3FCF">
    <w:pPr>
      <w:pStyle w:val="Footer"/>
      <w:rPr>
        <w:rFonts w:ascii="Georgia" w:hAnsi="Georgia"/>
        <w:b/>
        <w:color w:val="404040"/>
        <w:sz w:val="32"/>
        <w:szCs w:val="32"/>
      </w:rPr>
    </w:pPr>
  </w:p>
  <w:p w14:paraId="58B999FE" w14:textId="77777777" w:rsidR="005F3FCF" w:rsidRPr="005F3FCF" w:rsidRDefault="005F3FCF" w:rsidP="005F3FCF">
    <w:pPr>
      <w:pStyle w:val="Footer"/>
      <w:rPr>
        <w:rFonts w:ascii="Georgia" w:hAnsi="Georgia"/>
        <w:b/>
        <w:color w:val="404040"/>
        <w:sz w:val="32"/>
        <w:szCs w:val="32"/>
      </w:rPr>
    </w:pPr>
    <w:r w:rsidRPr="005F3FCF">
      <w:rPr>
        <w:rFonts w:ascii="Georgia" w:hAnsi="Georgia"/>
        <w:b/>
        <w:color w:val="404040"/>
        <w:sz w:val="32"/>
        <w:szCs w:val="32"/>
      </w:rPr>
      <w:t>SALT LAKE CITY CORPORATION</w:t>
    </w:r>
  </w:p>
  <w:p w14:paraId="635581F5" w14:textId="77777777" w:rsidR="005F3FCF" w:rsidRPr="005F3FCF" w:rsidRDefault="005F3FCF" w:rsidP="005F3FCF">
    <w:pPr>
      <w:pStyle w:val="Footer"/>
      <w:rPr>
        <w:rFonts w:ascii="Arial" w:hAnsi="Arial" w:cs="Arial"/>
        <w:b/>
        <w:sz w:val="40"/>
        <w:szCs w:val="40"/>
      </w:rPr>
    </w:pPr>
  </w:p>
  <w:p w14:paraId="6267884A" w14:textId="77777777" w:rsidR="005F3FCF" w:rsidRPr="005F3FCF" w:rsidRDefault="005F3FCF" w:rsidP="005F3FCF">
    <w:pPr>
      <w:pStyle w:val="Footer"/>
      <w:rPr>
        <w:rFonts w:ascii="Georgia" w:eastAsia="Times New Roman" w:hAnsi="Georgia"/>
        <w:noProof/>
        <w:color w:val="404040"/>
        <w:sz w:val="18"/>
        <w:szCs w:val="18"/>
      </w:rPr>
    </w:pPr>
    <w:r w:rsidRPr="005F3FCF">
      <w:rPr>
        <w:rFonts w:ascii="Arial" w:hAnsi="Arial" w:cs="Arial"/>
        <w:b/>
        <w:sz w:val="40"/>
        <w:szCs w:val="40"/>
      </w:rPr>
      <w:t>DEPARTMENT</w:t>
    </w:r>
    <w:r w:rsidRPr="005F3FCF">
      <w:rPr>
        <w:rFonts w:ascii="Georgia" w:hAnsi="Georgia"/>
        <w:b/>
        <w:color w:val="404040"/>
        <w:sz w:val="32"/>
        <w:szCs w:val="32"/>
      </w:rPr>
      <w:t xml:space="preserve"> OF COMMUNITY and NEIGHBORHOODS </w:t>
    </w:r>
  </w:p>
  <w:p w14:paraId="38E47B7D" w14:textId="77777777" w:rsidR="005F3FCF" w:rsidRPr="005F3FCF" w:rsidRDefault="005F3FCF" w:rsidP="005F3FCF">
    <w:pPr>
      <w:pStyle w:val="Footer"/>
      <w:rPr>
        <w:rFonts w:ascii="Georgia" w:hAnsi="Georgia"/>
        <w:b/>
        <w:color w:val="404040"/>
        <w:sz w:val="18"/>
        <w:szCs w:val="18"/>
      </w:rPr>
    </w:pPr>
    <w:r w:rsidRPr="005F3FCF">
      <w:rPr>
        <w:rFonts w:ascii="Georgia" w:hAnsi="Georgia"/>
        <w:b/>
        <w:color w:val="404040"/>
        <w:sz w:val="24"/>
      </w:rPr>
      <w:t>HOUSING</w:t>
    </w:r>
    <w:r w:rsidRPr="005F3FCF">
      <w:rPr>
        <w:rFonts w:ascii="Georgia" w:eastAsia="Times New Roman" w:hAnsi="Georgia"/>
        <w:noProof/>
        <w:color w:val="404040"/>
        <w:sz w:val="18"/>
        <w:szCs w:val="18"/>
      </w:rPr>
      <w:t xml:space="preserve"> </w:t>
    </w:r>
    <w:r w:rsidRPr="005F3FCF">
      <w:rPr>
        <w:rFonts w:ascii="Georgia" w:eastAsia="Times New Roman" w:hAnsi="Georgia"/>
        <w:i/>
        <w:iCs/>
        <w:noProof/>
        <w:color w:val="404040"/>
        <w:sz w:val="18"/>
        <w:szCs w:val="18"/>
      </w:rPr>
      <w:t>and NEIGHBORHOOD</w:t>
    </w:r>
    <w:r w:rsidRPr="005F3FCF">
      <w:rPr>
        <w:rFonts w:ascii="Georgia" w:eastAsia="Times New Roman" w:hAnsi="Georgia"/>
        <w:noProof/>
        <w:color w:val="404040"/>
        <w:sz w:val="18"/>
        <w:szCs w:val="18"/>
      </w:rPr>
      <w:t xml:space="preserve"> DEVELOPMENT DIVISION</w:t>
    </w:r>
  </w:p>
  <w:p w14:paraId="306246DF" w14:textId="77777777" w:rsidR="005F3FCF" w:rsidRPr="005F3FCF" w:rsidRDefault="005F3FCF" w:rsidP="005F3FCF">
    <w:pPr>
      <w:pStyle w:val="Footer"/>
      <w:rPr>
        <w:rFonts w:ascii="Georgia" w:hAnsi="Georgia"/>
        <w:b/>
        <w:color w:val="404040"/>
        <w:sz w:val="24"/>
      </w:rPr>
    </w:pPr>
  </w:p>
  <w:p w14:paraId="4545B865" w14:textId="77777777" w:rsidR="005F3FCF" w:rsidRPr="005F3FCF" w:rsidRDefault="005F3FCF" w:rsidP="005F3FCF">
    <w:pPr>
      <w:pStyle w:val="Footer"/>
      <w:rPr>
        <w:rFonts w:ascii="Georgia" w:hAnsi="Georgia"/>
        <w:b/>
        <w:color w:val="404040"/>
        <w:sz w:val="24"/>
      </w:rPr>
    </w:pPr>
  </w:p>
  <w:p w14:paraId="1EBFDD4D" w14:textId="77777777" w:rsidR="005F3FCF" w:rsidRPr="005F3FCF" w:rsidRDefault="005F3FCF" w:rsidP="005F3FCF">
    <w:pPr>
      <w:pStyle w:val="Footer"/>
      <w:rPr>
        <w:rFonts w:ascii="Georgia" w:hAnsi="Georgia"/>
        <w:color w:val="404040"/>
        <w:szCs w:val="20"/>
      </w:rPr>
    </w:pPr>
    <w:r w:rsidRPr="005F3FCF">
      <w:rPr>
        <w:rFonts w:ascii="Georgia" w:hAnsi="Georgia"/>
        <w:b/>
        <w:color w:val="404040"/>
        <w:sz w:val="24"/>
      </w:rPr>
      <w:t>MELISSA</w:t>
    </w:r>
    <w:r w:rsidRPr="005F3FCF">
      <w:rPr>
        <w:rFonts w:ascii="Georgia" w:hAnsi="Georgia"/>
        <w:color w:val="404040"/>
        <w:szCs w:val="20"/>
      </w:rPr>
      <w:t xml:space="preserve"> JENSEN, </w:t>
    </w:r>
    <w:r w:rsidRPr="005F3FCF">
      <w:rPr>
        <w:rFonts w:ascii="Georgia" w:hAnsi="Georgia"/>
        <w:i/>
        <w:color w:val="404040"/>
        <w:szCs w:val="20"/>
      </w:rPr>
      <w:t xml:space="preserve">Director </w:t>
    </w:r>
    <w:r w:rsidRPr="005F3FCF">
      <w:rPr>
        <w:rFonts w:ascii="Georgia" w:hAnsi="Georgia"/>
        <w:color w:val="404040"/>
        <w:szCs w:val="20"/>
      </w:rPr>
      <w:t>801-535-6035</w:t>
    </w:r>
  </w:p>
  <w:p w14:paraId="419987F2" w14:textId="77777777" w:rsidR="005F3FCF" w:rsidRPr="005F3FCF" w:rsidRDefault="005F3FCF" w:rsidP="005F3FCF">
    <w:pPr>
      <w:pStyle w:val="Footer"/>
      <w:rPr>
        <w:rFonts w:ascii="Georgia" w:hAnsi="Georgia"/>
        <w:color w:val="404040"/>
        <w:szCs w:val="20"/>
      </w:rPr>
    </w:pPr>
    <w:r w:rsidRPr="005F3FCF">
      <w:rPr>
        <w:rFonts w:ascii="Georgia" w:eastAsia="Times New Roman" w:hAnsi="Georgia"/>
        <w:noProof/>
        <w:color w:val="404040"/>
        <w:sz w:val="18"/>
        <w:szCs w:val="18"/>
      </w:rPr>
      <w:t xml:space="preserve">JENNIFER SCHUMANN, </w:t>
    </w:r>
    <w:r w:rsidRPr="005F3FCF">
      <w:rPr>
        <w:rFonts w:ascii="Georgia" w:hAnsi="Georgia"/>
        <w:i/>
        <w:color w:val="404040"/>
        <w:szCs w:val="20"/>
      </w:rPr>
      <w:t xml:space="preserve">Capital </w:t>
    </w:r>
    <w:r w:rsidRPr="005F3FCF">
      <w:rPr>
        <w:rFonts w:ascii="Georgia" w:hAnsi="Georgia"/>
        <w:color w:val="404040"/>
        <w:szCs w:val="20"/>
      </w:rPr>
      <w:t xml:space="preserve">Planning </w:t>
    </w:r>
    <w:r w:rsidRPr="005F3FCF">
      <w:rPr>
        <w:rFonts w:ascii="Georgia" w:hAnsi="Georgia"/>
        <w:i/>
        <w:color w:val="404040"/>
        <w:szCs w:val="20"/>
      </w:rPr>
      <w:t>Manager</w:t>
    </w:r>
    <w:r w:rsidRPr="005F3FCF">
      <w:rPr>
        <w:rFonts w:ascii="Georgia" w:hAnsi="Georgia"/>
        <w:color w:val="404040"/>
        <w:szCs w:val="20"/>
      </w:rPr>
      <w:t xml:space="preserve"> 801-535-7276</w:t>
    </w:r>
  </w:p>
  <w:p w14:paraId="3A0138DD" w14:textId="77777777" w:rsidR="005F3FCF" w:rsidRPr="005F3FCF" w:rsidRDefault="005F3FCF" w:rsidP="005F3FCF">
    <w:pPr>
      <w:pStyle w:val="Footer"/>
      <w:rPr>
        <w:rFonts w:ascii="Gotham Bold" w:hAnsi="Gotham Bold"/>
        <w:color w:val="323E4F"/>
        <w:sz w:val="40"/>
        <w:szCs w:val="40"/>
      </w:rPr>
    </w:pPr>
    <w:r w:rsidRPr="005F3FCF">
      <w:rPr>
        <w:rFonts w:ascii="Georgia" w:hAnsi="Georgia"/>
        <w:b/>
        <w:color w:val="404040"/>
        <w:sz w:val="24"/>
      </w:rPr>
      <w:br w:type="page"/>
    </w:r>
    <w:r w:rsidRPr="005F3FCF">
      <w:rPr>
        <w:rFonts w:ascii="Georgia" w:hAnsi="Georgia"/>
        <w:b/>
        <w:color w:val="404040"/>
        <w:sz w:val="24"/>
      </w:rPr>
      <w:br w:type="page"/>
    </w:r>
    <w:r w:rsidRPr="005F3FCF">
      <w:rPr>
        <w:rFonts w:ascii="Georgia" w:hAnsi="Georgia"/>
        <w:b/>
        <w:color w:val="404040"/>
        <w:sz w:val="32"/>
        <w:szCs w:val="32"/>
      </w:rPr>
      <w:t xml:space="preserve">TABLE OF </w:t>
    </w:r>
    <w:r w:rsidRPr="005F3FCF">
      <w:rPr>
        <w:rFonts w:ascii="Gotham Bold" w:hAnsi="Gotham Bold"/>
        <w:color w:val="323E4F"/>
        <w:sz w:val="40"/>
        <w:szCs w:val="40"/>
      </w:rPr>
      <w:t>CONTENTS</w:t>
    </w:r>
  </w:p>
  <w:p w14:paraId="5BEF49FB" w14:textId="77777777" w:rsidR="005F3FCF" w:rsidRPr="005F3FCF" w:rsidRDefault="005F3FCF" w:rsidP="005F3FCF">
    <w:pPr>
      <w:pStyle w:val="Footer"/>
      <w:rPr>
        <w:rFonts w:ascii="Georgia" w:hAnsi="Georgia"/>
        <w:b/>
        <w:color w:val="404040"/>
        <w:sz w:val="32"/>
        <w:szCs w:val="32"/>
      </w:rPr>
    </w:pPr>
  </w:p>
  <w:p w14:paraId="05F5F7E8" w14:textId="77777777" w:rsidR="005F3FCF" w:rsidRPr="005F3FCF" w:rsidRDefault="005F3FCF" w:rsidP="005F3FCF">
    <w:pPr>
      <w:pStyle w:val="Footer"/>
      <w:rPr>
        <w:rFonts w:ascii="Calibri" w:hAnsi="Calibri" w:cs="Calibri"/>
        <w:color w:val="404040"/>
        <w:szCs w:val="20"/>
      </w:rPr>
    </w:pPr>
    <w:r w:rsidRPr="005F3FCF">
      <w:rPr>
        <w:rFonts w:ascii="Georgia" w:hAnsi="Georgia"/>
        <w:b/>
        <w:color w:val="404040"/>
        <w:sz w:val="32"/>
        <w:szCs w:val="32"/>
      </w:rPr>
      <w:t>EXECUTIVE</w:t>
    </w:r>
    <w:r w:rsidRPr="005F3FCF">
      <w:rPr>
        <w:rFonts w:ascii="Georgia" w:hAnsi="Georgia"/>
        <w:i/>
        <w:color w:val="404040"/>
        <w:szCs w:val="20"/>
      </w:rPr>
      <w:t xml:space="preserve"> SUMMARY</w:t>
    </w:r>
    <w:r w:rsidRPr="005F3FCF">
      <w:rPr>
        <w:rFonts w:ascii="Georgia" w:hAnsi="Georgia"/>
        <w:color w:val="404040"/>
        <w:szCs w:val="20"/>
      </w:rPr>
      <w:t>………</w:t>
    </w:r>
    <w:r w:rsidRPr="005F3FCF">
      <w:rPr>
        <w:rFonts w:ascii="Calibri" w:hAnsi="Calibri" w:cs="Calibri"/>
        <w:color w:val="404040"/>
        <w:sz w:val="21"/>
        <w:szCs w:val="21"/>
      </w:rPr>
      <w:t>………………………………………………………….…………………………………………….….………..…………04</w:t>
    </w:r>
  </w:p>
  <w:p w14:paraId="48342AF7" w14:textId="77777777" w:rsidR="005F3FCF" w:rsidRPr="005F3FCF" w:rsidRDefault="005F3FCF" w:rsidP="005F3FCF">
    <w:pPr>
      <w:pStyle w:val="Footer"/>
      <w:rPr>
        <w:rFonts w:ascii="Calibri" w:hAnsi="Calibri" w:cs="Calibri"/>
        <w:color w:val="404040"/>
        <w:szCs w:val="20"/>
      </w:rPr>
    </w:pPr>
    <w:r w:rsidRPr="005F3FCF">
      <w:rPr>
        <w:rFonts w:ascii="Calibri" w:hAnsi="Calibri" w:cs="Calibri"/>
        <w:color w:val="404040"/>
        <w:szCs w:val="20"/>
      </w:rPr>
      <w:t>CR-05 ASSESSMENT OF GOALS AND OBJECTIVES ………………………………………..……………………………………...……..………05</w:t>
    </w:r>
  </w:p>
  <w:p w14:paraId="14611B9A" w14:textId="77777777" w:rsidR="005F3FCF" w:rsidRPr="005F3FCF" w:rsidRDefault="005F3FCF" w:rsidP="005F3FCF">
    <w:pPr>
      <w:pStyle w:val="Footer"/>
      <w:rPr>
        <w:rFonts w:ascii="Calibri" w:hAnsi="Calibri" w:cs="Calibri"/>
        <w:color w:val="FF0000"/>
        <w:szCs w:val="20"/>
      </w:rPr>
    </w:pPr>
    <w:r w:rsidRPr="005F3FCF">
      <w:rPr>
        <w:rFonts w:ascii="Calibri" w:hAnsi="Calibri" w:cs="Calibri"/>
        <w:color w:val="404040"/>
        <w:szCs w:val="20"/>
      </w:rPr>
      <w:t xml:space="preserve">CR-10 </w:t>
    </w:r>
    <w:r w:rsidRPr="005F3FCF">
      <w:rPr>
        <w:rFonts w:ascii="Calibri" w:hAnsi="Calibri" w:cs="Calibri"/>
        <w:color w:val="FF0000"/>
        <w:szCs w:val="20"/>
      </w:rPr>
      <w:t>RACIAL AND ETHNIC COMPOSITION OF THOSE ASSISTED ….…………………………….……………………………………… 10</w:t>
    </w:r>
  </w:p>
  <w:p w14:paraId="6C6C9C90" w14:textId="77777777" w:rsidR="005F3FCF" w:rsidRPr="005F3FCF" w:rsidRDefault="005F3FCF" w:rsidP="005F3FCF">
    <w:pPr>
      <w:pStyle w:val="Footer"/>
      <w:rPr>
        <w:rFonts w:ascii="Calibri" w:hAnsi="Calibri" w:cs="Calibri"/>
        <w:color w:val="404040"/>
        <w:szCs w:val="20"/>
      </w:rPr>
    </w:pPr>
    <w:r w:rsidRPr="005F3FCF">
      <w:rPr>
        <w:rFonts w:ascii="Calibri" w:hAnsi="Calibri" w:cs="Calibri"/>
        <w:color w:val="FF0000"/>
        <w:szCs w:val="20"/>
      </w:rPr>
      <w:t xml:space="preserve">CR-15 RESOURCES AND </w:t>
    </w:r>
    <w:r w:rsidRPr="005F3FCF">
      <w:rPr>
        <w:rFonts w:ascii="Calibri" w:hAnsi="Calibri" w:cs="Calibri"/>
        <w:color w:val="404040"/>
        <w:szCs w:val="20"/>
      </w:rPr>
      <w:t>INVESTMENTS ……………………………………………………………………………………………………………… 11</w:t>
    </w:r>
  </w:p>
  <w:p w14:paraId="1DBF344E" w14:textId="77777777" w:rsidR="005F3FCF" w:rsidRPr="005F3FCF" w:rsidRDefault="005F3FCF" w:rsidP="005F3FCF">
    <w:pPr>
      <w:pStyle w:val="Footer"/>
      <w:rPr>
        <w:rFonts w:ascii="Calibri" w:hAnsi="Calibri" w:cs="Calibri"/>
        <w:color w:val="404040"/>
        <w:szCs w:val="20"/>
      </w:rPr>
    </w:pPr>
    <w:r w:rsidRPr="005F3FCF">
      <w:rPr>
        <w:rFonts w:ascii="Calibri" w:hAnsi="Calibri" w:cs="Calibri"/>
        <w:color w:val="404040"/>
        <w:szCs w:val="20"/>
      </w:rPr>
      <w:t>CR-20</w:t>
    </w:r>
    <w:r w:rsidRPr="005F3FCF">
      <w:rPr>
        <w:rFonts w:ascii="Calibri" w:hAnsi="Calibri" w:cs="Calibri"/>
        <w:color w:val="FF0000"/>
        <w:szCs w:val="20"/>
      </w:rPr>
      <w:t xml:space="preserve"> AFFORDABLE HOUSING ……………………………….………………………………………………………………………</w:t>
    </w:r>
    <w:r w:rsidRPr="005F3FCF">
      <w:rPr>
        <w:rFonts w:ascii="Calibri" w:hAnsi="Calibri" w:cs="Calibri"/>
        <w:color w:val="404040"/>
        <w:szCs w:val="20"/>
      </w:rPr>
      <w:t>…………………..17</w:t>
    </w:r>
  </w:p>
  <w:p w14:paraId="4B464EB4" w14:textId="77777777" w:rsidR="005F3FCF" w:rsidRPr="005F3FCF" w:rsidRDefault="005F3FCF" w:rsidP="005F3FCF">
    <w:pPr>
      <w:pStyle w:val="Footer"/>
      <w:rPr>
        <w:rFonts w:ascii="Calibri" w:hAnsi="Calibri" w:cs="Calibri"/>
        <w:color w:val="404040"/>
        <w:szCs w:val="20"/>
      </w:rPr>
    </w:pPr>
    <w:r w:rsidRPr="005F3FCF">
      <w:rPr>
        <w:rFonts w:ascii="Calibri" w:hAnsi="Calibri" w:cs="Calibri"/>
        <w:color w:val="FF0000"/>
        <w:szCs w:val="20"/>
      </w:rPr>
      <w:t>CR-25 HOMELESS AND OTHER SPECIAL NEEDS …………………………………………………………………………………………………..20</w:t>
    </w:r>
  </w:p>
  <w:p w14:paraId="63463C56" w14:textId="77777777" w:rsidR="005F3FCF" w:rsidRPr="005F3FCF" w:rsidRDefault="005F3FCF" w:rsidP="005F3FCF">
    <w:pPr>
      <w:ind w:left="342"/>
      <w:jc w:val="center"/>
      <w:rPr>
        <w:rFonts w:ascii="Calibri" w:hAnsi="Calibri" w:cs="Calibri"/>
        <w:color w:val="404040"/>
        <w:szCs w:val="20"/>
      </w:rPr>
    </w:pPr>
    <w:r w:rsidRPr="005F3FCF">
      <w:rPr>
        <w:rFonts w:ascii="Arial" w:hAnsi="Arial" w:cs="Arial"/>
        <w:b/>
        <w:sz w:val="40"/>
        <w:szCs w:val="40"/>
      </w:rPr>
      <w:t>CR-30</w:t>
    </w:r>
    <w:r w:rsidRPr="005F3FCF">
      <w:rPr>
        <w:rFonts w:ascii="Calibri" w:hAnsi="Calibri" w:cs="Calibri"/>
        <w:color w:val="404040"/>
        <w:sz w:val="21"/>
        <w:szCs w:val="21"/>
      </w:rPr>
      <w:t xml:space="preserve"> PUBLIC HOUSING ………………………………………..…………………………………………………………………</w:t>
    </w:r>
    <w:r w:rsidRPr="005F3FCF">
      <w:rPr>
        <w:rFonts w:ascii="Calibri" w:hAnsi="Calibri" w:cs="Calibri"/>
        <w:color w:val="FF0000"/>
        <w:szCs w:val="20"/>
      </w:rPr>
      <w:t>…………….……</w:t>
    </w:r>
    <w:r w:rsidRPr="005F3FCF">
      <w:rPr>
        <w:rFonts w:ascii="Calibri" w:hAnsi="Calibri" w:cs="Calibri"/>
        <w:color w:val="404040"/>
        <w:szCs w:val="20"/>
      </w:rPr>
      <w:t>……. 23</w:t>
    </w:r>
  </w:p>
  <w:p w14:paraId="18858D21" w14:textId="77777777" w:rsidR="005F3FCF" w:rsidRPr="005F3FCF" w:rsidRDefault="005F3FCF" w:rsidP="005F3FCF">
    <w:pPr>
      <w:ind w:left="342"/>
      <w:jc w:val="center"/>
      <w:rPr>
        <w:rFonts w:ascii="Calibri" w:hAnsi="Calibri" w:cs="Calibri"/>
        <w:color w:val="404040"/>
        <w:szCs w:val="20"/>
      </w:rPr>
    </w:pPr>
    <w:r w:rsidRPr="005F3FCF">
      <w:rPr>
        <w:rFonts w:ascii="Calibri" w:hAnsi="Calibri" w:cs="Calibri"/>
        <w:color w:val="404040"/>
        <w:szCs w:val="20"/>
      </w:rPr>
      <w:t>CR-35 OTHER ACTIONS</w:t>
    </w:r>
    <w:r w:rsidRPr="005F3FCF">
      <w:rPr>
        <w:rFonts w:ascii="Calibri" w:hAnsi="Calibri" w:cs="Calibri"/>
        <w:color w:val="FF0000"/>
        <w:szCs w:val="20"/>
      </w:rPr>
      <w:t xml:space="preserve"> …………………………………………………………………………………………………………………..…</w:t>
    </w:r>
    <w:r w:rsidRPr="005F3FCF">
      <w:rPr>
        <w:rFonts w:ascii="Calibri" w:hAnsi="Calibri" w:cs="Calibri"/>
        <w:color w:val="404040"/>
        <w:szCs w:val="20"/>
      </w:rPr>
      <w:t>………..……..25</w:t>
    </w:r>
  </w:p>
  <w:p w14:paraId="5683F551" w14:textId="77777777" w:rsidR="005F3FCF" w:rsidRPr="005F3FCF" w:rsidRDefault="005F3FCF" w:rsidP="005F3FCF">
    <w:pPr>
      <w:ind w:left="342"/>
      <w:jc w:val="center"/>
      <w:rPr>
        <w:rFonts w:ascii="Calibri" w:hAnsi="Calibri" w:cs="Calibri"/>
        <w:color w:val="404040"/>
        <w:szCs w:val="20"/>
      </w:rPr>
    </w:pPr>
    <w:r w:rsidRPr="005F3FCF">
      <w:rPr>
        <w:rFonts w:ascii="Arial" w:hAnsi="Arial" w:cs="Arial"/>
        <w:b/>
        <w:sz w:val="40"/>
        <w:szCs w:val="40"/>
      </w:rPr>
      <w:t>CR-40</w:t>
    </w:r>
    <w:r w:rsidRPr="005F3FCF">
      <w:rPr>
        <w:rFonts w:ascii="Arial" w:hAnsi="Arial" w:cs="Arial"/>
        <w:sz w:val="22"/>
        <w:szCs w:val="22"/>
        <w:u w:val="single"/>
      </w:rPr>
      <w:t xml:space="preserve"> MONITORING …….</w:t>
    </w:r>
    <w:r w:rsidRPr="005F3FCF">
      <w:rPr>
        <w:rFonts w:ascii="Calibri" w:hAnsi="Calibri" w:cs="Calibri"/>
        <w:color w:val="404040"/>
        <w:sz w:val="21"/>
        <w:szCs w:val="21"/>
      </w:rPr>
      <w:t>………………………………………………………………………………………………………</w:t>
    </w:r>
    <w:r w:rsidRPr="005F3FCF">
      <w:rPr>
        <w:rFonts w:ascii="Calibri" w:hAnsi="Calibri" w:cs="Calibri"/>
        <w:color w:val="404040"/>
        <w:szCs w:val="20"/>
      </w:rPr>
      <w:t>…………</w:t>
    </w:r>
    <w:r w:rsidRPr="005F3FCF">
      <w:rPr>
        <w:rFonts w:ascii="Calibri" w:hAnsi="Calibri" w:cs="Calibri"/>
        <w:color w:val="FF0000"/>
        <w:szCs w:val="20"/>
      </w:rPr>
      <w:t>……..…………..</w:t>
    </w:r>
    <w:r w:rsidRPr="005F3FCF">
      <w:rPr>
        <w:rFonts w:ascii="Calibri" w:hAnsi="Calibri" w:cs="Calibri"/>
        <w:color w:val="404040"/>
        <w:szCs w:val="20"/>
      </w:rPr>
      <w:t>38</w:t>
    </w:r>
  </w:p>
  <w:p w14:paraId="1F670576" w14:textId="77777777" w:rsidR="005F3FCF" w:rsidRPr="005F3FCF" w:rsidRDefault="005F3FCF" w:rsidP="005F3FCF">
    <w:pPr>
      <w:ind w:left="342"/>
      <w:jc w:val="center"/>
      <w:rPr>
        <w:rFonts w:ascii="Calibri" w:hAnsi="Calibri" w:cs="Calibri"/>
        <w:color w:val="404040"/>
        <w:szCs w:val="20"/>
      </w:rPr>
    </w:pPr>
    <w:r w:rsidRPr="005F3FCF">
      <w:rPr>
        <w:rFonts w:ascii="Arial" w:hAnsi="Arial" w:cs="Arial"/>
        <w:b/>
        <w:sz w:val="40"/>
        <w:szCs w:val="40"/>
      </w:rPr>
      <w:t>CR-45</w:t>
    </w:r>
    <w:r w:rsidRPr="005F3FCF">
      <w:rPr>
        <w:rFonts w:ascii="Arial" w:hAnsi="Arial" w:cs="Arial"/>
        <w:sz w:val="22"/>
        <w:szCs w:val="22"/>
        <w:u w:val="single"/>
      </w:rPr>
      <w:t xml:space="preserve"> CDBG </w:t>
    </w:r>
    <w:r w:rsidRPr="005F3FCF">
      <w:rPr>
        <w:rFonts w:ascii="Arial" w:hAnsi="Arial" w:cs="Arial"/>
        <w:sz w:val="22"/>
        <w:szCs w:val="22"/>
      </w:rPr>
      <w:t>……</w:t>
    </w:r>
    <w:r w:rsidRPr="005F3FCF">
      <w:rPr>
        <w:rFonts w:ascii="Calibri" w:hAnsi="Calibri" w:cs="Calibri"/>
        <w:color w:val="404040"/>
        <w:sz w:val="21"/>
        <w:szCs w:val="21"/>
      </w:rPr>
      <w:t>………………….………………………………………………………………………</w:t>
    </w:r>
    <w:r w:rsidRPr="005F3FCF">
      <w:rPr>
        <w:rFonts w:ascii="Calibri" w:hAnsi="Calibri" w:cs="Calibri"/>
        <w:color w:val="404040"/>
        <w:szCs w:val="20"/>
      </w:rPr>
      <w:t>………………</w:t>
    </w:r>
    <w:r w:rsidRPr="005F3FCF">
      <w:rPr>
        <w:rFonts w:ascii="Calibri" w:hAnsi="Calibri" w:cs="Calibri"/>
        <w:color w:val="FF0000"/>
        <w:szCs w:val="20"/>
      </w:rPr>
      <w:t>……………………..……………</w:t>
    </w:r>
    <w:r w:rsidRPr="005F3FCF">
      <w:rPr>
        <w:rFonts w:ascii="Calibri" w:hAnsi="Calibri" w:cs="Calibri"/>
        <w:color w:val="404040"/>
        <w:szCs w:val="20"/>
      </w:rPr>
      <w:t>….42</w:t>
    </w:r>
  </w:p>
  <w:p w14:paraId="4E493BF6" w14:textId="77777777" w:rsidR="005F3FCF" w:rsidRPr="005F3FCF" w:rsidRDefault="005F3FCF" w:rsidP="005F3FCF">
    <w:pPr>
      <w:ind w:left="342"/>
      <w:jc w:val="center"/>
      <w:rPr>
        <w:rFonts w:ascii="Calibri" w:hAnsi="Calibri" w:cs="Calibri"/>
        <w:color w:val="404040"/>
        <w:szCs w:val="20"/>
      </w:rPr>
    </w:pPr>
    <w:r w:rsidRPr="005F3FCF">
      <w:rPr>
        <w:rFonts w:ascii="Arial" w:hAnsi="Arial" w:cs="Arial"/>
        <w:b/>
        <w:sz w:val="40"/>
        <w:szCs w:val="40"/>
      </w:rPr>
      <w:t>CR-50</w:t>
    </w:r>
    <w:r w:rsidRPr="005F3FCF">
      <w:rPr>
        <w:rFonts w:ascii="Arial" w:hAnsi="Arial" w:cs="Arial"/>
        <w:sz w:val="22"/>
        <w:szCs w:val="22"/>
      </w:rPr>
      <w:t xml:space="preserve"> HOME ……</w:t>
    </w:r>
    <w:r w:rsidRPr="005F3FCF">
      <w:rPr>
        <w:rFonts w:ascii="Calibri" w:hAnsi="Calibri" w:cs="Calibri"/>
        <w:color w:val="404040"/>
        <w:sz w:val="21"/>
        <w:szCs w:val="21"/>
      </w:rPr>
      <w:t>……………………………………………………………………………………………………………………</w:t>
    </w:r>
    <w:r w:rsidRPr="005F3FCF">
      <w:rPr>
        <w:rFonts w:ascii="Calibri" w:hAnsi="Calibri" w:cs="Calibri"/>
        <w:color w:val="404040"/>
        <w:szCs w:val="20"/>
      </w:rPr>
      <w:t>……</w:t>
    </w:r>
    <w:r w:rsidRPr="005F3FCF">
      <w:rPr>
        <w:rFonts w:ascii="Calibri" w:hAnsi="Calibri" w:cs="Calibri"/>
        <w:color w:val="FF0000"/>
        <w:szCs w:val="20"/>
      </w:rPr>
      <w:t>………..…………</w:t>
    </w:r>
    <w:r w:rsidRPr="005F3FCF">
      <w:rPr>
        <w:rFonts w:ascii="Calibri" w:hAnsi="Calibri" w:cs="Calibri"/>
        <w:color w:val="404040"/>
        <w:szCs w:val="20"/>
      </w:rPr>
      <w:t>….43</w:t>
    </w:r>
  </w:p>
  <w:p w14:paraId="6A8E19C4" w14:textId="77777777" w:rsidR="005F3FCF" w:rsidRPr="005F3FCF" w:rsidRDefault="005F3FCF" w:rsidP="005F3FCF">
    <w:pPr>
      <w:ind w:left="342"/>
      <w:jc w:val="center"/>
      <w:rPr>
        <w:rFonts w:ascii="Calibri" w:hAnsi="Calibri" w:cs="Calibri"/>
        <w:color w:val="404040"/>
        <w:szCs w:val="20"/>
      </w:rPr>
    </w:pPr>
    <w:r w:rsidRPr="005F3FCF">
      <w:rPr>
        <w:rFonts w:ascii="Calibri" w:hAnsi="Calibri" w:cs="Calibri"/>
        <w:color w:val="404040"/>
        <w:szCs w:val="20"/>
      </w:rPr>
      <w:t>CR-55 HOPWA ………………..………………………………………………………………………………………………</w:t>
    </w:r>
    <w:r w:rsidRPr="005F3FCF">
      <w:rPr>
        <w:rFonts w:ascii="Calibri" w:hAnsi="Calibri" w:cs="Calibri"/>
        <w:color w:val="FF0000"/>
        <w:szCs w:val="20"/>
      </w:rPr>
      <w:t>……………………………..…..48</w:t>
    </w:r>
  </w:p>
  <w:p w14:paraId="687F6664" w14:textId="77777777" w:rsidR="005F3FCF" w:rsidRPr="005F3FCF" w:rsidRDefault="005F3FCF" w:rsidP="005F3FCF">
    <w:pPr>
      <w:ind w:left="342"/>
      <w:jc w:val="center"/>
      <w:rPr>
        <w:rFonts w:ascii="Calibri" w:hAnsi="Calibri" w:cs="Calibri"/>
        <w:color w:val="404040"/>
        <w:szCs w:val="20"/>
      </w:rPr>
    </w:pPr>
    <w:r w:rsidRPr="005F3FCF">
      <w:rPr>
        <w:rFonts w:ascii="Calibri" w:hAnsi="Calibri" w:cs="Calibri"/>
        <w:color w:val="404040"/>
        <w:szCs w:val="20"/>
      </w:rPr>
      <w:t>CR-60 ESG SUBRECIPIENT INFORMATION .…………………………………………………………………………….………..………………….50</w:t>
    </w:r>
  </w:p>
  <w:p w14:paraId="7A8803A2" w14:textId="77777777" w:rsidR="005F3FCF" w:rsidRPr="005F3FCF" w:rsidRDefault="005F3FCF" w:rsidP="005F3FCF">
    <w:pPr>
      <w:ind w:left="342"/>
      <w:jc w:val="center"/>
      <w:rPr>
        <w:rFonts w:ascii="Calibri" w:hAnsi="Calibri" w:cs="Calibri"/>
        <w:color w:val="FF0000"/>
        <w:szCs w:val="20"/>
      </w:rPr>
    </w:pPr>
    <w:r w:rsidRPr="005F3FCF">
      <w:rPr>
        <w:rFonts w:ascii="Georgia" w:hAnsi="Georgia" w:cs="Arial"/>
        <w:color w:val="404040"/>
        <w:sz w:val="22"/>
        <w:szCs w:val="22"/>
      </w:rPr>
      <w:t>CR-65</w:t>
    </w:r>
    <w:r w:rsidRPr="005F3FCF">
      <w:rPr>
        <w:rFonts w:ascii="Calibri" w:hAnsi="Calibri" w:cs="Calibri"/>
        <w:color w:val="404040"/>
        <w:sz w:val="21"/>
        <w:szCs w:val="21"/>
      </w:rPr>
      <w:t xml:space="preserve"> ESG PERSONS ASSISTED …………………………………………………………………………………………………</w:t>
    </w:r>
    <w:r w:rsidRPr="005F3FCF">
      <w:rPr>
        <w:rFonts w:ascii="Calibri" w:hAnsi="Calibri" w:cs="Calibri"/>
        <w:color w:val="404040"/>
        <w:szCs w:val="20"/>
      </w:rPr>
      <w:t>………….……….……</w:t>
    </w:r>
    <w:r w:rsidRPr="005F3FCF">
      <w:rPr>
        <w:rFonts w:ascii="Calibri" w:hAnsi="Calibri" w:cs="Calibri"/>
        <w:color w:val="FF0000"/>
        <w:szCs w:val="20"/>
      </w:rPr>
      <w:t xml:space="preserve"> 51</w:t>
    </w:r>
  </w:p>
  <w:p w14:paraId="4F0060FA" w14:textId="77777777" w:rsidR="005F3FCF" w:rsidRPr="005F3FCF" w:rsidRDefault="005F3FCF" w:rsidP="005F3FCF">
    <w:pPr>
      <w:ind w:left="342"/>
      <w:jc w:val="center"/>
      <w:rPr>
        <w:rFonts w:ascii="Calibri" w:hAnsi="Calibri" w:cs="Calibri"/>
        <w:color w:val="404040"/>
        <w:szCs w:val="20"/>
      </w:rPr>
    </w:pPr>
    <w:r w:rsidRPr="005F3FCF">
      <w:rPr>
        <w:rFonts w:ascii="Calibri" w:hAnsi="Calibri" w:cs="Calibri"/>
        <w:color w:val="FF0000"/>
        <w:szCs w:val="20"/>
      </w:rPr>
      <w:t>CR-70 ESG ASSISTANCE</w:t>
    </w:r>
    <w:r w:rsidRPr="005F3FCF">
      <w:rPr>
        <w:rFonts w:ascii="Calibri" w:hAnsi="Calibri" w:cs="Calibri"/>
        <w:color w:val="404040"/>
        <w:szCs w:val="20"/>
      </w:rPr>
      <w:t xml:space="preserve"> PROVIDED AND OUTCOMES ……….…………………………………………………..…………………..……….53</w:t>
    </w:r>
  </w:p>
  <w:p w14:paraId="5C952BDD" w14:textId="77777777" w:rsidR="005F3FCF" w:rsidRPr="005F3FCF" w:rsidRDefault="005F3FCF" w:rsidP="005F3FCF">
    <w:pPr>
      <w:ind w:left="342"/>
      <w:jc w:val="center"/>
      <w:rPr>
        <w:rFonts w:ascii="Calibri" w:hAnsi="Calibri" w:cs="Calibri"/>
        <w:color w:val="FF0000"/>
        <w:szCs w:val="20"/>
      </w:rPr>
    </w:pPr>
    <w:r w:rsidRPr="005F3FCF">
      <w:rPr>
        <w:rFonts w:ascii="Calibri" w:hAnsi="Calibri" w:cs="Calibri"/>
        <w:color w:val="404040"/>
        <w:szCs w:val="20"/>
      </w:rPr>
      <w:t xml:space="preserve">CR-75 </w:t>
    </w:r>
    <w:r w:rsidRPr="005F3FCF">
      <w:rPr>
        <w:rFonts w:ascii="Calibri" w:hAnsi="Calibri" w:cs="Calibri"/>
        <w:color w:val="FF0000"/>
        <w:szCs w:val="20"/>
      </w:rPr>
      <w:t>ESG EXPENDITURES ……..…………………………………………………………………………………………….……………………………54</w:t>
    </w:r>
  </w:p>
  <w:p w14:paraId="61C09D57" w14:textId="77777777" w:rsidR="005F3FCF" w:rsidRPr="005F3FCF" w:rsidRDefault="005F3FCF" w:rsidP="005F3FCF">
    <w:pPr>
      <w:ind w:left="342"/>
      <w:jc w:val="center"/>
      <w:rPr>
        <w:rFonts w:ascii="Calibri" w:hAnsi="Calibri" w:cs="Calibri"/>
        <w:color w:val="FF0000"/>
        <w:szCs w:val="20"/>
      </w:rPr>
    </w:pPr>
  </w:p>
  <w:p w14:paraId="35610D90" w14:textId="77777777" w:rsidR="005F3FCF" w:rsidRPr="005F3FCF" w:rsidRDefault="005F3FCF" w:rsidP="005F3FCF">
    <w:pPr>
      <w:ind w:left="342"/>
      <w:jc w:val="center"/>
      <w:rPr>
        <w:rFonts w:ascii="Calibri" w:hAnsi="Calibri" w:cs="Calibri"/>
        <w:color w:val="FF0000"/>
        <w:szCs w:val="20"/>
      </w:rPr>
    </w:pPr>
  </w:p>
  <w:p w14:paraId="675229EC" w14:textId="77777777" w:rsidR="005F3FCF" w:rsidRPr="005F3FCF" w:rsidRDefault="005F3FCF" w:rsidP="005F3FCF">
    <w:pPr>
      <w:ind w:left="342"/>
      <w:jc w:val="center"/>
      <w:rPr>
        <w:rFonts w:ascii="Calibri" w:hAnsi="Calibri" w:cs="Calibri"/>
        <w:color w:val="FF0000"/>
        <w:szCs w:val="20"/>
      </w:rPr>
    </w:pPr>
  </w:p>
  <w:p w14:paraId="561F300E" w14:textId="77777777" w:rsidR="005F3FCF" w:rsidRPr="005F3FCF" w:rsidRDefault="005F3FCF" w:rsidP="005F3FCF">
    <w:pPr>
      <w:ind w:left="342"/>
      <w:jc w:val="center"/>
      <w:rPr>
        <w:rFonts w:ascii="Calibri" w:hAnsi="Calibri" w:cs="Calibri"/>
        <w:color w:val="FF0000"/>
        <w:szCs w:val="20"/>
      </w:rPr>
    </w:pPr>
  </w:p>
  <w:p w14:paraId="05836374" w14:textId="77777777" w:rsidR="005F3FCF" w:rsidRPr="005F3FCF" w:rsidRDefault="005F3FCF" w:rsidP="005F3FCF">
    <w:pPr>
      <w:ind w:left="342"/>
      <w:jc w:val="center"/>
      <w:rPr>
        <w:rFonts w:ascii="Calibri" w:hAnsi="Calibri" w:cs="Calibri"/>
        <w:color w:val="FF0000"/>
        <w:szCs w:val="20"/>
      </w:rPr>
    </w:pPr>
  </w:p>
  <w:p w14:paraId="1C8B0EDE" w14:textId="77777777" w:rsidR="005F3FCF" w:rsidRPr="005F3FCF" w:rsidRDefault="005F3FCF" w:rsidP="005F3FCF">
    <w:pPr>
      <w:ind w:left="342"/>
      <w:jc w:val="center"/>
      <w:rPr>
        <w:rFonts w:ascii="Calibri" w:hAnsi="Calibri" w:cs="Calibri"/>
        <w:color w:val="FF0000"/>
        <w:szCs w:val="20"/>
      </w:rPr>
    </w:pPr>
  </w:p>
  <w:p w14:paraId="1DC61731" w14:textId="77777777" w:rsidR="005F3FCF" w:rsidRPr="005F3FCF" w:rsidRDefault="005F3FCF" w:rsidP="005F3FCF">
    <w:pPr>
      <w:ind w:left="342"/>
      <w:jc w:val="center"/>
      <w:rPr>
        <w:rFonts w:ascii="Calibri" w:hAnsi="Calibri" w:cs="Calibri"/>
        <w:color w:val="404040"/>
        <w:szCs w:val="20"/>
      </w:rPr>
    </w:pPr>
  </w:p>
  <w:p w14:paraId="537483A6" w14:textId="77777777" w:rsidR="005F3FCF" w:rsidRPr="005F3FCF" w:rsidRDefault="005F3FCF" w:rsidP="005F3FCF">
    <w:pPr>
      <w:ind w:left="342"/>
      <w:jc w:val="center"/>
      <w:rPr>
        <w:rFonts w:ascii="Calibri" w:hAnsi="Calibri" w:cs="Calibri"/>
        <w:color w:val="404040"/>
        <w:szCs w:val="20"/>
      </w:rPr>
    </w:pPr>
  </w:p>
  <w:p w14:paraId="37EB50C5" w14:textId="77777777" w:rsidR="005F3FCF" w:rsidRPr="005F3FCF" w:rsidRDefault="005F3FCF" w:rsidP="005F3FCF">
    <w:pPr>
      <w:ind w:left="342"/>
      <w:jc w:val="center"/>
      <w:rPr>
        <w:rFonts w:ascii="Gotham Bold" w:hAnsi="Gotham Bold"/>
        <w:color w:val="404040"/>
        <w:sz w:val="22"/>
        <w:szCs w:val="22"/>
      </w:rPr>
    </w:pPr>
  </w:p>
  <w:p w14:paraId="59866AC2" w14:textId="77777777" w:rsidR="005F3FCF" w:rsidRPr="005F3FCF" w:rsidRDefault="005F3FCF" w:rsidP="005F3FCF">
    <w:pPr>
      <w:ind w:left="342"/>
      <w:jc w:val="center"/>
      <w:rPr>
        <w:rFonts w:ascii="Calibri" w:hAnsi="Calibri" w:cs="Calibri"/>
        <w:color w:val="404040"/>
        <w:sz w:val="21"/>
        <w:szCs w:val="21"/>
      </w:rPr>
    </w:pPr>
  </w:p>
  <w:p w14:paraId="14BA8279" w14:textId="77777777" w:rsidR="005F3FCF" w:rsidRPr="005F3FCF" w:rsidRDefault="005F3FCF" w:rsidP="005F3FCF">
    <w:pPr>
      <w:ind w:left="342"/>
      <w:jc w:val="center"/>
      <w:rPr>
        <w:rFonts w:ascii="Calibri" w:hAnsi="Calibri" w:cs="Calibri"/>
        <w:color w:val="404040"/>
        <w:sz w:val="21"/>
        <w:szCs w:val="21"/>
      </w:rPr>
    </w:pPr>
  </w:p>
  <w:p w14:paraId="522C284F" w14:textId="77777777" w:rsidR="005F3FCF" w:rsidRPr="005F3FCF" w:rsidRDefault="005F3FCF" w:rsidP="005F3FCF">
    <w:pPr>
      <w:ind w:left="342"/>
      <w:jc w:val="center"/>
      <w:rPr>
        <w:rFonts w:ascii="Calibri" w:hAnsi="Calibri" w:cs="Calibri"/>
        <w:color w:val="404040"/>
        <w:sz w:val="21"/>
        <w:szCs w:val="21"/>
      </w:rPr>
    </w:pPr>
    <w:r w:rsidRPr="005F3FCF">
      <w:rPr>
        <w:rFonts w:ascii="Calibri" w:hAnsi="Calibri" w:cs="Calibri"/>
        <w:color w:val="404040"/>
        <w:sz w:val="21"/>
        <w:szCs w:val="21"/>
      </w:rPr>
      <w:t>EXECUTIVE SUMMARY</w:t>
    </w:r>
  </w:p>
  <w:p w14:paraId="03133C10" w14:textId="77777777" w:rsidR="005F3FCF" w:rsidRPr="005F3FCF" w:rsidRDefault="005F3FCF" w:rsidP="005F3FCF">
    <w:pPr>
      <w:ind w:left="342"/>
      <w:jc w:val="center"/>
      <w:rPr>
        <w:rFonts w:ascii="Calibri" w:hAnsi="Calibri" w:cs="Calibri"/>
        <w:color w:val="404040"/>
        <w:szCs w:val="20"/>
      </w:rPr>
    </w:pPr>
    <w:r w:rsidRPr="005F3FCF">
      <w:rPr>
        <w:rFonts w:ascii="Calibri" w:hAnsi="Calibri" w:cs="Calibri"/>
        <w:color w:val="404040"/>
        <w:sz w:val="21"/>
        <w:szCs w:val="21"/>
      </w:rPr>
      <w:t xml:space="preserve">Salt Lake City is committed to creating a City that provides opportunity for all of its residents. To further this mission, Salt </w:t>
    </w:r>
    <w:r w:rsidRPr="005F3FCF">
      <w:rPr>
        <w:rFonts w:ascii="Calibri" w:hAnsi="Calibri" w:cs="Calibri"/>
        <w:color w:val="404040"/>
        <w:szCs w:val="20"/>
      </w:rPr>
      <w:t xml:space="preserve">Lake City Mayor Jacqueline Biskupski has created three supporting goals: equity, empowerment, and resilience. Salt Lake City Housing and Neighborhood Development Division (HAND) is committed to furthering these goals. The Consolidated Plan, Neighborhoods of Opportunity, and the Federal Funding provided by the U.S. Department of Housing and Urban Development (HUD) allow HAND to help further these goals and to significantly improve the lives of Salt Lake City residents, particularly the most vulnerable. </w:t>
    </w:r>
  </w:p>
  <w:p w14:paraId="13F3F1BB" w14:textId="77777777" w:rsidR="005F3FCF" w:rsidRPr="005F3FCF" w:rsidRDefault="005F3FCF" w:rsidP="005F3FCF">
    <w:pPr>
      <w:ind w:left="342"/>
      <w:jc w:val="center"/>
      <w:rPr>
        <w:rFonts w:ascii="Calibri" w:hAnsi="Calibri" w:cs="Calibri"/>
        <w:color w:val="404040"/>
        <w:szCs w:val="20"/>
      </w:rPr>
    </w:pPr>
  </w:p>
  <w:p w14:paraId="108D4418" w14:textId="77777777" w:rsidR="005F3FCF" w:rsidRDefault="005F3FCF" w:rsidP="005F3FCF">
    <w:pPr>
      <w:ind w:left="342"/>
      <w:jc w:val="center"/>
      <w:rPr>
        <w:rFonts w:asciiTheme="minorHAnsi" w:hAnsiTheme="minorHAnsi" w:cstheme="minorHAnsi"/>
        <w:color w:val="404040" w:themeColor="text1" w:themeTint="BF"/>
        <w:szCs w:val="20"/>
      </w:rPr>
    </w:pPr>
    <w:r w:rsidRPr="005F3FCF">
      <w:rPr>
        <w:rFonts w:ascii="Calibri" w:hAnsi="Calibri" w:cs="Calibri"/>
        <w:color w:val="404040"/>
        <w:szCs w:val="20"/>
      </w:rPr>
      <w:t>In accordance with the Federal Regulations 24 CFR Part 570, the Consolidated Annual Performance and Evaluation Report (CAPER) for the period of July 1, 2017 through June 30, 2018 was prepared for Salt Lake City Corporation. The CAPER describes the activities undertaken during this time period for funding from HUD under the Community Development Block Grant (CDBG</w:t>
    </w:r>
    <w:r w:rsidRPr="00C83460">
      <w:rPr>
        <w:rFonts w:asciiTheme="minorHAnsi" w:hAnsiTheme="minorHAnsi" w:cstheme="minorHAnsi"/>
        <w:color w:val="404040" w:themeColor="text1" w:themeTint="BF"/>
        <w:szCs w:val="20"/>
      </w:rPr>
      <w:t xml:space="preserve">), Emergency Solutions Grant (ESG), Home Investment Partnership (HOME), and Housing Opportunities for Persons with </w:t>
    </w:r>
    <w:r>
      <w:rPr>
        <w:rFonts w:asciiTheme="minorHAnsi" w:hAnsiTheme="minorHAnsi" w:cstheme="minorHAnsi"/>
        <w:color w:val="404040" w:themeColor="text1" w:themeTint="BF"/>
        <w:szCs w:val="20"/>
      </w:rPr>
      <w:t>HIV/</w:t>
    </w:r>
    <w:r w:rsidRPr="00C83460">
      <w:rPr>
        <w:rFonts w:asciiTheme="minorHAnsi" w:hAnsiTheme="minorHAnsi" w:cstheme="minorHAnsi"/>
        <w:color w:val="404040" w:themeColor="text1" w:themeTint="BF"/>
        <w:szCs w:val="20"/>
      </w:rPr>
      <w:t>AIDS (HOPWA) Programs. The projects, activities and accomplishments described in the CAPER principally benefit low and low-moderate income residents of the City. The funding has been target</w:t>
    </w:r>
    <w:r>
      <w:rPr>
        <w:rFonts w:asciiTheme="minorHAnsi" w:hAnsiTheme="minorHAnsi" w:cstheme="minorHAnsi"/>
        <w:color w:val="404040" w:themeColor="text1" w:themeTint="BF"/>
        <w:szCs w:val="20"/>
      </w:rPr>
      <w:t>ed</w:t>
    </w:r>
    <w:r w:rsidRPr="00C83460">
      <w:rPr>
        <w:rFonts w:asciiTheme="minorHAnsi" w:hAnsiTheme="minorHAnsi" w:cstheme="minorHAnsi"/>
        <w:color w:val="404040" w:themeColor="text1" w:themeTint="BF"/>
        <w:szCs w:val="20"/>
      </w:rPr>
      <w:t xml:space="preserve"> to neighborhoods where there is a high percentage of low and low-moderate income residents. The following is the overall program narrative based on the 2015-2019 Consolidated Plan and associated Annual Action Plans. This is the CAPER for the </w:t>
    </w:r>
    <w:r>
      <w:rPr>
        <w:rFonts w:asciiTheme="minorHAnsi" w:hAnsiTheme="minorHAnsi" w:cstheme="minorHAnsi"/>
        <w:color w:val="404040" w:themeColor="text1" w:themeTint="BF"/>
        <w:szCs w:val="20"/>
      </w:rPr>
      <w:t>third</w:t>
    </w:r>
    <w:r w:rsidRPr="00C83460">
      <w:rPr>
        <w:rFonts w:asciiTheme="minorHAnsi" w:hAnsiTheme="minorHAnsi" w:cstheme="minorHAnsi"/>
        <w:color w:val="404040" w:themeColor="text1" w:themeTint="BF"/>
        <w:szCs w:val="20"/>
      </w:rPr>
      <w:t xml:space="preserve"> year of the Consolidated Plan.</w:t>
    </w:r>
  </w:p>
  <w:p w14:paraId="1679F6D5" w14:textId="77777777" w:rsidR="005F3FCF" w:rsidRPr="005F3FCF" w:rsidRDefault="005F3FCF" w:rsidP="005F3FCF">
    <w:pPr>
      <w:ind w:left="342"/>
      <w:jc w:val="center"/>
      <w:rPr>
        <w:rFonts w:ascii="Calibri" w:hAnsi="Calibri" w:cs="Calibri"/>
        <w:color w:val="404040"/>
        <w:szCs w:val="20"/>
      </w:rPr>
    </w:pPr>
  </w:p>
  <w:p w14:paraId="5FFF0000" w14:textId="77777777" w:rsidR="005F3FCF" w:rsidRPr="005F3FCF" w:rsidRDefault="005F3FCF" w:rsidP="005F3FCF">
    <w:pPr>
      <w:ind w:left="342"/>
      <w:jc w:val="center"/>
      <w:rPr>
        <w:rFonts w:ascii="Calibri" w:hAnsi="Calibri" w:cs="Calibri"/>
        <w:color w:val="FF0000"/>
        <w:szCs w:val="20"/>
      </w:rPr>
    </w:pPr>
    <w:r w:rsidRPr="005F3FCF">
      <w:rPr>
        <w:rFonts w:ascii="Calibri" w:hAnsi="Calibri" w:cs="Calibri"/>
        <w:color w:val="404040"/>
        <w:szCs w:val="20"/>
      </w:rPr>
      <w:t xml:space="preserve">2017-2018 </w:t>
    </w:r>
    <w:r w:rsidRPr="005F3FCF">
      <w:rPr>
        <w:rFonts w:ascii="Calibri" w:hAnsi="Calibri" w:cs="Calibri"/>
        <w:color w:val="FF0000"/>
        <w:szCs w:val="20"/>
      </w:rPr>
      <w:t>FUNDS AVAILABLE</w:t>
    </w:r>
  </w:p>
  <w:tbl>
    <w:tblPr>
      <w:tblW w:w="0" w:type="auto"/>
      <w:tblInd w:w="360" w:type="dxa"/>
      <w:shd w:val="clear" w:color="auto" w:fill="D9D9D9"/>
      <w:tblLayout w:type="fixed"/>
      <w:tblLook w:val="01E0" w:firstRow="1" w:lastRow="1" w:firstColumn="1" w:lastColumn="1" w:noHBand="0" w:noVBand="0"/>
    </w:tblPr>
    <w:tblGrid>
      <w:gridCol w:w="6608"/>
      <w:gridCol w:w="3328"/>
    </w:tblGrid>
    <w:tr w:rsidR="005F3FCF" w:rsidRPr="00882C27" w14:paraId="22B96C65" w14:textId="77777777" w:rsidTr="005F3FCF">
      <w:tc>
        <w:tcPr>
          <w:tcW w:w="6608" w:type="dxa"/>
          <w:vAlign w:val="center"/>
        </w:tcPr>
        <w:p w14:paraId="54AFE9CC" w14:textId="77777777" w:rsidR="005F3FCF" w:rsidRPr="005F3FCF" w:rsidRDefault="005F3FCF" w:rsidP="005F3FCF">
          <w:pPr>
            <w:ind w:left="342"/>
            <w:jc w:val="center"/>
            <w:rPr>
              <w:rFonts w:ascii="Gotham Book" w:hAnsi="Gotham Book"/>
              <w:b/>
              <w:color w:val="404040"/>
              <w:sz w:val="22"/>
              <w:szCs w:val="22"/>
            </w:rPr>
          </w:pPr>
          <w:r w:rsidRPr="005F3FCF">
            <w:rPr>
              <w:rFonts w:ascii="Gotham Book" w:hAnsi="Gotham Book"/>
              <w:b/>
              <w:color w:val="404040"/>
              <w:sz w:val="22"/>
              <w:szCs w:val="22"/>
            </w:rPr>
            <w:t>GRANT</w:t>
          </w:r>
        </w:p>
      </w:tc>
      <w:tc>
        <w:tcPr>
          <w:tcW w:w="3328" w:type="dxa"/>
          <w:vAlign w:val="center"/>
        </w:tcPr>
        <w:p w14:paraId="7BA9233A"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FUNDING AVAILABLE</w:t>
          </w:r>
        </w:p>
      </w:tc>
    </w:tr>
    <w:tr w:rsidR="005F3FCF" w:rsidRPr="00882C27" w14:paraId="28E703E7" w14:textId="77777777" w:rsidTr="005F3FCF">
      <w:tc>
        <w:tcPr>
          <w:tcW w:w="6608" w:type="dxa"/>
          <w:vAlign w:val="center"/>
        </w:tcPr>
        <w:p w14:paraId="3E803024" w14:textId="77777777" w:rsidR="005F3FCF" w:rsidRPr="005F3FCF" w:rsidRDefault="005F3FCF" w:rsidP="005F3FCF">
          <w:pPr>
            <w:pStyle w:val="Title"/>
            <w:spacing w:after="120"/>
            <w:ind w:right="360"/>
            <w:jc w:val="left"/>
            <w:rPr>
              <w:rFonts w:ascii="Gotham Book" w:hAnsi="Gotham Book"/>
              <w:color w:val="404040"/>
              <w:sz w:val="22"/>
              <w:szCs w:val="22"/>
            </w:rPr>
          </w:pPr>
          <w:r w:rsidRPr="005F3FCF">
            <w:rPr>
              <w:rFonts w:ascii="Gotham Book" w:hAnsi="Gotham Book"/>
              <w:color w:val="404040"/>
              <w:sz w:val="22"/>
              <w:szCs w:val="22"/>
            </w:rPr>
            <w:t>Community Development Block Grant</w:t>
          </w:r>
        </w:p>
      </w:tc>
      <w:tc>
        <w:tcPr>
          <w:tcW w:w="3328" w:type="dxa"/>
          <w:vAlign w:val="center"/>
        </w:tcPr>
        <w:p w14:paraId="56C39990" w14:textId="77777777" w:rsidR="005F3FCF" w:rsidRPr="005F3FCF" w:rsidRDefault="005F3FCF" w:rsidP="005F3FCF">
          <w:pPr>
            <w:pStyle w:val="Title"/>
            <w:spacing w:after="120"/>
            <w:ind w:right="360"/>
            <w:rPr>
              <w:rFonts w:ascii="Gotham Book" w:hAnsi="Gotham Book"/>
              <w:color w:val="404040"/>
              <w:sz w:val="22"/>
              <w:szCs w:val="22"/>
            </w:rPr>
          </w:pPr>
          <w:r w:rsidRPr="005F3FCF">
            <w:rPr>
              <w:rFonts w:ascii="Gotham Book" w:hAnsi="Gotham Book"/>
              <w:color w:val="404040"/>
              <w:sz w:val="22"/>
              <w:szCs w:val="22"/>
            </w:rPr>
            <w:t>$3,235,164</w:t>
          </w:r>
        </w:p>
      </w:tc>
    </w:tr>
    <w:tr w:rsidR="005F3FCF" w:rsidRPr="00882C27" w14:paraId="2B46E564" w14:textId="77777777" w:rsidTr="005F3FCF">
      <w:tc>
        <w:tcPr>
          <w:tcW w:w="6608" w:type="dxa"/>
          <w:vAlign w:val="center"/>
        </w:tcPr>
        <w:p w14:paraId="418D7F8C" w14:textId="77777777" w:rsidR="005F3FCF" w:rsidRPr="005F3FCF" w:rsidRDefault="005F3FCF" w:rsidP="005F3FCF">
          <w:pPr>
            <w:pStyle w:val="Title"/>
            <w:spacing w:after="120"/>
            <w:ind w:right="360"/>
            <w:jc w:val="left"/>
            <w:rPr>
              <w:rFonts w:ascii="Gotham Book" w:hAnsi="Gotham Book"/>
              <w:color w:val="404040"/>
              <w:sz w:val="22"/>
              <w:szCs w:val="22"/>
            </w:rPr>
          </w:pPr>
          <w:r w:rsidRPr="005F3FCF">
            <w:rPr>
              <w:rFonts w:ascii="Gotham Book" w:hAnsi="Gotham Book"/>
              <w:color w:val="404040"/>
              <w:sz w:val="22"/>
              <w:szCs w:val="22"/>
            </w:rPr>
            <w:t>Emergency Solutions Grant</w:t>
          </w:r>
        </w:p>
      </w:tc>
      <w:tc>
        <w:tcPr>
          <w:tcW w:w="3328" w:type="dxa"/>
          <w:vAlign w:val="center"/>
        </w:tcPr>
        <w:p w14:paraId="6C62F466" w14:textId="77777777" w:rsidR="005F3FCF" w:rsidRPr="005F3FCF" w:rsidRDefault="005F3FCF" w:rsidP="005F3FCF">
          <w:pPr>
            <w:pStyle w:val="Title"/>
            <w:spacing w:after="120"/>
            <w:ind w:right="360"/>
            <w:rPr>
              <w:rFonts w:ascii="Gotham Book" w:hAnsi="Gotham Book"/>
              <w:color w:val="404040"/>
              <w:sz w:val="22"/>
              <w:szCs w:val="22"/>
            </w:rPr>
          </w:pPr>
          <w:r w:rsidRPr="005F3FCF">
            <w:rPr>
              <w:rFonts w:ascii="Gotham Book" w:hAnsi="Gotham Book"/>
              <w:color w:val="404040"/>
              <w:sz w:val="22"/>
              <w:szCs w:val="22"/>
            </w:rPr>
            <w:t>$288,788</w:t>
          </w:r>
        </w:p>
      </w:tc>
    </w:tr>
    <w:tr w:rsidR="005F3FCF" w:rsidRPr="00882C27" w14:paraId="3F915C61" w14:textId="77777777" w:rsidTr="005F3FCF">
      <w:tc>
        <w:tcPr>
          <w:tcW w:w="6608" w:type="dxa"/>
          <w:vAlign w:val="center"/>
        </w:tcPr>
        <w:p w14:paraId="59DAFC60" w14:textId="77777777" w:rsidR="005F3FCF" w:rsidRPr="005F3FCF" w:rsidRDefault="005F3FCF" w:rsidP="005F3FCF">
          <w:pPr>
            <w:pStyle w:val="Title"/>
            <w:spacing w:after="120"/>
            <w:ind w:right="360"/>
            <w:jc w:val="left"/>
            <w:rPr>
              <w:rFonts w:ascii="Gotham Book" w:hAnsi="Gotham Book"/>
              <w:color w:val="404040"/>
              <w:sz w:val="22"/>
              <w:szCs w:val="22"/>
            </w:rPr>
          </w:pPr>
          <w:r w:rsidRPr="005F3FCF">
            <w:rPr>
              <w:rFonts w:ascii="Gotham Book" w:hAnsi="Gotham Book"/>
              <w:color w:val="404040"/>
              <w:sz w:val="22"/>
              <w:szCs w:val="22"/>
            </w:rPr>
            <w:t>HOME Investment Partnership</w:t>
          </w:r>
        </w:p>
      </w:tc>
      <w:tc>
        <w:tcPr>
          <w:tcW w:w="3328" w:type="dxa"/>
          <w:vAlign w:val="center"/>
        </w:tcPr>
        <w:p w14:paraId="4110E0EB" w14:textId="77777777" w:rsidR="005F3FCF" w:rsidRPr="005F3FCF" w:rsidRDefault="005F3FCF" w:rsidP="005F3FCF">
          <w:pPr>
            <w:pStyle w:val="Title"/>
            <w:spacing w:after="120"/>
            <w:ind w:right="360"/>
            <w:rPr>
              <w:rFonts w:ascii="Gotham Book" w:hAnsi="Gotham Book"/>
              <w:color w:val="404040"/>
              <w:sz w:val="22"/>
              <w:szCs w:val="22"/>
            </w:rPr>
          </w:pPr>
          <w:r w:rsidRPr="005F3FCF">
            <w:rPr>
              <w:rFonts w:ascii="Gotham Book" w:hAnsi="Gotham Book"/>
              <w:color w:val="404040"/>
              <w:sz w:val="22"/>
              <w:szCs w:val="22"/>
            </w:rPr>
            <w:t>$713,578</w:t>
          </w:r>
        </w:p>
      </w:tc>
    </w:tr>
    <w:tr w:rsidR="005F3FCF" w:rsidRPr="00882C27" w14:paraId="77198948" w14:textId="77777777" w:rsidTr="005F3FCF">
      <w:tc>
        <w:tcPr>
          <w:tcW w:w="6608" w:type="dxa"/>
          <w:vAlign w:val="center"/>
        </w:tcPr>
        <w:p w14:paraId="4691DA3E" w14:textId="77777777" w:rsidR="005F3FCF" w:rsidRPr="005F3FCF" w:rsidRDefault="005F3FCF" w:rsidP="005F3FCF">
          <w:pPr>
            <w:pStyle w:val="Title"/>
            <w:spacing w:after="120"/>
            <w:ind w:right="360"/>
            <w:jc w:val="left"/>
            <w:rPr>
              <w:rFonts w:ascii="Gotham Book" w:hAnsi="Gotham Book"/>
              <w:color w:val="404040"/>
              <w:sz w:val="22"/>
              <w:szCs w:val="22"/>
            </w:rPr>
          </w:pPr>
          <w:r w:rsidRPr="005F3FCF">
            <w:rPr>
              <w:rFonts w:ascii="Gotham Book" w:hAnsi="Gotham Book"/>
              <w:color w:val="404040"/>
              <w:sz w:val="22"/>
              <w:szCs w:val="22"/>
            </w:rPr>
            <w:t>Housing Opportunities for Persons with AIDS</w:t>
          </w:r>
        </w:p>
      </w:tc>
      <w:tc>
        <w:tcPr>
          <w:tcW w:w="3328" w:type="dxa"/>
          <w:vAlign w:val="center"/>
        </w:tcPr>
        <w:p w14:paraId="646E50AA" w14:textId="77777777" w:rsidR="005F3FCF" w:rsidRPr="005F3FCF" w:rsidRDefault="005F3FCF" w:rsidP="005F3FCF">
          <w:pPr>
            <w:pStyle w:val="Title"/>
            <w:spacing w:after="120"/>
            <w:ind w:right="360"/>
            <w:rPr>
              <w:rFonts w:ascii="Gotham Book" w:hAnsi="Gotham Book"/>
              <w:color w:val="404040"/>
              <w:sz w:val="22"/>
              <w:szCs w:val="22"/>
            </w:rPr>
          </w:pPr>
          <w:r w:rsidRPr="005F3FCF">
            <w:rPr>
              <w:rFonts w:ascii="Gotham Book" w:hAnsi="Gotham Book"/>
              <w:color w:val="404040"/>
              <w:sz w:val="22"/>
              <w:szCs w:val="22"/>
            </w:rPr>
            <w:t>$416,846</w:t>
          </w:r>
        </w:p>
      </w:tc>
    </w:tr>
    <w:tr w:rsidR="005F3FCF" w:rsidRPr="00882C27" w14:paraId="3D8B2B73" w14:textId="77777777" w:rsidTr="005F3FCF">
      <w:tc>
        <w:tcPr>
          <w:tcW w:w="6608" w:type="dxa"/>
          <w:vAlign w:val="center"/>
        </w:tcPr>
        <w:p w14:paraId="29B49534" w14:textId="77777777" w:rsidR="005F3FCF" w:rsidRPr="005F3FCF" w:rsidRDefault="005F3FCF" w:rsidP="005F3FCF">
          <w:pPr>
            <w:pStyle w:val="Title"/>
            <w:spacing w:after="120"/>
            <w:ind w:right="360"/>
            <w:jc w:val="left"/>
            <w:rPr>
              <w:rFonts w:ascii="Gotham Book" w:hAnsi="Gotham Book"/>
              <w:color w:val="404040"/>
              <w:sz w:val="22"/>
              <w:szCs w:val="22"/>
            </w:rPr>
          </w:pPr>
          <w:r w:rsidRPr="005F3FCF">
            <w:rPr>
              <w:rFonts w:ascii="Gotham Book" w:hAnsi="Gotham Book"/>
              <w:color w:val="404040"/>
              <w:sz w:val="22"/>
              <w:szCs w:val="22"/>
            </w:rPr>
            <w:t>Reallocated CDBG funds from prior years &amp; program income</w:t>
          </w:r>
        </w:p>
      </w:tc>
      <w:tc>
        <w:tcPr>
          <w:tcW w:w="3328" w:type="dxa"/>
          <w:vAlign w:val="center"/>
        </w:tcPr>
        <w:p w14:paraId="0FCCC416" w14:textId="77777777" w:rsidR="005F3FCF" w:rsidRPr="005F3FCF" w:rsidRDefault="005F3FCF" w:rsidP="005F3FCF">
          <w:pPr>
            <w:pStyle w:val="Title"/>
            <w:spacing w:after="120"/>
            <w:ind w:right="360"/>
            <w:rPr>
              <w:rFonts w:ascii="Gotham Book" w:hAnsi="Gotham Book"/>
              <w:color w:val="404040"/>
              <w:sz w:val="22"/>
              <w:szCs w:val="22"/>
            </w:rPr>
          </w:pPr>
          <w:r w:rsidRPr="005F3FCF">
            <w:rPr>
              <w:rFonts w:ascii="Gotham Book" w:hAnsi="Gotham Book"/>
              <w:color w:val="404040"/>
              <w:sz w:val="22"/>
              <w:szCs w:val="22"/>
            </w:rPr>
            <w:t>$1,425,000</w:t>
          </w:r>
        </w:p>
      </w:tc>
    </w:tr>
    <w:tr w:rsidR="005F3FCF" w:rsidRPr="00882C27" w14:paraId="751D773F" w14:textId="77777777" w:rsidTr="005F3FCF">
      <w:tc>
        <w:tcPr>
          <w:tcW w:w="6608" w:type="dxa"/>
          <w:vAlign w:val="center"/>
        </w:tcPr>
        <w:p w14:paraId="1F0EC21B" w14:textId="77777777" w:rsidR="005F3FCF" w:rsidRPr="005F3FCF" w:rsidRDefault="005F3FCF" w:rsidP="005F3FCF">
          <w:pPr>
            <w:pStyle w:val="Title"/>
            <w:spacing w:after="120"/>
            <w:ind w:right="360"/>
            <w:jc w:val="left"/>
            <w:rPr>
              <w:rFonts w:ascii="Gotham Book" w:hAnsi="Gotham Book"/>
              <w:color w:val="404040"/>
              <w:sz w:val="22"/>
              <w:szCs w:val="22"/>
            </w:rPr>
          </w:pPr>
          <w:r w:rsidRPr="005F3FCF">
            <w:rPr>
              <w:rFonts w:ascii="Gotham Book" w:hAnsi="Gotham Book"/>
              <w:color w:val="404040"/>
              <w:sz w:val="22"/>
              <w:szCs w:val="22"/>
            </w:rPr>
            <w:t>Reallocated ESG funds from prior years</w:t>
          </w:r>
        </w:p>
      </w:tc>
      <w:tc>
        <w:tcPr>
          <w:tcW w:w="3328" w:type="dxa"/>
          <w:vAlign w:val="center"/>
        </w:tcPr>
        <w:p w14:paraId="14394BCB" w14:textId="77777777" w:rsidR="005F3FCF" w:rsidRPr="005F3FCF" w:rsidRDefault="005F3FCF" w:rsidP="005F3FCF">
          <w:pPr>
            <w:pStyle w:val="Title"/>
            <w:spacing w:after="120"/>
            <w:ind w:right="360"/>
            <w:rPr>
              <w:rFonts w:ascii="Gotham Book" w:hAnsi="Gotham Book"/>
              <w:color w:val="404040"/>
              <w:sz w:val="22"/>
              <w:szCs w:val="22"/>
            </w:rPr>
          </w:pPr>
          <w:r w:rsidRPr="005F3FCF">
            <w:rPr>
              <w:rFonts w:ascii="Gotham Book" w:hAnsi="Gotham Book"/>
              <w:color w:val="404040"/>
              <w:sz w:val="22"/>
              <w:szCs w:val="22"/>
            </w:rPr>
            <w:t>$14,494</w:t>
          </w:r>
        </w:p>
      </w:tc>
    </w:tr>
    <w:tr w:rsidR="005F3FCF" w:rsidRPr="00882C27" w14:paraId="33E83E70" w14:textId="77777777" w:rsidTr="005F3FCF">
      <w:tc>
        <w:tcPr>
          <w:tcW w:w="6608" w:type="dxa"/>
          <w:vAlign w:val="center"/>
        </w:tcPr>
        <w:p w14:paraId="06749730" w14:textId="77777777" w:rsidR="005F3FCF" w:rsidRPr="005F3FCF" w:rsidRDefault="005F3FCF" w:rsidP="005F3FCF">
          <w:pPr>
            <w:pStyle w:val="Title"/>
            <w:spacing w:after="120"/>
            <w:ind w:right="360"/>
            <w:jc w:val="left"/>
            <w:rPr>
              <w:rFonts w:ascii="Gotham Book" w:hAnsi="Gotham Book"/>
              <w:color w:val="404040"/>
              <w:sz w:val="22"/>
              <w:szCs w:val="22"/>
            </w:rPr>
          </w:pPr>
          <w:r w:rsidRPr="005F3FCF">
            <w:rPr>
              <w:rFonts w:ascii="Gotham Book" w:hAnsi="Gotham Book"/>
              <w:color w:val="404040"/>
              <w:sz w:val="22"/>
              <w:szCs w:val="22"/>
            </w:rPr>
            <w:t>Reallocated HOME funds from prior years &amp; program income</w:t>
          </w:r>
        </w:p>
      </w:tc>
      <w:tc>
        <w:tcPr>
          <w:tcW w:w="3328" w:type="dxa"/>
          <w:vAlign w:val="center"/>
        </w:tcPr>
        <w:p w14:paraId="41D8C41C" w14:textId="77777777" w:rsidR="005F3FCF" w:rsidRPr="005F3FCF" w:rsidRDefault="005F3FCF" w:rsidP="005F3FCF">
          <w:pPr>
            <w:pStyle w:val="Title"/>
            <w:spacing w:after="120"/>
            <w:ind w:right="360"/>
            <w:rPr>
              <w:rFonts w:ascii="Gotham Book" w:hAnsi="Gotham Book"/>
              <w:color w:val="404040"/>
              <w:sz w:val="22"/>
              <w:szCs w:val="22"/>
            </w:rPr>
          </w:pPr>
          <w:r w:rsidRPr="005F3FCF">
            <w:rPr>
              <w:rFonts w:ascii="Gotham Book" w:hAnsi="Gotham Book"/>
              <w:color w:val="404040"/>
              <w:sz w:val="22"/>
              <w:szCs w:val="22"/>
            </w:rPr>
            <w:t>$576,000</w:t>
          </w:r>
        </w:p>
      </w:tc>
    </w:tr>
    <w:tr w:rsidR="005F3FCF" w:rsidRPr="00882C27" w14:paraId="6CEF3F66" w14:textId="77777777" w:rsidTr="005F3FCF">
      <w:tc>
        <w:tcPr>
          <w:tcW w:w="6608" w:type="dxa"/>
          <w:vAlign w:val="center"/>
        </w:tcPr>
        <w:p w14:paraId="6FB0277A" w14:textId="77777777" w:rsidR="005F3FCF" w:rsidRPr="005F3FCF" w:rsidRDefault="005F3FCF" w:rsidP="005F3FCF">
          <w:pPr>
            <w:pStyle w:val="Title"/>
            <w:spacing w:after="120"/>
            <w:ind w:right="360"/>
            <w:jc w:val="left"/>
            <w:rPr>
              <w:rFonts w:ascii="Gotham Book" w:hAnsi="Gotham Book"/>
              <w:color w:val="404040"/>
              <w:sz w:val="22"/>
              <w:szCs w:val="22"/>
            </w:rPr>
          </w:pPr>
          <w:r w:rsidRPr="005F3FCF">
            <w:rPr>
              <w:rFonts w:ascii="Gotham Book" w:hAnsi="Gotham Book"/>
              <w:color w:val="404040"/>
              <w:sz w:val="22"/>
              <w:szCs w:val="22"/>
            </w:rPr>
            <w:t>Reallocated HOPWA from prior years</w:t>
          </w:r>
        </w:p>
      </w:tc>
      <w:tc>
        <w:tcPr>
          <w:tcW w:w="3328" w:type="dxa"/>
          <w:vAlign w:val="center"/>
        </w:tcPr>
        <w:p w14:paraId="53E75686" w14:textId="77777777" w:rsidR="005F3FCF" w:rsidRPr="00394C69" w:rsidRDefault="005F3FCF" w:rsidP="005F3FCF">
          <w:pPr>
            <w:pStyle w:val="Title"/>
            <w:spacing w:after="120"/>
            <w:ind w:right="360"/>
            <w:rPr>
              <w:rFonts w:asciiTheme="minorHAnsi" w:hAnsiTheme="minorHAnsi" w:cstheme="minorHAnsi"/>
              <w:color w:val="404040" w:themeColor="text1" w:themeTint="BF"/>
              <w:szCs w:val="20"/>
            </w:rPr>
          </w:pPr>
          <w:r w:rsidRPr="005F3FCF">
            <w:rPr>
              <w:rFonts w:ascii="Gotham Book" w:hAnsi="Gotham Book"/>
              <w:color w:val="404040"/>
              <w:sz w:val="22"/>
              <w:szCs w:val="22"/>
            </w:rPr>
            <w:t>$27,149</w:t>
          </w:r>
        </w:p>
      </w:tc>
    </w:tr>
    <w:tr w:rsidR="005F3FCF" w:rsidRPr="00882C27" w14:paraId="7E64B508" w14:textId="77777777" w:rsidTr="005F3FCF">
      <w:tc>
        <w:tcPr>
          <w:tcW w:w="6608" w:type="dxa"/>
          <w:vAlign w:val="center"/>
        </w:tcPr>
        <w:p w14:paraId="31601B66" w14:textId="77777777" w:rsidR="005F3FCF" w:rsidRPr="005F3FCF" w:rsidRDefault="005F3FCF" w:rsidP="005F3FCF">
          <w:pPr>
            <w:pStyle w:val="Title"/>
            <w:spacing w:after="120"/>
            <w:ind w:right="360"/>
            <w:jc w:val="left"/>
            <w:rPr>
              <w:rFonts w:ascii="Gotham Book" w:hAnsi="Gotham Book"/>
              <w:b/>
              <w:color w:val="404040"/>
              <w:sz w:val="22"/>
              <w:szCs w:val="22"/>
            </w:rPr>
          </w:pPr>
          <w:r w:rsidRPr="005F3FCF">
            <w:rPr>
              <w:rFonts w:ascii="Gotham Book" w:hAnsi="Gotham Book"/>
              <w:b/>
              <w:color w:val="404040"/>
              <w:sz w:val="22"/>
              <w:szCs w:val="22"/>
            </w:rPr>
            <w:t>Total</w:t>
          </w:r>
        </w:p>
      </w:tc>
      <w:tc>
        <w:tcPr>
          <w:tcW w:w="3328" w:type="dxa"/>
          <w:vAlign w:val="center"/>
        </w:tcPr>
        <w:p w14:paraId="4F07EEE5"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$5,272,037</w:t>
          </w:r>
        </w:p>
      </w:tc>
    </w:tr>
  </w:tbl>
  <w:p w14:paraId="7881FF0C" w14:textId="77777777" w:rsidR="005F3FCF" w:rsidRPr="005F3FCF" w:rsidRDefault="005F3FCF" w:rsidP="005068B5">
    <w:pPr>
      <w:pStyle w:val="Title"/>
      <w:spacing w:after="120"/>
      <w:ind w:left="360" w:right="360"/>
      <w:jc w:val="left"/>
      <w:rPr>
        <w:rFonts w:ascii="Gotham Book" w:hAnsi="Gotham Book"/>
        <w:color w:val="404040"/>
        <w:sz w:val="22"/>
        <w:szCs w:val="22"/>
      </w:rPr>
    </w:pPr>
  </w:p>
  <w:p w14:paraId="2E22550A" w14:textId="77777777" w:rsidR="005F3FCF" w:rsidRPr="005F3FCF" w:rsidRDefault="005F3FCF" w:rsidP="005F3FCF">
    <w:pPr>
      <w:pStyle w:val="Title"/>
      <w:spacing w:after="120"/>
      <w:ind w:left="360"/>
      <w:rPr>
        <w:rFonts w:ascii="Gotham Book" w:hAnsi="Gotham Book"/>
        <w:color w:val="404040"/>
        <w:sz w:val="22"/>
        <w:szCs w:val="22"/>
      </w:rPr>
    </w:pPr>
  </w:p>
  <w:p w14:paraId="762526D6" w14:textId="77777777" w:rsidR="005F3FCF" w:rsidRPr="005F3FCF" w:rsidRDefault="005F3FCF" w:rsidP="005F3FCF">
    <w:pPr>
      <w:pStyle w:val="Title"/>
      <w:spacing w:after="120"/>
      <w:rPr>
        <w:rFonts w:ascii="Gotham Book" w:hAnsi="Gotham Book"/>
        <w:b/>
        <w:color w:val="323E4F"/>
        <w:sz w:val="24"/>
      </w:rPr>
    </w:pPr>
  </w:p>
  <w:p w14:paraId="0A4FE784" w14:textId="77777777" w:rsidR="005F3FCF" w:rsidRPr="005F3FCF" w:rsidRDefault="005F3FCF" w:rsidP="005F3FCF">
    <w:pPr>
      <w:pStyle w:val="Title"/>
      <w:spacing w:after="120"/>
      <w:ind w:left="360"/>
      <w:rPr>
        <w:rFonts w:ascii="Calibri" w:hAnsi="Calibri" w:cs="Calibri"/>
        <w:i/>
        <w:color w:val="FF0000"/>
        <w:sz w:val="18"/>
        <w:szCs w:val="18"/>
      </w:rPr>
    </w:pPr>
    <w:r w:rsidRPr="005F3FCF">
      <w:rPr>
        <w:rFonts w:ascii="Gotham Book" w:hAnsi="Gotham Book"/>
        <w:b/>
        <w:color w:val="323E4F"/>
        <w:sz w:val="24"/>
      </w:rPr>
      <w:br w:type="page"/>
    </w:r>
    <w:r w:rsidRPr="005F3FCF">
      <w:rPr>
        <w:rFonts w:ascii="Calibri" w:hAnsi="Calibri" w:cs="Calibri"/>
        <w:b/>
        <w:color w:val="44546A"/>
        <w:sz w:val="24"/>
      </w:rPr>
      <w:t xml:space="preserve">CR-05 ASSESSMENT OF GOALS AND OBJECTIVES </w:t>
    </w:r>
    <w:r w:rsidRPr="005F3FCF">
      <w:rPr>
        <w:rFonts w:ascii="Calibri" w:hAnsi="Calibri" w:cs="Calibri"/>
        <w:i/>
        <w:color w:val="44546A"/>
        <w:sz w:val="18"/>
        <w:szCs w:val="18"/>
      </w:rPr>
      <w:t>– 91.520(a), 91.520(g)</w:t>
    </w:r>
  </w:p>
  <w:p w14:paraId="36716B86" w14:textId="77777777" w:rsidR="005F3FCF" w:rsidRPr="005F3FCF" w:rsidRDefault="005F3FCF" w:rsidP="005F3FCF">
    <w:pPr>
      <w:pStyle w:val="Title"/>
      <w:spacing w:after="120"/>
      <w:ind w:left="360"/>
      <w:rPr>
        <w:rFonts w:ascii="Gotham Book" w:hAnsi="Gotham Book"/>
        <w:b/>
        <w:color w:val="323E4F"/>
        <w:sz w:val="24"/>
      </w:rPr>
    </w:pPr>
  </w:p>
  <w:p w14:paraId="3836D2D7" w14:textId="77777777" w:rsidR="005F3FCF" w:rsidRPr="005F3FCF" w:rsidRDefault="005F3FCF" w:rsidP="005F3FCF">
    <w:pPr>
      <w:pStyle w:val="Title"/>
      <w:spacing w:after="120"/>
      <w:ind w:left="360"/>
      <w:rPr>
        <w:rFonts w:ascii="Calibri" w:hAnsi="Calibri" w:cs="Calibri"/>
        <w:b/>
        <w:color w:val="FF0000"/>
        <w:szCs w:val="20"/>
      </w:rPr>
    </w:pPr>
    <w:r w:rsidRPr="005F3FCF">
      <w:rPr>
        <w:rFonts w:ascii="Gotham Book" w:hAnsi="Gotham Book"/>
        <w:b/>
        <w:color w:val="323E4F"/>
        <w:sz w:val="24"/>
      </w:rPr>
      <w:t>Progress</w:t>
    </w:r>
    <w:r w:rsidRPr="005F3FCF">
      <w:rPr>
        <w:rFonts w:ascii="Calibri" w:hAnsi="Calibri" w:cs="Calibri"/>
        <w:b/>
        <w:color w:val="FF0000"/>
        <w:szCs w:val="20"/>
      </w:rPr>
      <w:t xml:space="preserve"> Salt Lake City has made in carrying out its strategic plan and action plan. (91.520(a))</w:t>
    </w:r>
  </w:p>
  <w:p w14:paraId="2A434FCF" w14:textId="77777777" w:rsidR="005F3FCF" w:rsidRPr="005F3FCF" w:rsidRDefault="005F3FCF" w:rsidP="005F3FCF">
    <w:pPr>
      <w:pStyle w:val="Title"/>
      <w:spacing w:after="120"/>
      <w:ind w:left="360"/>
      <w:rPr>
        <w:rFonts w:ascii="Calibri" w:hAnsi="Calibri" w:cs="Calibri"/>
        <w:i/>
        <w:color w:val="404040"/>
        <w:sz w:val="18"/>
        <w:szCs w:val="18"/>
      </w:rPr>
    </w:pPr>
    <w:r w:rsidRPr="005F3FCF">
      <w:rPr>
        <w:rFonts w:ascii="Gotham Book" w:hAnsi="Gotham Book"/>
        <w:b/>
        <w:color w:val="323E4F"/>
        <w:sz w:val="24"/>
      </w:rPr>
      <w:t>This</w:t>
    </w:r>
    <w:r w:rsidRPr="005F3FCF">
      <w:rPr>
        <w:rFonts w:ascii="Calibri" w:hAnsi="Calibri" w:cs="Calibri"/>
        <w:i/>
        <w:color w:val="404040"/>
        <w:sz w:val="18"/>
        <w:szCs w:val="18"/>
      </w:rPr>
      <w:t xml:space="preserve"> could be an overview that includes major initiatives and highlights that were proposed and executed throughout the program year.</w:t>
    </w:r>
  </w:p>
  <w:p w14:paraId="73597989" w14:textId="77777777" w:rsidR="005F3FCF" w:rsidRPr="005F3FCF" w:rsidRDefault="005F3FCF" w:rsidP="005F3FCF">
    <w:pPr>
      <w:pStyle w:val="Title"/>
      <w:spacing w:after="120"/>
      <w:ind w:left="360"/>
      <w:rPr>
        <w:rFonts w:ascii="Gotham Book" w:hAnsi="Gotham Book"/>
        <w:b/>
        <w:color w:val="323E4F"/>
        <w:sz w:val="24"/>
      </w:rPr>
    </w:pPr>
  </w:p>
  <w:p w14:paraId="4A986598" w14:textId="77777777" w:rsidR="005F3FCF" w:rsidRPr="005F3FCF" w:rsidRDefault="005F3FCF" w:rsidP="005F3FCF">
    <w:pPr>
      <w:pStyle w:val="Title"/>
      <w:spacing w:after="120"/>
      <w:ind w:left="360"/>
      <w:rPr>
        <w:rFonts w:ascii="Calibri" w:hAnsi="Calibri" w:cs="Calibri"/>
        <w:color w:val="404040"/>
        <w:szCs w:val="20"/>
      </w:rPr>
    </w:pPr>
    <w:r w:rsidRPr="005F3FCF">
      <w:rPr>
        <w:rFonts w:ascii="Gotham Book" w:hAnsi="Gotham Book"/>
        <w:b/>
        <w:color w:val="323E4F"/>
        <w:sz w:val="24"/>
      </w:rPr>
      <w:t>The</w:t>
    </w:r>
    <w:r w:rsidRPr="005F3FCF">
      <w:rPr>
        <w:rFonts w:ascii="Calibri" w:hAnsi="Calibri" w:cs="Calibri"/>
        <w:color w:val="404040"/>
        <w:szCs w:val="20"/>
      </w:rPr>
      <w:t xml:space="preserve"> priorities and goals as outlined in Salt Lake City's 2015-2019 Consolidated Plan served as the foundation for program year 2017-2018 projects and activities. The Consolidated Plan encourages capacity in neighborhoods with concentrated poverty and supports at-risk populations by promoting goals that increase access to housing, education, health, transportation and economic development. Many projects and activities that were undertaken this year were done within a specific geographical area, which allowed us to leverage other funding sources. This overall strategic alignment has yielded positive results and created new partnerships within the community. The overarching priorities and goals addressed during the 2017-18 program year are as follows:</w:t>
    </w:r>
  </w:p>
  <w:p w14:paraId="537E568D" w14:textId="77777777" w:rsidR="005F3FCF" w:rsidRPr="005F3FCF" w:rsidRDefault="005F3FCF" w:rsidP="005F3FCF">
    <w:pPr>
      <w:pStyle w:val="Title"/>
      <w:spacing w:after="120"/>
      <w:ind w:left="360"/>
      <w:rPr>
        <w:rFonts w:ascii="Calibri" w:hAnsi="Calibri" w:cs="Calibri"/>
        <w:color w:val="404040"/>
        <w:szCs w:val="20"/>
      </w:rPr>
    </w:pPr>
  </w:p>
  <w:p w14:paraId="30CB535D" w14:textId="77777777" w:rsidR="005F3FCF" w:rsidRPr="005F3FCF" w:rsidRDefault="005F3FCF" w:rsidP="005F3FCF">
    <w:pPr>
      <w:pStyle w:val="Title"/>
      <w:spacing w:after="120"/>
      <w:ind w:left="360"/>
      <w:rPr>
        <w:rFonts w:ascii="Calibri" w:hAnsi="Calibri" w:cs="Calibri"/>
        <w:color w:val="404040"/>
        <w:szCs w:val="20"/>
      </w:rPr>
    </w:pPr>
    <w:r w:rsidRPr="005F3FCF">
      <w:rPr>
        <w:rFonts w:ascii="Calibri" w:hAnsi="Calibri" w:cs="Calibri"/>
        <w:color w:val="404040"/>
        <w:szCs w:val="20"/>
      </w:rPr>
      <w:t>Housing: Provide housing options for all economic and demographic segments of Salt Lake City's population while diversifying the housing stock within neighborhoods.</w:t>
    </w:r>
  </w:p>
  <w:p w14:paraId="0349DF18" w14:textId="77777777" w:rsidR="005F3FCF" w:rsidRPr="005F3FCF" w:rsidRDefault="005F3FCF" w:rsidP="005F3FCF">
    <w:pPr>
      <w:pStyle w:val="Title"/>
      <w:spacing w:after="120"/>
      <w:ind w:left="360"/>
      <w:rPr>
        <w:rFonts w:ascii="Calibri" w:hAnsi="Calibri" w:cs="Calibri"/>
        <w:color w:val="404040"/>
        <w:szCs w:val="20"/>
      </w:rPr>
    </w:pPr>
    <w:r w:rsidRPr="005F3FCF">
      <w:rPr>
        <w:rFonts w:ascii="Calibri" w:hAnsi="Calibri" w:cs="Calibri"/>
        <w:color w:val="404040"/>
        <w:szCs w:val="20"/>
      </w:rPr>
      <w:t>Education: Promote educational opportunities, with focus on reducing intergenerational poverty.</w:t>
    </w:r>
  </w:p>
  <w:p w14:paraId="44005A0F" w14:textId="77777777" w:rsidR="005F3FCF" w:rsidRPr="005F3FCF" w:rsidRDefault="005F3FCF" w:rsidP="005F3FCF">
    <w:pPr>
      <w:pStyle w:val="Title"/>
      <w:spacing w:after="120"/>
      <w:ind w:left="360"/>
      <w:rPr>
        <w:rFonts w:ascii="Calibri" w:hAnsi="Calibri" w:cs="Calibri"/>
        <w:color w:val="404040"/>
        <w:szCs w:val="20"/>
      </w:rPr>
    </w:pPr>
    <w:r w:rsidRPr="005F3FCF">
      <w:rPr>
        <w:rFonts w:ascii="Calibri" w:hAnsi="Calibri" w:cs="Calibri"/>
        <w:color w:val="404040"/>
        <w:szCs w:val="20"/>
      </w:rPr>
      <w:t>Health: Promote access to affordable healthcare, fresh foods, and safe living environments.</w:t>
    </w:r>
  </w:p>
  <w:p w14:paraId="5C8BD016" w14:textId="77777777" w:rsidR="005F3FCF" w:rsidRPr="005F3FCF" w:rsidRDefault="005F3FCF" w:rsidP="005F3FCF">
    <w:pPr>
      <w:pStyle w:val="Title"/>
      <w:spacing w:after="120"/>
      <w:ind w:left="360"/>
      <w:rPr>
        <w:rFonts w:ascii="Calibri" w:hAnsi="Calibri" w:cs="Calibri"/>
        <w:color w:val="404040"/>
        <w:szCs w:val="20"/>
      </w:rPr>
    </w:pPr>
    <w:r w:rsidRPr="005F3FCF">
      <w:rPr>
        <w:rFonts w:ascii="Calibri" w:hAnsi="Calibri" w:cs="Calibri"/>
        <w:color w:val="404040"/>
        <w:szCs w:val="20"/>
      </w:rPr>
      <w:t>Transportation: Promote accessibility and affordability of multimodal transportation.</w:t>
    </w:r>
  </w:p>
  <w:p w14:paraId="7ABAB647" w14:textId="77777777" w:rsidR="005F3FCF" w:rsidRPr="005F3FCF" w:rsidRDefault="005F3FCF" w:rsidP="005F3FCF">
    <w:pPr>
      <w:pStyle w:val="Title"/>
      <w:spacing w:after="120"/>
      <w:ind w:left="360"/>
      <w:rPr>
        <w:rFonts w:ascii="Calibri" w:hAnsi="Calibri" w:cs="Calibri"/>
        <w:color w:val="404040"/>
        <w:szCs w:val="20"/>
      </w:rPr>
    </w:pPr>
    <w:r w:rsidRPr="005F3FCF">
      <w:rPr>
        <w:rFonts w:ascii="Calibri" w:hAnsi="Calibri" w:cs="Calibri"/>
        <w:color w:val="404040"/>
        <w:szCs w:val="20"/>
      </w:rPr>
      <w:t>Economic Development: Expand access to economic mobility and vibrant neighborhood business nodes.</w:t>
    </w:r>
  </w:p>
  <w:p w14:paraId="67EFBD46" w14:textId="77777777" w:rsidR="005F3FCF" w:rsidRPr="005F3FCF" w:rsidRDefault="005F3FCF" w:rsidP="005F3FCF">
    <w:pPr>
      <w:pStyle w:val="Title"/>
      <w:spacing w:after="120"/>
      <w:ind w:left="360"/>
      <w:rPr>
        <w:rFonts w:ascii="Gotham Book" w:hAnsi="Gotham Book"/>
        <w:b/>
        <w:color w:val="323E4F"/>
        <w:sz w:val="24"/>
      </w:rPr>
    </w:pPr>
  </w:p>
  <w:p w14:paraId="733D0D74" w14:textId="77777777" w:rsidR="005F3FCF" w:rsidRPr="005F3FCF" w:rsidRDefault="005F3FCF" w:rsidP="005F3FCF">
    <w:pPr>
      <w:pStyle w:val="Title"/>
      <w:spacing w:after="120"/>
      <w:ind w:left="360"/>
      <w:rPr>
        <w:rFonts w:ascii="Calibri" w:hAnsi="Calibri" w:cs="Calibri"/>
        <w:color w:val="404040"/>
        <w:szCs w:val="20"/>
      </w:rPr>
    </w:pPr>
    <w:r w:rsidRPr="005F3FCF">
      <w:rPr>
        <w:rFonts w:ascii="Calibri" w:hAnsi="Calibri" w:cs="Calibri"/>
        <w:b/>
        <w:color w:val="FF0000"/>
        <w:szCs w:val="20"/>
      </w:rPr>
      <w:t>HAND is working to leverage added investment Salt Lake City’s Redevelopment Agency, which committed $17 million from its budget to be designated for affordable housing throughout the city, and an additional $4 million specifically</w:t>
    </w:r>
    <w:r w:rsidRPr="005F3FCF">
      <w:rPr>
        <w:rFonts w:ascii="Calibri" w:hAnsi="Calibri" w:cs="Calibri"/>
        <w:color w:val="404040"/>
        <w:szCs w:val="20"/>
      </w:rPr>
      <w:t xml:space="preserve"> for housing on the east side of the city in neighborhoods of high opportunity. HAND is working closely with RDA to structure this additional funding.</w:t>
    </w:r>
  </w:p>
  <w:p w14:paraId="083A11FB" w14:textId="77777777" w:rsidR="005F3FCF" w:rsidRPr="005F3FCF" w:rsidRDefault="005F3FCF" w:rsidP="005F3FCF">
    <w:pPr>
      <w:pStyle w:val="Title"/>
      <w:spacing w:after="120"/>
      <w:ind w:left="360"/>
      <w:rPr>
        <w:rFonts w:ascii="Calibri" w:hAnsi="Calibri" w:cs="Calibri"/>
        <w:color w:val="404040"/>
        <w:szCs w:val="20"/>
      </w:rPr>
    </w:pPr>
  </w:p>
  <w:p w14:paraId="36D080F5" w14:textId="77777777" w:rsidR="005F3FCF" w:rsidRPr="00BC4542" w:rsidRDefault="005F3FCF" w:rsidP="005F3FCF">
    <w:pPr>
      <w:pStyle w:val="Title"/>
      <w:spacing w:after="120"/>
      <w:ind w:left="360"/>
      <w:rPr>
        <w:rFonts w:asciiTheme="minorHAnsi" w:hAnsiTheme="minorHAnsi" w:cstheme="minorHAnsi"/>
        <w:color w:val="404040" w:themeColor="text1" w:themeTint="BF"/>
        <w:szCs w:val="20"/>
      </w:rPr>
    </w:pPr>
    <w:r w:rsidRPr="005F3FCF">
      <w:rPr>
        <w:rFonts w:ascii="Calibri" w:hAnsi="Calibri" w:cs="Calibri"/>
        <w:color w:val="404040"/>
        <w:szCs w:val="20"/>
      </w:rPr>
      <w:t xml:space="preserve">Salt Lake City Council recently passed a sales tax increase to fund several efforts in the City. A portion of this increased revenue will be leveraged by HAND to help increase affordable housing opportunities within </w:t>
    </w:r>
    <w:r>
      <w:rPr>
        <w:rFonts w:asciiTheme="minorHAnsi" w:hAnsiTheme="minorHAnsi" w:cstheme="minorHAnsi"/>
        <w:color w:val="404040" w:themeColor="text1" w:themeTint="BF"/>
        <w:szCs w:val="20"/>
      </w:rPr>
      <w:t xml:space="preserve">the City. It is estimated that HAND will have an additional annual amount of $5.2 million in funding for these efforts. </w:t>
    </w:r>
  </w:p>
  <w:p w14:paraId="77F0085F" w14:textId="77777777" w:rsidR="005F3FCF" w:rsidRPr="005F3FCF" w:rsidRDefault="005F3FCF" w:rsidP="005F3FCF">
    <w:pPr>
      <w:pStyle w:val="Title"/>
      <w:spacing w:after="120"/>
      <w:ind w:left="360"/>
      <w:rPr>
        <w:rFonts w:ascii="Calibri" w:hAnsi="Calibri" w:cs="Calibri"/>
        <w:b/>
        <w:color w:val="FF0000"/>
        <w:szCs w:val="20"/>
      </w:rPr>
    </w:pPr>
  </w:p>
  <w:p w14:paraId="4E7E2EC1" w14:textId="77777777" w:rsidR="005F3FCF" w:rsidRPr="005F3FCF" w:rsidRDefault="005F3FCF" w:rsidP="005F3FCF">
    <w:pPr>
      <w:pStyle w:val="Title"/>
      <w:spacing w:after="120"/>
      <w:ind w:left="360"/>
      <w:rPr>
        <w:rFonts w:ascii="Gotham Book" w:hAnsi="Gotham Book"/>
        <w:color w:val="404040"/>
        <w:sz w:val="18"/>
        <w:szCs w:val="18"/>
      </w:rPr>
    </w:pPr>
    <w:r w:rsidRPr="005F3FCF">
      <w:rPr>
        <w:rFonts w:ascii="Calibri" w:hAnsi="Calibri"/>
        <w:i/>
        <w:color w:val="404040"/>
        <w:sz w:val="18"/>
        <w:szCs w:val="18"/>
      </w:rPr>
      <w:t xml:space="preserve">HAND drafted and Council approved a new citywide housing master plan, Growing SLC, which provides a framework and strategy to increase both the total housing stock available in the city and the availability of </w:t>
    </w:r>
    <w:r w:rsidRPr="005F3FCF">
      <w:rPr>
        <w:rFonts w:ascii="Gotham Book" w:hAnsi="Gotham Book"/>
        <w:color w:val="404040"/>
        <w:sz w:val="18"/>
        <w:szCs w:val="18"/>
      </w:rPr>
      <w:t xml:space="preserve">affordable housing units through new development, acquisition, and preservation. Growing SLC relied on a robust public outreach effort and the detailed research conducted over the last several years that has also guided the City’s federal funding allocations. </w:t>
    </w:r>
  </w:p>
  <w:p w14:paraId="59D480E5" w14:textId="77777777" w:rsidR="005F3FCF" w:rsidRPr="005F3FCF" w:rsidRDefault="005F3FCF" w:rsidP="005F3FCF">
    <w:pPr>
      <w:pStyle w:val="Title"/>
      <w:spacing w:after="120"/>
      <w:ind w:left="360"/>
      <w:rPr>
        <w:rFonts w:ascii="Gotham Book" w:hAnsi="Gotham Book"/>
        <w:color w:val="404040"/>
        <w:sz w:val="18"/>
        <w:szCs w:val="18"/>
      </w:rPr>
    </w:pPr>
  </w:p>
  <w:p w14:paraId="4861C8C7" w14:textId="77777777" w:rsidR="005F3FCF" w:rsidRPr="005F3FCF" w:rsidRDefault="005F3FCF" w:rsidP="005F3FCF">
    <w:pPr>
      <w:pStyle w:val="Title"/>
      <w:spacing w:after="120"/>
      <w:ind w:left="360"/>
      <w:rPr>
        <w:rFonts w:ascii="Gotham Book" w:hAnsi="Gotham Book"/>
        <w:color w:val="404040"/>
        <w:sz w:val="18"/>
        <w:szCs w:val="18"/>
      </w:rPr>
    </w:pPr>
  </w:p>
  <w:p w14:paraId="6A60503C" w14:textId="77777777" w:rsidR="005F3FCF" w:rsidRDefault="005F3FCF" w:rsidP="005F3FCF">
    <w:pPr>
      <w:pStyle w:val="Title"/>
      <w:spacing w:after="120"/>
      <w:ind w:left="360"/>
      <w:rPr>
        <w:rFonts w:asciiTheme="minorHAnsi" w:hAnsiTheme="minorHAnsi" w:cstheme="minorHAnsi"/>
        <w:color w:val="404040" w:themeColor="text1" w:themeTint="BF"/>
        <w:szCs w:val="20"/>
      </w:rPr>
    </w:pPr>
    <w:r w:rsidRPr="005F3FCF">
      <w:rPr>
        <w:rFonts w:ascii="Gotham Book" w:hAnsi="Gotham Book"/>
        <w:color w:val="404040"/>
        <w:sz w:val="18"/>
        <w:szCs w:val="18"/>
      </w:rPr>
      <w:t xml:space="preserve">The Blue Ribbon Housing Commission (BRC) </w:t>
    </w:r>
    <w:r w:rsidRPr="00B516E3">
      <w:rPr>
        <w:rFonts w:asciiTheme="minorHAnsi" w:hAnsiTheme="minorHAnsi" w:cstheme="minorHAnsi"/>
        <w:color w:val="404040" w:themeColor="text1" w:themeTint="BF"/>
        <w:szCs w:val="20"/>
      </w:rPr>
      <w:t>is a body o</w:t>
    </w:r>
    <w:r>
      <w:rPr>
        <w:rFonts w:asciiTheme="minorHAnsi" w:hAnsiTheme="minorHAnsi" w:cstheme="minorHAnsi"/>
        <w:color w:val="404040" w:themeColor="text1" w:themeTint="BF"/>
        <w:szCs w:val="20"/>
      </w:rPr>
      <w:t xml:space="preserve">f local developers, financiers, </w:t>
    </w:r>
    <w:r w:rsidRPr="00B516E3">
      <w:rPr>
        <w:rFonts w:asciiTheme="minorHAnsi" w:hAnsiTheme="minorHAnsi" w:cstheme="minorHAnsi"/>
        <w:color w:val="404040" w:themeColor="text1" w:themeTint="BF"/>
        <w:szCs w:val="20"/>
      </w:rPr>
      <w:t>insurers, and elected officials committed to ide</w:t>
    </w:r>
    <w:r>
      <w:rPr>
        <w:rFonts w:asciiTheme="minorHAnsi" w:hAnsiTheme="minorHAnsi" w:cstheme="minorHAnsi"/>
        <w:color w:val="404040" w:themeColor="text1" w:themeTint="BF"/>
        <w:szCs w:val="20"/>
      </w:rPr>
      <w:t xml:space="preserve">ntifying a funding strategy and </w:t>
    </w:r>
    <w:r w:rsidRPr="00B516E3">
      <w:rPr>
        <w:rFonts w:asciiTheme="minorHAnsi" w:hAnsiTheme="minorHAnsi" w:cstheme="minorHAnsi"/>
        <w:color w:val="404040" w:themeColor="text1" w:themeTint="BF"/>
        <w:szCs w:val="20"/>
      </w:rPr>
      <w:t>locations to create 1,000 new housing uni</w:t>
    </w:r>
    <w:r>
      <w:rPr>
        <w:rFonts w:asciiTheme="minorHAnsi" w:hAnsiTheme="minorHAnsi" w:cstheme="minorHAnsi"/>
        <w:color w:val="404040" w:themeColor="text1" w:themeTint="BF"/>
        <w:szCs w:val="20"/>
      </w:rPr>
      <w:t>ts by June 2019. The BRC was convened by Mayor Biskupski and has recently finished making its recommendations</w:t>
    </w:r>
    <w:r w:rsidRPr="00B516E3">
      <w:rPr>
        <w:rFonts w:asciiTheme="minorHAnsi" w:hAnsiTheme="minorHAnsi" w:cstheme="minorHAnsi"/>
        <w:color w:val="404040" w:themeColor="text1" w:themeTint="BF"/>
        <w:szCs w:val="20"/>
      </w:rPr>
      <w:t>.</w:t>
    </w:r>
    <w:r>
      <w:rPr>
        <w:rFonts w:asciiTheme="minorHAnsi" w:hAnsiTheme="minorHAnsi" w:cstheme="minorHAnsi"/>
        <w:color w:val="404040" w:themeColor="text1" w:themeTint="BF"/>
        <w:szCs w:val="20"/>
      </w:rPr>
      <w:t xml:space="preserve"> This group </w:t>
    </w:r>
    <w:r w:rsidRPr="00B516E3">
      <w:rPr>
        <w:rFonts w:asciiTheme="minorHAnsi" w:hAnsiTheme="minorHAnsi" w:cstheme="minorHAnsi"/>
        <w:color w:val="404040" w:themeColor="text1" w:themeTint="BF"/>
        <w:szCs w:val="20"/>
      </w:rPr>
      <w:t>provide</w:t>
    </w:r>
    <w:r>
      <w:rPr>
        <w:rFonts w:asciiTheme="minorHAnsi" w:hAnsiTheme="minorHAnsi" w:cstheme="minorHAnsi"/>
        <w:color w:val="404040" w:themeColor="text1" w:themeTint="BF"/>
        <w:szCs w:val="20"/>
      </w:rPr>
      <w:t>d</w:t>
    </w:r>
    <w:r w:rsidRPr="00B516E3">
      <w:rPr>
        <w:rFonts w:asciiTheme="minorHAnsi" w:hAnsiTheme="minorHAnsi" w:cstheme="minorHAnsi"/>
        <w:color w:val="404040" w:themeColor="text1" w:themeTint="BF"/>
        <w:szCs w:val="20"/>
      </w:rPr>
      <w:t xml:space="preserve"> gui</w:t>
    </w:r>
    <w:r>
      <w:rPr>
        <w:rFonts w:asciiTheme="minorHAnsi" w:hAnsiTheme="minorHAnsi" w:cstheme="minorHAnsi"/>
        <w:color w:val="404040" w:themeColor="text1" w:themeTint="BF"/>
        <w:szCs w:val="20"/>
      </w:rPr>
      <w:t xml:space="preserve">dance for implementing long-term </w:t>
    </w:r>
    <w:r w:rsidRPr="00B516E3">
      <w:rPr>
        <w:rFonts w:asciiTheme="minorHAnsi" w:hAnsiTheme="minorHAnsi" w:cstheme="minorHAnsi"/>
        <w:color w:val="404040" w:themeColor="text1" w:themeTint="BF"/>
        <w:szCs w:val="20"/>
      </w:rPr>
      <w:t>solutions to creating and preserving affordable housing in Salt Lake</w:t>
    </w:r>
    <w:r>
      <w:rPr>
        <w:rFonts w:asciiTheme="minorHAnsi" w:hAnsiTheme="minorHAnsi" w:cstheme="minorHAnsi"/>
        <w:color w:val="404040" w:themeColor="text1" w:themeTint="BF"/>
        <w:szCs w:val="20"/>
      </w:rPr>
      <w:t xml:space="preserve">. HAND </w:t>
    </w:r>
    <w:r w:rsidRPr="00B516E3">
      <w:rPr>
        <w:rFonts w:asciiTheme="minorHAnsi" w:hAnsiTheme="minorHAnsi" w:cstheme="minorHAnsi"/>
        <w:color w:val="404040" w:themeColor="text1" w:themeTint="BF"/>
        <w:szCs w:val="20"/>
      </w:rPr>
      <w:t xml:space="preserve">will </w:t>
    </w:r>
    <w:r>
      <w:rPr>
        <w:rFonts w:asciiTheme="minorHAnsi" w:hAnsiTheme="minorHAnsi" w:cstheme="minorHAnsi"/>
        <w:color w:val="404040" w:themeColor="text1" w:themeTint="BF"/>
        <w:szCs w:val="20"/>
      </w:rPr>
      <w:t xml:space="preserve">continue the </w:t>
    </w:r>
    <w:r w:rsidRPr="00B516E3">
      <w:rPr>
        <w:rFonts w:asciiTheme="minorHAnsi" w:hAnsiTheme="minorHAnsi" w:cstheme="minorHAnsi"/>
        <w:color w:val="404040" w:themeColor="text1" w:themeTint="BF"/>
        <w:szCs w:val="20"/>
      </w:rPr>
      <w:t xml:space="preserve">work </w:t>
    </w:r>
    <w:r>
      <w:rPr>
        <w:rFonts w:asciiTheme="minorHAnsi" w:hAnsiTheme="minorHAnsi" w:cstheme="minorHAnsi"/>
        <w:color w:val="404040" w:themeColor="text1" w:themeTint="BF"/>
        <w:szCs w:val="20"/>
      </w:rPr>
      <w:t xml:space="preserve">of the Commission to continue </w:t>
    </w:r>
    <w:r w:rsidRPr="00B516E3">
      <w:rPr>
        <w:rFonts w:asciiTheme="minorHAnsi" w:hAnsiTheme="minorHAnsi" w:cstheme="minorHAnsi"/>
        <w:color w:val="404040" w:themeColor="text1" w:themeTint="BF"/>
        <w:szCs w:val="20"/>
      </w:rPr>
      <w:t>implement</w:t>
    </w:r>
    <w:r>
      <w:rPr>
        <w:rFonts w:asciiTheme="minorHAnsi" w:hAnsiTheme="minorHAnsi" w:cstheme="minorHAnsi"/>
        <w:color w:val="404040" w:themeColor="text1" w:themeTint="BF"/>
        <w:szCs w:val="20"/>
      </w:rPr>
      <w:t>ing</w:t>
    </w:r>
    <w:r w:rsidRPr="00B516E3">
      <w:rPr>
        <w:rFonts w:asciiTheme="minorHAnsi" w:hAnsiTheme="minorHAnsi" w:cstheme="minorHAnsi"/>
        <w:color w:val="404040" w:themeColor="text1" w:themeTint="BF"/>
        <w:szCs w:val="20"/>
      </w:rPr>
      <w:t xml:space="preserve"> its recommendations.</w:t>
    </w:r>
    <w:r>
      <w:rPr>
        <w:rFonts w:asciiTheme="minorHAnsi" w:hAnsiTheme="minorHAnsi" w:cstheme="minorHAnsi"/>
        <w:color w:val="404040" w:themeColor="text1" w:themeTint="BF"/>
        <w:szCs w:val="20"/>
      </w:rPr>
      <w:t xml:space="preserve"> During the two years in which the BRC met, the City helped facilitate the creation of approximately 1,500 units of new affordable housing. This includes 242 units of permanent supportive housing from three separate projects.</w:t>
    </w:r>
    <w:r w:rsidRPr="00527BF5">
      <w:rPr>
        <w:rFonts w:asciiTheme="minorHAnsi" w:hAnsiTheme="minorHAnsi" w:cstheme="minorHAnsi"/>
        <w:color w:val="404040" w:themeColor="text1" w:themeTint="BF"/>
        <w:szCs w:val="20"/>
      </w:rPr>
      <w:t xml:space="preserve"> </w:t>
    </w:r>
    <w:r>
      <w:rPr>
        <w:rFonts w:asciiTheme="minorHAnsi" w:hAnsiTheme="minorHAnsi" w:cstheme="minorHAnsi"/>
        <w:color w:val="404040" w:themeColor="text1" w:themeTint="BF"/>
        <w:szCs w:val="20"/>
      </w:rPr>
      <w:t xml:space="preserve">Many of these projects remain in development.  HAND is committed to building on the progress that has already been made.  </w:t>
    </w:r>
  </w:p>
  <w:p w14:paraId="0BF2F4C0" w14:textId="77777777" w:rsidR="005F3FCF" w:rsidRPr="005F3FCF" w:rsidRDefault="005F3FCF" w:rsidP="005F3FCF">
    <w:pPr>
      <w:pStyle w:val="Title"/>
      <w:spacing w:after="120"/>
      <w:ind w:left="360"/>
      <w:rPr>
        <w:rFonts w:ascii="Gotham Book" w:hAnsi="Gotham Book"/>
        <w:color w:val="404040"/>
        <w:sz w:val="18"/>
        <w:szCs w:val="18"/>
      </w:rPr>
    </w:pPr>
  </w:p>
  <w:p w14:paraId="02A43342" w14:textId="77777777" w:rsidR="005F3FCF" w:rsidRPr="005F3FCF" w:rsidRDefault="005F3FCF" w:rsidP="005F3FCF">
    <w:pPr>
      <w:pStyle w:val="Title"/>
      <w:spacing w:after="120"/>
      <w:ind w:left="360"/>
      <w:rPr>
        <w:rFonts w:ascii="Calibri" w:hAnsi="Calibri" w:cs="Calibri"/>
        <w:color w:val="404040"/>
        <w:szCs w:val="20"/>
      </w:rPr>
    </w:pPr>
    <w:r w:rsidRPr="005F3FCF">
      <w:rPr>
        <w:rFonts w:ascii="Gotham Book" w:hAnsi="Gotham Book"/>
        <w:color w:val="404040"/>
        <w:sz w:val="18"/>
        <w:szCs w:val="18"/>
      </w:rPr>
      <w:t>Comparison of the proposed vs the actual outcomes for each outcome measure submitted with the Consolidated Plan and explain, if applicable, why progress was not</w:t>
    </w:r>
    <w:r w:rsidRPr="005F3FCF">
      <w:rPr>
        <w:rFonts w:ascii="Calibri" w:hAnsi="Calibri" w:cs="Calibri"/>
        <w:color w:val="404040"/>
        <w:szCs w:val="20"/>
      </w:rPr>
      <w:t xml:space="preserve"> made toward meeting goals and objectives (91.520 (g))</w:t>
    </w:r>
  </w:p>
  <w:p w14:paraId="704F25B8" w14:textId="77777777" w:rsidR="005F3FCF" w:rsidRPr="005F3FCF" w:rsidRDefault="005F3FCF" w:rsidP="005F3FCF">
    <w:pPr>
      <w:pStyle w:val="Title"/>
      <w:spacing w:after="120"/>
      <w:ind w:left="360"/>
      <w:rPr>
        <w:rFonts w:ascii="Calibri" w:hAnsi="Calibri" w:cs="Calibri"/>
        <w:color w:val="404040"/>
        <w:szCs w:val="20"/>
      </w:rPr>
    </w:pPr>
    <w:r w:rsidRPr="005F3FCF">
      <w:rPr>
        <w:rFonts w:ascii="Calibri" w:hAnsi="Calibri" w:cs="Calibri"/>
        <w:color w:val="404040"/>
        <w:szCs w:val="20"/>
      </w:rPr>
      <w:t>Categories, priority levels, funding sources and amounts, outcomes/objectives, goal outcome indicators, units of measure, targets, actual outcomes/outputs, and percentage completed for each of Salt Lake City’s program year goals.</w:t>
    </w:r>
  </w:p>
  <w:p w14:paraId="2766ED46" w14:textId="77777777" w:rsidR="005F3FCF" w:rsidRPr="005F3FCF" w:rsidRDefault="005F3FCF" w:rsidP="005F3FCF">
    <w:pPr>
      <w:pStyle w:val="Title"/>
      <w:spacing w:after="120"/>
      <w:ind w:left="360"/>
      <w:rPr>
        <w:rFonts w:ascii="Calibri" w:hAnsi="Calibri" w:cs="Calibri"/>
        <w:color w:val="404040"/>
        <w:szCs w:val="20"/>
      </w:rPr>
    </w:pPr>
  </w:p>
  <w:p w14:paraId="32A9505A" w14:textId="77777777" w:rsidR="005F3FCF" w:rsidRPr="005F3FCF" w:rsidRDefault="005F3FCF" w:rsidP="005F3FCF">
    <w:pPr>
      <w:pStyle w:val="Title"/>
      <w:spacing w:after="120"/>
      <w:ind w:left="360"/>
      <w:rPr>
        <w:rFonts w:ascii="Calibri" w:hAnsi="Calibri" w:cs="Calibri"/>
        <w:color w:val="404040"/>
        <w:szCs w:val="20"/>
      </w:rPr>
    </w:pPr>
    <w:r w:rsidRPr="005F3FCF">
      <w:rPr>
        <w:rFonts w:ascii="Calibri" w:hAnsi="Calibri" w:cs="Calibri"/>
        <w:color w:val="404040"/>
        <w:szCs w:val="20"/>
      </w:rPr>
      <w:t>Table 1- Goals and Outcomes</w:t>
    </w:r>
  </w:p>
  <w:tbl>
    <w:tblPr>
      <w:tblW w:w="0" w:type="auto"/>
      <w:tblInd w:w="360" w:type="dxa"/>
      <w:tblLook w:val="04A0" w:firstRow="1" w:lastRow="0" w:firstColumn="1" w:lastColumn="0" w:noHBand="0" w:noVBand="1"/>
    </w:tblPr>
    <w:tblGrid>
      <w:gridCol w:w="6608"/>
      <w:gridCol w:w="3328"/>
      <w:gridCol w:w="621"/>
      <w:gridCol w:w="2074"/>
      <w:gridCol w:w="788"/>
      <w:gridCol w:w="763"/>
      <w:gridCol w:w="763"/>
      <w:gridCol w:w="698"/>
      <w:gridCol w:w="672"/>
      <w:gridCol w:w="672"/>
      <w:gridCol w:w="698"/>
    </w:tblGrid>
    <w:tr w:rsidR="005F3FCF" w:rsidRPr="009605B2" w14:paraId="1BF2FC3B" w14:textId="77777777" w:rsidTr="005F3FCF">
      <w:tc>
        <w:tcPr>
          <w:tcW w:w="6608" w:type="dxa"/>
          <w:vAlign w:val="center"/>
          <w:hideMark/>
        </w:tcPr>
        <w:p w14:paraId="247C4FD5" w14:textId="77777777" w:rsidR="005F3FCF" w:rsidRPr="005F3FCF" w:rsidRDefault="005F3FCF" w:rsidP="005F3FCF">
          <w:pPr>
            <w:pStyle w:val="Title"/>
            <w:spacing w:after="120"/>
            <w:ind w:right="360"/>
            <w:jc w:val="left"/>
            <w:rPr>
              <w:rFonts w:ascii="Gotham Book" w:hAnsi="Gotham Book"/>
              <w:b/>
              <w:color w:val="404040"/>
              <w:sz w:val="22"/>
              <w:szCs w:val="22"/>
            </w:rPr>
          </w:pPr>
          <w:r w:rsidRPr="005F3FCF">
            <w:rPr>
              <w:rFonts w:ascii="Gotham Book" w:hAnsi="Gotham Book"/>
              <w:b/>
              <w:color w:val="404040"/>
              <w:sz w:val="22"/>
              <w:szCs w:val="22"/>
            </w:rPr>
            <w:t>Goal</w:t>
          </w:r>
        </w:p>
      </w:tc>
      <w:tc>
        <w:tcPr>
          <w:tcW w:w="3328" w:type="dxa"/>
          <w:vAlign w:val="center"/>
          <w:hideMark/>
        </w:tcPr>
        <w:p w14:paraId="500F6EA0"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Category</w:t>
          </w:r>
        </w:p>
      </w:tc>
      <w:tc>
        <w:tcPr>
          <w:tcW w:w="621" w:type="dxa"/>
          <w:tcBorders>
            <w:top w:val="single" w:sz="8" w:space="0" w:color="auto"/>
            <w:left w:val="nil"/>
            <w:bottom w:val="single" w:sz="8" w:space="0" w:color="auto"/>
            <w:right w:val="single" w:sz="8" w:space="0" w:color="auto"/>
          </w:tcBorders>
          <w:shd w:val="clear" w:color="000000" w:fill="BDD7EE"/>
          <w:vAlign w:val="center"/>
          <w:hideMark/>
        </w:tcPr>
        <w:p w14:paraId="7B13DE91" w14:textId="77777777" w:rsidR="005F3FCF" w:rsidRPr="009605B2" w:rsidRDefault="005F3FCF" w:rsidP="00816745">
          <w:pPr>
            <w:jc w:val="center"/>
            <w:rPr>
              <w:rFonts w:ascii="Calibri" w:eastAsia="Times New Roman" w:hAnsi="Calibri"/>
              <w:b/>
              <w:bCs/>
              <w:color w:val="000000"/>
              <w:sz w:val="12"/>
              <w:szCs w:val="12"/>
            </w:rPr>
          </w:pPr>
          <w:r>
            <w:rPr>
              <w:rFonts w:ascii="Calibri" w:eastAsia="Times New Roman" w:hAnsi="Calibri"/>
              <w:b/>
              <w:bCs/>
              <w:color w:val="000000"/>
              <w:sz w:val="12"/>
              <w:szCs w:val="12"/>
            </w:rPr>
            <w:t>Source</w:t>
          </w:r>
        </w:p>
      </w:tc>
      <w:tc>
        <w:tcPr>
          <w:tcW w:w="2074" w:type="dxa"/>
          <w:tcBorders>
            <w:top w:val="single" w:sz="8" w:space="0" w:color="auto"/>
            <w:left w:val="nil"/>
            <w:bottom w:val="single" w:sz="8" w:space="0" w:color="auto"/>
            <w:right w:val="single" w:sz="8" w:space="0" w:color="auto"/>
          </w:tcBorders>
          <w:shd w:val="clear" w:color="000000" w:fill="BDD7EE"/>
          <w:vAlign w:val="center"/>
          <w:hideMark/>
        </w:tcPr>
        <w:p w14:paraId="444E56D6" w14:textId="77777777" w:rsidR="005F3FCF" w:rsidRPr="009605B2" w:rsidRDefault="005F3FCF" w:rsidP="00816745">
          <w:pPr>
            <w:jc w:val="center"/>
            <w:rPr>
              <w:rFonts w:ascii="Calibri" w:eastAsia="Times New Roman" w:hAnsi="Calibri"/>
              <w:b/>
              <w:bCs/>
              <w:color w:val="000000"/>
              <w:sz w:val="12"/>
              <w:szCs w:val="12"/>
            </w:rPr>
          </w:pPr>
          <w:r w:rsidRPr="009605B2">
            <w:rPr>
              <w:rFonts w:ascii="Calibri" w:eastAsia="Times New Roman" w:hAnsi="Calibri"/>
              <w:b/>
              <w:bCs/>
              <w:color w:val="000000"/>
              <w:sz w:val="12"/>
              <w:szCs w:val="12"/>
            </w:rPr>
            <w:t>Indicator</w:t>
          </w:r>
        </w:p>
      </w:tc>
      <w:tc>
        <w:tcPr>
          <w:tcW w:w="788" w:type="dxa"/>
          <w:tcBorders>
            <w:top w:val="single" w:sz="8" w:space="0" w:color="auto"/>
            <w:left w:val="nil"/>
            <w:bottom w:val="single" w:sz="8" w:space="0" w:color="auto"/>
            <w:right w:val="single" w:sz="8" w:space="0" w:color="auto"/>
          </w:tcBorders>
          <w:shd w:val="clear" w:color="000000" w:fill="BDD7EE"/>
          <w:vAlign w:val="center"/>
          <w:hideMark/>
        </w:tcPr>
        <w:p w14:paraId="0C663AD1" w14:textId="77777777" w:rsidR="005F3FCF" w:rsidRPr="009605B2" w:rsidRDefault="005F3FCF" w:rsidP="00816745">
          <w:pPr>
            <w:jc w:val="center"/>
            <w:rPr>
              <w:rFonts w:ascii="Calibri" w:eastAsia="Times New Roman" w:hAnsi="Calibri"/>
              <w:b/>
              <w:bCs/>
              <w:color w:val="000000"/>
              <w:sz w:val="12"/>
              <w:szCs w:val="12"/>
            </w:rPr>
          </w:pPr>
          <w:r w:rsidRPr="009605B2">
            <w:rPr>
              <w:rFonts w:ascii="Calibri" w:eastAsia="Times New Roman" w:hAnsi="Calibri"/>
              <w:b/>
              <w:bCs/>
              <w:color w:val="000000"/>
              <w:sz w:val="12"/>
              <w:szCs w:val="12"/>
            </w:rPr>
            <w:t>Unit of Measure</w:t>
          </w:r>
        </w:p>
      </w:tc>
      <w:tc>
        <w:tcPr>
          <w:tcW w:w="763" w:type="dxa"/>
          <w:tcBorders>
            <w:top w:val="single" w:sz="8" w:space="0" w:color="auto"/>
            <w:left w:val="nil"/>
            <w:bottom w:val="single" w:sz="8" w:space="0" w:color="auto"/>
            <w:right w:val="single" w:sz="8" w:space="0" w:color="auto"/>
          </w:tcBorders>
          <w:shd w:val="clear" w:color="000000" w:fill="BDD7EE"/>
          <w:vAlign w:val="center"/>
          <w:hideMark/>
        </w:tcPr>
        <w:p w14:paraId="48EB2D0E" w14:textId="77777777" w:rsidR="005F3FCF" w:rsidRPr="009605B2" w:rsidRDefault="005F3FCF" w:rsidP="00816745">
          <w:pPr>
            <w:jc w:val="center"/>
            <w:rPr>
              <w:rFonts w:ascii="Calibri" w:eastAsia="Times New Roman" w:hAnsi="Calibri"/>
              <w:b/>
              <w:bCs/>
              <w:color w:val="000000"/>
              <w:sz w:val="12"/>
              <w:szCs w:val="12"/>
            </w:rPr>
          </w:pPr>
          <w:r w:rsidRPr="009605B2">
            <w:rPr>
              <w:rFonts w:ascii="Calibri" w:eastAsia="Times New Roman" w:hAnsi="Calibri"/>
              <w:b/>
              <w:bCs/>
              <w:color w:val="000000"/>
              <w:sz w:val="12"/>
              <w:szCs w:val="12"/>
            </w:rPr>
            <w:t xml:space="preserve"> Expected – Strategic Plan </w:t>
          </w:r>
        </w:p>
      </w:tc>
      <w:tc>
        <w:tcPr>
          <w:tcW w:w="763" w:type="dxa"/>
          <w:tcBorders>
            <w:top w:val="single" w:sz="8" w:space="0" w:color="auto"/>
            <w:left w:val="nil"/>
            <w:bottom w:val="single" w:sz="8" w:space="0" w:color="auto"/>
            <w:right w:val="single" w:sz="8" w:space="0" w:color="auto"/>
          </w:tcBorders>
          <w:shd w:val="clear" w:color="000000" w:fill="BDD7EE"/>
          <w:vAlign w:val="center"/>
          <w:hideMark/>
        </w:tcPr>
        <w:p w14:paraId="012C56B8" w14:textId="77777777" w:rsidR="005F3FCF" w:rsidRPr="009605B2" w:rsidRDefault="005F3FCF" w:rsidP="00816745">
          <w:pPr>
            <w:jc w:val="center"/>
            <w:rPr>
              <w:rFonts w:ascii="Calibri" w:eastAsia="Times New Roman" w:hAnsi="Calibri"/>
              <w:b/>
              <w:bCs/>
              <w:color w:val="000000"/>
              <w:sz w:val="12"/>
              <w:szCs w:val="12"/>
            </w:rPr>
          </w:pPr>
          <w:r w:rsidRPr="009605B2">
            <w:rPr>
              <w:rFonts w:ascii="Calibri" w:eastAsia="Times New Roman" w:hAnsi="Calibri"/>
              <w:b/>
              <w:bCs/>
              <w:color w:val="000000"/>
              <w:sz w:val="12"/>
              <w:szCs w:val="12"/>
            </w:rPr>
            <w:t>Actual – Strategic Plan</w:t>
          </w:r>
        </w:p>
      </w:tc>
      <w:tc>
        <w:tcPr>
          <w:tcW w:w="698" w:type="dxa"/>
          <w:tcBorders>
            <w:top w:val="single" w:sz="8" w:space="0" w:color="auto"/>
            <w:left w:val="nil"/>
            <w:bottom w:val="single" w:sz="8" w:space="0" w:color="auto"/>
            <w:right w:val="single" w:sz="8" w:space="0" w:color="auto"/>
          </w:tcBorders>
          <w:shd w:val="clear" w:color="000000" w:fill="BDD7EE"/>
          <w:vAlign w:val="center"/>
          <w:hideMark/>
        </w:tcPr>
        <w:p w14:paraId="1D078226" w14:textId="77777777" w:rsidR="005F3FCF" w:rsidRPr="009605B2" w:rsidRDefault="005F3FCF" w:rsidP="00816745">
          <w:pPr>
            <w:jc w:val="center"/>
            <w:rPr>
              <w:rFonts w:ascii="Calibri" w:eastAsia="Times New Roman" w:hAnsi="Calibri"/>
              <w:b/>
              <w:bCs/>
              <w:color w:val="000000"/>
              <w:sz w:val="12"/>
              <w:szCs w:val="12"/>
            </w:rPr>
          </w:pPr>
          <w:r w:rsidRPr="009605B2">
            <w:rPr>
              <w:rFonts w:ascii="Calibri" w:eastAsia="Times New Roman" w:hAnsi="Calibri"/>
              <w:b/>
              <w:bCs/>
              <w:color w:val="000000"/>
              <w:sz w:val="12"/>
              <w:szCs w:val="12"/>
            </w:rPr>
            <w:t>Percent Complete</w:t>
          </w:r>
        </w:p>
      </w:tc>
      <w:tc>
        <w:tcPr>
          <w:tcW w:w="672" w:type="dxa"/>
          <w:tcBorders>
            <w:top w:val="single" w:sz="8" w:space="0" w:color="auto"/>
            <w:left w:val="nil"/>
            <w:bottom w:val="single" w:sz="8" w:space="0" w:color="auto"/>
            <w:right w:val="single" w:sz="8" w:space="0" w:color="auto"/>
          </w:tcBorders>
          <w:shd w:val="clear" w:color="000000" w:fill="BDD7EE"/>
          <w:vAlign w:val="center"/>
          <w:hideMark/>
        </w:tcPr>
        <w:p w14:paraId="4418B336" w14:textId="77777777" w:rsidR="005F3FCF" w:rsidRPr="009605B2" w:rsidRDefault="005F3FCF" w:rsidP="00816745">
          <w:pPr>
            <w:jc w:val="center"/>
            <w:rPr>
              <w:rFonts w:ascii="Calibri" w:eastAsia="Times New Roman" w:hAnsi="Calibri"/>
              <w:b/>
              <w:bCs/>
              <w:color w:val="000000"/>
              <w:sz w:val="12"/>
              <w:szCs w:val="12"/>
            </w:rPr>
          </w:pPr>
          <w:r w:rsidRPr="009605B2">
            <w:rPr>
              <w:rFonts w:ascii="Calibri" w:eastAsia="Times New Roman" w:hAnsi="Calibri"/>
              <w:b/>
              <w:bCs/>
              <w:color w:val="000000"/>
              <w:sz w:val="12"/>
              <w:szCs w:val="12"/>
            </w:rPr>
            <w:t xml:space="preserve"> Expected – Program Year </w:t>
          </w:r>
        </w:p>
      </w:tc>
      <w:tc>
        <w:tcPr>
          <w:tcW w:w="672" w:type="dxa"/>
          <w:tcBorders>
            <w:top w:val="single" w:sz="8" w:space="0" w:color="auto"/>
            <w:left w:val="nil"/>
            <w:bottom w:val="single" w:sz="8" w:space="0" w:color="auto"/>
            <w:right w:val="single" w:sz="8" w:space="0" w:color="auto"/>
          </w:tcBorders>
          <w:shd w:val="clear" w:color="000000" w:fill="BDD7EE"/>
          <w:vAlign w:val="center"/>
          <w:hideMark/>
        </w:tcPr>
        <w:p w14:paraId="02A007EF" w14:textId="77777777" w:rsidR="005F3FCF" w:rsidRPr="009605B2" w:rsidRDefault="005F3FCF" w:rsidP="00816745">
          <w:pPr>
            <w:jc w:val="center"/>
            <w:rPr>
              <w:rFonts w:ascii="Calibri" w:eastAsia="Times New Roman" w:hAnsi="Calibri"/>
              <w:b/>
              <w:bCs/>
              <w:color w:val="000000"/>
              <w:sz w:val="12"/>
              <w:szCs w:val="12"/>
            </w:rPr>
          </w:pPr>
          <w:r w:rsidRPr="009605B2">
            <w:rPr>
              <w:rFonts w:ascii="Calibri" w:eastAsia="Times New Roman" w:hAnsi="Calibri"/>
              <w:b/>
              <w:bCs/>
              <w:color w:val="000000"/>
              <w:sz w:val="12"/>
              <w:szCs w:val="12"/>
            </w:rPr>
            <w:t>Actual – Program Year</w:t>
          </w:r>
        </w:p>
      </w:tc>
      <w:tc>
        <w:tcPr>
          <w:tcW w:w="698" w:type="dxa"/>
          <w:tcBorders>
            <w:top w:val="single" w:sz="8" w:space="0" w:color="auto"/>
            <w:left w:val="nil"/>
            <w:bottom w:val="single" w:sz="8" w:space="0" w:color="auto"/>
            <w:right w:val="single" w:sz="8" w:space="0" w:color="auto"/>
          </w:tcBorders>
          <w:shd w:val="clear" w:color="000000" w:fill="BDD7EE"/>
          <w:vAlign w:val="center"/>
          <w:hideMark/>
        </w:tcPr>
        <w:p w14:paraId="505D076F" w14:textId="77777777" w:rsidR="005F3FCF" w:rsidRPr="009605B2" w:rsidRDefault="005F3FCF" w:rsidP="00816745">
          <w:pPr>
            <w:jc w:val="center"/>
            <w:rPr>
              <w:rFonts w:ascii="Calibri" w:eastAsia="Times New Roman" w:hAnsi="Calibri"/>
              <w:b/>
              <w:bCs/>
              <w:color w:val="000000"/>
              <w:sz w:val="12"/>
              <w:szCs w:val="12"/>
            </w:rPr>
          </w:pPr>
          <w:r w:rsidRPr="009605B2">
            <w:rPr>
              <w:rFonts w:ascii="Calibri" w:eastAsia="Times New Roman" w:hAnsi="Calibri"/>
              <w:b/>
              <w:bCs/>
              <w:color w:val="000000"/>
              <w:sz w:val="12"/>
              <w:szCs w:val="12"/>
            </w:rPr>
            <w:t>Percent Complete</w:t>
          </w:r>
        </w:p>
      </w:tc>
    </w:tr>
    <w:tr w:rsidR="005F3FCF" w:rsidRPr="009605B2" w14:paraId="6085D72C" w14:textId="77777777" w:rsidTr="005F3FCF">
      <w:tc>
        <w:tcPr>
          <w:tcW w:w="6608" w:type="dxa"/>
          <w:vAlign w:val="center"/>
          <w:hideMark/>
        </w:tcPr>
        <w:p w14:paraId="53C311D0" w14:textId="77777777" w:rsidR="005F3FCF" w:rsidRPr="005F3FCF" w:rsidRDefault="005F3FCF" w:rsidP="005F3FCF">
          <w:pPr>
            <w:pStyle w:val="Title"/>
            <w:spacing w:after="120"/>
            <w:ind w:right="360"/>
            <w:jc w:val="left"/>
            <w:rPr>
              <w:rFonts w:ascii="Gotham Book" w:hAnsi="Gotham Book"/>
              <w:b/>
              <w:color w:val="404040"/>
              <w:sz w:val="22"/>
              <w:szCs w:val="22"/>
            </w:rPr>
          </w:pPr>
          <w:r w:rsidRPr="005F3FCF">
            <w:rPr>
              <w:rFonts w:ascii="Gotham Book" w:hAnsi="Gotham Book"/>
              <w:b/>
              <w:color w:val="404040"/>
              <w:sz w:val="22"/>
              <w:szCs w:val="22"/>
            </w:rPr>
            <w:t>Administration</w:t>
          </w:r>
        </w:p>
      </w:tc>
      <w:tc>
        <w:tcPr>
          <w:tcW w:w="3328" w:type="dxa"/>
          <w:vAlign w:val="center"/>
          <w:hideMark/>
        </w:tcPr>
        <w:p w14:paraId="7D8F431B"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Admin</w:t>
          </w:r>
        </w:p>
      </w:tc>
      <w:tc>
        <w:tcPr>
          <w:tcW w:w="621" w:type="dxa"/>
          <w:tcBorders>
            <w:top w:val="nil"/>
            <w:left w:val="nil"/>
            <w:bottom w:val="single" w:sz="8" w:space="0" w:color="auto"/>
            <w:right w:val="single" w:sz="8" w:space="0" w:color="auto"/>
          </w:tcBorders>
          <w:shd w:val="clear" w:color="auto" w:fill="auto"/>
          <w:vAlign w:val="center"/>
          <w:hideMark/>
        </w:tcPr>
        <w:p w14:paraId="7C0E6E3F"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 xml:space="preserve">CDBG </w:t>
          </w:r>
          <w:r w:rsidRPr="009605B2">
            <w:rPr>
              <w:rFonts w:ascii="Calibri" w:eastAsia="Times New Roman" w:hAnsi="Calibri"/>
              <w:color w:val="000000"/>
              <w:sz w:val="12"/>
              <w:szCs w:val="12"/>
            </w:rPr>
            <w:br/>
            <w:t>ESG</w:t>
          </w:r>
          <w:r w:rsidRPr="009605B2">
            <w:rPr>
              <w:rFonts w:ascii="Calibri" w:eastAsia="Times New Roman" w:hAnsi="Calibri"/>
              <w:color w:val="000000"/>
              <w:sz w:val="12"/>
              <w:szCs w:val="12"/>
            </w:rPr>
            <w:br/>
            <w:t>HOME</w:t>
          </w:r>
          <w:r w:rsidRPr="009605B2">
            <w:rPr>
              <w:rFonts w:ascii="Calibri" w:eastAsia="Times New Roman" w:hAnsi="Calibri"/>
              <w:color w:val="000000"/>
              <w:sz w:val="12"/>
              <w:szCs w:val="12"/>
            </w:rPr>
            <w:br/>
            <w:t>HOPWA</w:t>
          </w:r>
        </w:p>
      </w:tc>
      <w:tc>
        <w:tcPr>
          <w:tcW w:w="2074" w:type="dxa"/>
          <w:tcBorders>
            <w:top w:val="nil"/>
            <w:left w:val="nil"/>
            <w:bottom w:val="single" w:sz="8" w:space="0" w:color="auto"/>
            <w:right w:val="single" w:sz="8" w:space="0" w:color="auto"/>
          </w:tcBorders>
          <w:shd w:val="clear" w:color="auto" w:fill="auto"/>
          <w:vAlign w:val="center"/>
          <w:hideMark/>
        </w:tcPr>
        <w:p w14:paraId="50A86870"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Other</w:t>
          </w:r>
        </w:p>
      </w:tc>
      <w:tc>
        <w:tcPr>
          <w:tcW w:w="788" w:type="dxa"/>
          <w:tcBorders>
            <w:top w:val="nil"/>
            <w:left w:val="nil"/>
            <w:bottom w:val="single" w:sz="8" w:space="0" w:color="auto"/>
            <w:right w:val="single" w:sz="8" w:space="0" w:color="auto"/>
          </w:tcBorders>
          <w:shd w:val="clear" w:color="auto" w:fill="auto"/>
          <w:vAlign w:val="center"/>
          <w:hideMark/>
        </w:tcPr>
        <w:p w14:paraId="67BB6CC6" w14:textId="77777777" w:rsidR="005F3FCF" w:rsidRPr="00A60631" w:rsidRDefault="005F3FCF" w:rsidP="00816745">
          <w:pPr>
            <w:jc w:val="center"/>
            <w:rPr>
              <w:rFonts w:ascii="Calibri" w:eastAsia="Times New Roman" w:hAnsi="Calibri"/>
              <w:color w:val="000000"/>
              <w:sz w:val="12"/>
              <w:szCs w:val="12"/>
            </w:rPr>
          </w:pPr>
          <w:r w:rsidRPr="00A60631">
            <w:rPr>
              <w:rFonts w:ascii="Calibri" w:eastAsia="Times New Roman" w:hAnsi="Calibri"/>
              <w:color w:val="000000"/>
              <w:sz w:val="12"/>
              <w:szCs w:val="12"/>
            </w:rPr>
            <w:t>Other</w:t>
          </w:r>
        </w:p>
      </w:tc>
      <w:tc>
        <w:tcPr>
          <w:tcW w:w="763" w:type="dxa"/>
          <w:tcBorders>
            <w:top w:val="nil"/>
            <w:left w:val="nil"/>
            <w:bottom w:val="single" w:sz="8" w:space="0" w:color="auto"/>
            <w:right w:val="single" w:sz="8" w:space="0" w:color="auto"/>
          </w:tcBorders>
          <w:shd w:val="clear" w:color="auto" w:fill="auto"/>
          <w:vAlign w:val="center"/>
          <w:hideMark/>
        </w:tcPr>
        <w:p w14:paraId="1C48CAD6" w14:textId="77777777" w:rsidR="005F3FCF" w:rsidRPr="00EE1920" w:rsidRDefault="005F3FCF" w:rsidP="00816745">
          <w:pPr>
            <w:jc w:val="center"/>
            <w:rPr>
              <w:rFonts w:ascii="Calibri" w:eastAsia="Times New Roman" w:hAnsi="Calibri"/>
              <w:color w:val="000000"/>
              <w:sz w:val="12"/>
              <w:szCs w:val="12"/>
            </w:rPr>
          </w:pPr>
          <w:r>
            <w:rPr>
              <w:rFonts w:ascii="Calibri" w:eastAsia="Times New Roman" w:hAnsi="Calibri"/>
              <w:color w:val="000000"/>
              <w:sz w:val="12"/>
              <w:szCs w:val="12"/>
            </w:rPr>
            <w:t>$2,491,080</w:t>
          </w:r>
        </w:p>
      </w:tc>
      <w:tc>
        <w:tcPr>
          <w:tcW w:w="763" w:type="dxa"/>
          <w:tcBorders>
            <w:top w:val="nil"/>
            <w:left w:val="nil"/>
            <w:bottom w:val="single" w:sz="8" w:space="0" w:color="auto"/>
            <w:right w:val="single" w:sz="8" w:space="0" w:color="auto"/>
          </w:tcBorders>
          <w:shd w:val="clear" w:color="auto" w:fill="auto"/>
          <w:vAlign w:val="center"/>
          <w:hideMark/>
        </w:tcPr>
        <w:p w14:paraId="2F9A4497" w14:textId="77777777" w:rsidR="005F3FCF" w:rsidRPr="00EE1920" w:rsidRDefault="005F3FCF" w:rsidP="00816745">
          <w:pPr>
            <w:jc w:val="center"/>
            <w:rPr>
              <w:rFonts w:ascii="Calibri" w:eastAsia="Times New Roman" w:hAnsi="Calibri"/>
              <w:color w:val="000000"/>
              <w:sz w:val="12"/>
              <w:szCs w:val="12"/>
            </w:rPr>
          </w:pPr>
          <w:r>
            <w:rPr>
              <w:rFonts w:ascii="Calibri" w:eastAsia="Times New Roman" w:hAnsi="Calibri"/>
              <w:color w:val="000000"/>
              <w:sz w:val="12"/>
              <w:szCs w:val="12"/>
            </w:rPr>
            <w:t>$2,344,327</w:t>
          </w:r>
          <w:r w:rsidRPr="00EE1920">
            <w:rPr>
              <w:rFonts w:ascii="Calibri" w:eastAsia="Times New Roman" w:hAnsi="Calibri"/>
              <w:color w:val="000000"/>
              <w:sz w:val="12"/>
              <w:szCs w:val="12"/>
            </w:rPr>
            <w:t xml:space="preserve"> </w:t>
          </w:r>
        </w:p>
      </w:tc>
      <w:tc>
        <w:tcPr>
          <w:tcW w:w="698" w:type="dxa"/>
          <w:tcBorders>
            <w:top w:val="nil"/>
            <w:left w:val="nil"/>
            <w:bottom w:val="single" w:sz="8" w:space="0" w:color="auto"/>
            <w:right w:val="single" w:sz="8" w:space="0" w:color="auto"/>
          </w:tcBorders>
          <w:shd w:val="clear" w:color="auto" w:fill="auto"/>
          <w:vAlign w:val="center"/>
          <w:hideMark/>
        </w:tcPr>
        <w:p w14:paraId="4C462E52" w14:textId="77777777" w:rsidR="005F3FCF" w:rsidRPr="00EE1920" w:rsidRDefault="005F3FCF" w:rsidP="00816745">
          <w:pPr>
            <w:jc w:val="center"/>
            <w:rPr>
              <w:rFonts w:ascii="Calibri" w:eastAsia="Times New Roman" w:hAnsi="Calibri"/>
              <w:color w:val="000000"/>
              <w:sz w:val="12"/>
              <w:szCs w:val="12"/>
            </w:rPr>
          </w:pPr>
          <w:r w:rsidRPr="00EE1920">
            <w:rPr>
              <w:rFonts w:ascii="Calibri" w:eastAsia="Times New Roman" w:hAnsi="Calibri"/>
              <w:color w:val="000000"/>
              <w:sz w:val="12"/>
              <w:szCs w:val="12"/>
            </w:rPr>
            <w:t>60%</w:t>
          </w:r>
        </w:p>
      </w:tc>
      <w:tc>
        <w:tcPr>
          <w:tcW w:w="672" w:type="dxa"/>
          <w:tcBorders>
            <w:top w:val="nil"/>
            <w:left w:val="nil"/>
            <w:bottom w:val="single" w:sz="8" w:space="0" w:color="auto"/>
            <w:right w:val="single" w:sz="8" w:space="0" w:color="auto"/>
          </w:tcBorders>
          <w:shd w:val="clear" w:color="auto" w:fill="auto"/>
          <w:vAlign w:val="center"/>
          <w:hideMark/>
        </w:tcPr>
        <w:p w14:paraId="3B6BD4FC" w14:textId="77777777" w:rsidR="005F3FCF" w:rsidRPr="00EE1920" w:rsidRDefault="005F3FCF" w:rsidP="00816745">
          <w:pPr>
            <w:jc w:val="center"/>
            <w:rPr>
              <w:rFonts w:ascii="Calibri" w:eastAsia="Times New Roman" w:hAnsi="Calibri"/>
              <w:color w:val="000000"/>
              <w:sz w:val="12"/>
              <w:szCs w:val="12"/>
            </w:rPr>
          </w:pPr>
          <w:r w:rsidRPr="00EE1920">
            <w:rPr>
              <w:rFonts w:ascii="Calibri" w:eastAsia="Times New Roman" w:hAnsi="Calibri"/>
              <w:color w:val="000000"/>
              <w:sz w:val="12"/>
              <w:szCs w:val="12"/>
            </w:rPr>
            <w:t>$748,345</w:t>
          </w:r>
        </w:p>
      </w:tc>
      <w:tc>
        <w:tcPr>
          <w:tcW w:w="672" w:type="dxa"/>
          <w:tcBorders>
            <w:top w:val="nil"/>
            <w:left w:val="nil"/>
            <w:bottom w:val="single" w:sz="8" w:space="0" w:color="auto"/>
            <w:right w:val="single" w:sz="8" w:space="0" w:color="auto"/>
          </w:tcBorders>
          <w:shd w:val="clear" w:color="auto" w:fill="auto"/>
          <w:vAlign w:val="center"/>
          <w:hideMark/>
        </w:tcPr>
        <w:p w14:paraId="32D68F2E" w14:textId="77777777" w:rsidR="005F3FCF" w:rsidRPr="00EE1920" w:rsidRDefault="005F3FCF" w:rsidP="00816745">
          <w:pPr>
            <w:jc w:val="center"/>
            <w:rPr>
              <w:rFonts w:ascii="Calibri" w:eastAsia="Times New Roman" w:hAnsi="Calibri"/>
              <w:color w:val="000000"/>
              <w:sz w:val="12"/>
              <w:szCs w:val="12"/>
            </w:rPr>
          </w:pPr>
          <w:r w:rsidRPr="00EE1920">
            <w:rPr>
              <w:rFonts w:ascii="Calibri" w:eastAsia="Times New Roman" w:hAnsi="Calibri"/>
              <w:color w:val="000000"/>
              <w:sz w:val="12"/>
              <w:szCs w:val="12"/>
            </w:rPr>
            <w:t>$</w:t>
          </w:r>
          <w:r>
            <w:rPr>
              <w:rFonts w:ascii="Calibri" w:eastAsia="Times New Roman" w:hAnsi="Calibri"/>
              <w:color w:val="000000"/>
              <w:sz w:val="12"/>
              <w:szCs w:val="12"/>
            </w:rPr>
            <w:t>752,553</w:t>
          </w:r>
        </w:p>
      </w:tc>
      <w:tc>
        <w:tcPr>
          <w:tcW w:w="698" w:type="dxa"/>
          <w:tcBorders>
            <w:top w:val="nil"/>
            <w:left w:val="nil"/>
            <w:bottom w:val="single" w:sz="8" w:space="0" w:color="auto"/>
            <w:right w:val="single" w:sz="8" w:space="0" w:color="auto"/>
          </w:tcBorders>
          <w:shd w:val="clear" w:color="auto" w:fill="auto"/>
          <w:vAlign w:val="center"/>
          <w:hideMark/>
        </w:tcPr>
        <w:p w14:paraId="6C3FA40F" w14:textId="77777777" w:rsidR="005F3FCF" w:rsidRPr="00EE1920" w:rsidRDefault="005F3FCF" w:rsidP="00816745">
          <w:pPr>
            <w:jc w:val="center"/>
            <w:rPr>
              <w:rFonts w:ascii="Calibri" w:eastAsia="Times New Roman" w:hAnsi="Calibri"/>
              <w:color w:val="000000"/>
              <w:sz w:val="12"/>
              <w:szCs w:val="12"/>
            </w:rPr>
          </w:pPr>
          <w:r w:rsidRPr="00EE1920">
            <w:rPr>
              <w:rFonts w:ascii="Calibri" w:eastAsia="Times New Roman" w:hAnsi="Calibri"/>
              <w:color w:val="000000"/>
              <w:sz w:val="12"/>
              <w:szCs w:val="12"/>
            </w:rPr>
            <w:t>100%</w:t>
          </w:r>
        </w:p>
      </w:tc>
    </w:tr>
    <w:tr w:rsidR="005F3FCF" w:rsidRPr="009605B2" w14:paraId="21F3C44E" w14:textId="77777777" w:rsidTr="005F3FCF">
      <w:tc>
        <w:tcPr>
          <w:tcW w:w="6608" w:type="dxa"/>
          <w:vAlign w:val="center"/>
          <w:hideMark/>
        </w:tcPr>
        <w:p w14:paraId="099C996A" w14:textId="77777777" w:rsidR="005F3FCF" w:rsidRPr="009605B2" w:rsidRDefault="005F3FCF" w:rsidP="005F3FCF">
          <w:pPr>
            <w:pStyle w:val="Title"/>
            <w:spacing w:after="120"/>
            <w:ind w:right="360"/>
            <w:jc w:val="left"/>
            <w:rPr>
              <w:rFonts w:ascii="Calibri" w:eastAsia="Times New Roman" w:hAnsi="Calibri"/>
              <w:color w:val="000000"/>
              <w:sz w:val="12"/>
              <w:szCs w:val="12"/>
            </w:rPr>
          </w:pPr>
          <w:r w:rsidRPr="005F3FCF">
            <w:rPr>
              <w:rFonts w:ascii="Gotham Book" w:hAnsi="Gotham Book"/>
              <w:b/>
              <w:color w:val="404040"/>
              <w:sz w:val="22"/>
              <w:szCs w:val="22"/>
            </w:rPr>
            <w:t xml:space="preserve">Expand </w:t>
          </w:r>
          <w:r w:rsidRPr="009605B2">
            <w:rPr>
              <w:rFonts w:ascii="Calibri" w:eastAsia="Times New Roman" w:hAnsi="Calibri"/>
              <w:color w:val="000000"/>
              <w:sz w:val="12"/>
              <w:szCs w:val="12"/>
            </w:rPr>
            <w:t>Home Ownership Opportunities</w:t>
          </w:r>
        </w:p>
      </w:tc>
      <w:tc>
        <w:tcPr>
          <w:tcW w:w="3328" w:type="dxa"/>
          <w:vAlign w:val="center"/>
          <w:hideMark/>
        </w:tcPr>
        <w:p w14:paraId="57B63699"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AH</w:t>
          </w:r>
        </w:p>
      </w:tc>
      <w:tc>
        <w:tcPr>
          <w:tcW w:w="621" w:type="dxa"/>
          <w:tcBorders>
            <w:top w:val="nil"/>
            <w:left w:val="nil"/>
            <w:bottom w:val="single" w:sz="8" w:space="0" w:color="auto"/>
            <w:right w:val="single" w:sz="8" w:space="0" w:color="auto"/>
          </w:tcBorders>
          <w:shd w:val="clear" w:color="auto" w:fill="auto"/>
          <w:vAlign w:val="center"/>
          <w:hideMark/>
        </w:tcPr>
        <w:p w14:paraId="0459632D"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CDBG</w:t>
          </w:r>
          <w:r w:rsidRPr="009605B2">
            <w:rPr>
              <w:rFonts w:ascii="Calibri" w:eastAsia="Times New Roman" w:hAnsi="Calibri"/>
              <w:color w:val="000000"/>
              <w:sz w:val="12"/>
              <w:szCs w:val="12"/>
            </w:rPr>
            <w:br/>
            <w:t>HOME</w:t>
          </w:r>
        </w:p>
      </w:tc>
      <w:tc>
        <w:tcPr>
          <w:tcW w:w="2074" w:type="dxa"/>
          <w:tcBorders>
            <w:top w:val="nil"/>
            <w:left w:val="nil"/>
            <w:bottom w:val="single" w:sz="8" w:space="0" w:color="auto"/>
            <w:right w:val="single" w:sz="8" w:space="0" w:color="auto"/>
          </w:tcBorders>
          <w:shd w:val="clear" w:color="auto" w:fill="auto"/>
          <w:vAlign w:val="center"/>
          <w:hideMark/>
        </w:tcPr>
        <w:p w14:paraId="743E75C8"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Direct Financial Assistance to Homebuyers</w:t>
          </w:r>
        </w:p>
      </w:tc>
      <w:tc>
        <w:tcPr>
          <w:tcW w:w="788" w:type="dxa"/>
          <w:tcBorders>
            <w:top w:val="nil"/>
            <w:left w:val="nil"/>
            <w:bottom w:val="single" w:sz="8" w:space="0" w:color="auto"/>
            <w:right w:val="single" w:sz="8" w:space="0" w:color="auto"/>
          </w:tcBorders>
          <w:shd w:val="clear" w:color="auto" w:fill="auto"/>
          <w:vAlign w:val="center"/>
          <w:hideMark/>
        </w:tcPr>
        <w:p w14:paraId="1B3981F4" w14:textId="77777777" w:rsidR="005F3FCF" w:rsidRPr="00A60631" w:rsidRDefault="005F3FCF" w:rsidP="00816745">
          <w:pPr>
            <w:jc w:val="center"/>
            <w:rPr>
              <w:rFonts w:ascii="Calibri" w:eastAsia="Times New Roman" w:hAnsi="Calibri"/>
              <w:color w:val="000000"/>
              <w:sz w:val="12"/>
              <w:szCs w:val="12"/>
            </w:rPr>
          </w:pPr>
          <w:r w:rsidRPr="00A60631">
            <w:rPr>
              <w:rFonts w:ascii="Calibri" w:eastAsia="Times New Roman" w:hAnsi="Calibri"/>
              <w:color w:val="000000"/>
              <w:sz w:val="12"/>
              <w:szCs w:val="12"/>
            </w:rPr>
            <w:t>Households Assisted</w:t>
          </w:r>
        </w:p>
      </w:tc>
      <w:tc>
        <w:tcPr>
          <w:tcW w:w="763" w:type="dxa"/>
          <w:tcBorders>
            <w:top w:val="nil"/>
            <w:left w:val="nil"/>
            <w:bottom w:val="single" w:sz="8" w:space="0" w:color="auto"/>
            <w:right w:val="single" w:sz="8" w:space="0" w:color="auto"/>
          </w:tcBorders>
          <w:shd w:val="clear" w:color="auto" w:fill="auto"/>
          <w:vAlign w:val="center"/>
          <w:hideMark/>
        </w:tcPr>
        <w:p w14:paraId="083B30B5" w14:textId="77777777" w:rsidR="005F3FCF" w:rsidRPr="00A60631" w:rsidRDefault="005F3FCF" w:rsidP="00816745">
          <w:pPr>
            <w:jc w:val="center"/>
            <w:rPr>
              <w:rFonts w:ascii="Calibri" w:eastAsia="Times New Roman" w:hAnsi="Calibri"/>
              <w:color w:val="000000"/>
              <w:sz w:val="12"/>
              <w:szCs w:val="12"/>
            </w:rPr>
          </w:pPr>
          <w:r w:rsidRPr="00A60631">
            <w:rPr>
              <w:rFonts w:ascii="Calibri" w:eastAsia="Times New Roman" w:hAnsi="Calibri"/>
              <w:color w:val="000000"/>
              <w:sz w:val="12"/>
              <w:szCs w:val="12"/>
            </w:rPr>
            <w:t>110</w:t>
          </w:r>
        </w:p>
      </w:tc>
      <w:tc>
        <w:tcPr>
          <w:tcW w:w="763" w:type="dxa"/>
          <w:tcBorders>
            <w:top w:val="nil"/>
            <w:left w:val="nil"/>
            <w:bottom w:val="single" w:sz="8" w:space="0" w:color="auto"/>
            <w:right w:val="single" w:sz="8" w:space="0" w:color="auto"/>
          </w:tcBorders>
          <w:shd w:val="clear" w:color="auto" w:fill="auto"/>
          <w:vAlign w:val="center"/>
          <w:hideMark/>
        </w:tcPr>
        <w:p w14:paraId="61C832AB" w14:textId="77777777" w:rsidR="005F3FCF" w:rsidRPr="00A60631" w:rsidRDefault="005F3FCF" w:rsidP="00816745">
          <w:pPr>
            <w:jc w:val="center"/>
            <w:rPr>
              <w:rFonts w:ascii="Calibri" w:eastAsia="Times New Roman" w:hAnsi="Calibri"/>
              <w:color w:val="000000"/>
              <w:sz w:val="12"/>
              <w:szCs w:val="12"/>
            </w:rPr>
          </w:pPr>
          <w:r>
            <w:rPr>
              <w:rFonts w:ascii="Calibri" w:eastAsia="Times New Roman" w:hAnsi="Calibri"/>
              <w:color w:val="000000"/>
              <w:sz w:val="12"/>
              <w:szCs w:val="12"/>
            </w:rPr>
            <w:t>38</w:t>
          </w:r>
        </w:p>
      </w:tc>
      <w:tc>
        <w:tcPr>
          <w:tcW w:w="698" w:type="dxa"/>
          <w:tcBorders>
            <w:top w:val="nil"/>
            <w:left w:val="nil"/>
            <w:bottom w:val="single" w:sz="8" w:space="0" w:color="auto"/>
            <w:right w:val="single" w:sz="8" w:space="0" w:color="auto"/>
          </w:tcBorders>
          <w:shd w:val="clear" w:color="auto" w:fill="auto"/>
          <w:vAlign w:val="center"/>
          <w:hideMark/>
        </w:tcPr>
        <w:p w14:paraId="584CBCAF" w14:textId="77777777" w:rsidR="005F3FCF" w:rsidRPr="00A60631" w:rsidRDefault="005F3FCF" w:rsidP="00816745">
          <w:pPr>
            <w:jc w:val="center"/>
            <w:rPr>
              <w:rFonts w:ascii="Calibri" w:eastAsia="Times New Roman" w:hAnsi="Calibri"/>
              <w:color w:val="000000"/>
              <w:sz w:val="12"/>
              <w:szCs w:val="12"/>
            </w:rPr>
          </w:pPr>
          <w:r>
            <w:rPr>
              <w:rFonts w:ascii="Calibri" w:eastAsia="Times New Roman" w:hAnsi="Calibri"/>
              <w:color w:val="000000"/>
              <w:sz w:val="12"/>
              <w:szCs w:val="12"/>
            </w:rPr>
            <w:t>35</w:t>
          </w:r>
          <w:r w:rsidRPr="00A60631">
            <w:rPr>
              <w:rFonts w:ascii="Calibri" w:eastAsia="Times New Roman" w:hAnsi="Calibri"/>
              <w:color w:val="000000"/>
              <w:sz w:val="12"/>
              <w:szCs w:val="12"/>
            </w:rPr>
            <w:t>%</w:t>
          </w:r>
        </w:p>
      </w:tc>
      <w:tc>
        <w:tcPr>
          <w:tcW w:w="672" w:type="dxa"/>
          <w:tcBorders>
            <w:top w:val="nil"/>
            <w:left w:val="nil"/>
            <w:bottom w:val="single" w:sz="8" w:space="0" w:color="auto"/>
            <w:right w:val="single" w:sz="8" w:space="0" w:color="auto"/>
          </w:tcBorders>
          <w:shd w:val="clear" w:color="auto" w:fill="auto"/>
          <w:vAlign w:val="center"/>
          <w:hideMark/>
        </w:tcPr>
        <w:p w14:paraId="12EF7B5D" w14:textId="77777777" w:rsidR="005F3FCF" w:rsidRPr="009605B2" w:rsidRDefault="005F3FCF" w:rsidP="00816745">
          <w:pPr>
            <w:jc w:val="center"/>
            <w:rPr>
              <w:rFonts w:ascii="Calibri" w:eastAsia="Times New Roman" w:hAnsi="Calibri"/>
              <w:color w:val="000000"/>
              <w:sz w:val="12"/>
              <w:szCs w:val="12"/>
            </w:rPr>
          </w:pPr>
          <w:r>
            <w:rPr>
              <w:rFonts w:ascii="Calibri" w:eastAsia="Times New Roman" w:hAnsi="Calibri"/>
              <w:color w:val="000000"/>
              <w:sz w:val="12"/>
              <w:szCs w:val="12"/>
            </w:rPr>
            <w:t>22</w:t>
          </w:r>
        </w:p>
      </w:tc>
      <w:tc>
        <w:tcPr>
          <w:tcW w:w="672" w:type="dxa"/>
          <w:tcBorders>
            <w:top w:val="nil"/>
            <w:left w:val="nil"/>
            <w:bottom w:val="single" w:sz="8" w:space="0" w:color="auto"/>
            <w:right w:val="single" w:sz="8" w:space="0" w:color="auto"/>
          </w:tcBorders>
          <w:shd w:val="clear" w:color="auto" w:fill="auto"/>
          <w:vAlign w:val="center"/>
          <w:hideMark/>
        </w:tcPr>
        <w:p w14:paraId="085C66F2" w14:textId="77777777" w:rsidR="005F3FCF" w:rsidRPr="009605B2" w:rsidRDefault="005F3FCF" w:rsidP="00816745">
          <w:pPr>
            <w:jc w:val="center"/>
            <w:rPr>
              <w:rFonts w:ascii="Calibri" w:eastAsia="Times New Roman" w:hAnsi="Calibri"/>
              <w:color w:val="000000"/>
              <w:sz w:val="12"/>
              <w:szCs w:val="12"/>
            </w:rPr>
          </w:pPr>
          <w:r>
            <w:rPr>
              <w:rFonts w:ascii="Calibri" w:eastAsia="Times New Roman" w:hAnsi="Calibri"/>
              <w:color w:val="000000"/>
              <w:sz w:val="12"/>
              <w:szCs w:val="12"/>
            </w:rPr>
            <w:t>9</w:t>
          </w:r>
        </w:p>
      </w:tc>
      <w:tc>
        <w:tcPr>
          <w:tcW w:w="698" w:type="dxa"/>
          <w:tcBorders>
            <w:top w:val="nil"/>
            <w:left w:val="nil"/>
            <w:bottom w:val="single" w:sz="8" w:space="0" w:color="auto"/>
            <w:right w:val="single" w:sz="8" w:space="0" w:color="auto"/>
          </w:tcBorders>
          <w:shd w:val="clear" w:color="auto" w:fill="auto"/>
          <w:vAlign w:val="center"/>
          <w:hideMark/>
        </w:tcPr>
        <w:p w14:paraId="5BE60251" w14:textId="77777777" w:rsidR="005F3FCF" w:rsidRPr="009605B2" w:rsidRDefault="005F3FCF" w:rsidP="00816745">
          <w:pPr>
            <w:jc w:val="center"/>
            <w:rPr>
              <w:rFonts w:ascii="Calibri" w:eastAsia="Times New Roman" w:hAnsi="Calibri"/>
              <w:color w:val="000000"/>
              <w:sz w:val="12"/>
              <w:szCs w:val="12"/>
            </w:rPr>
          </w:pPr>
          <w:r>
            <w:rPr>
              <w:rFonts w:ascii="Calibri" w:eastAsia="Times New Roman" w:hAnsi="Calibri"/>
              <w:color w:val="000000"/>
              <w:sz w:val="12"/>
              <w:szCs w:val="12"/>
            </w:rPr>
            <w:t>41</w:t>
          </w:r>
          <w:r w:rsidRPr="009605B2">
            <w:rPr>
              <w:rFonts w:ascii="Calibri" w:eastAsia="Times New Roman" w:hAnsi="Calibri"/>
              <w:color w:val="000000"/>
              <w:sz w:val="12"/>
              <w:szCs w:val="12"/>
            </w:rPr>
            <w:t>%</w:t>
          </w:r>
        </w:p>
      </w:tc>
    </w:tr>
    <w:tr w:rsidR="005F3FCF" w:rsidRPr="009605B2" w14:paraId="4815C360" w14:textId="77777777" w:rsidTr="005F3FCF">
      <w:tc>
        <w:tcPr>
          <w:tcW w:w="6608" w:type="dxa"/>
          <w:vAlign w:val="center"/>
          <w:hideMark/>
        </w:tcPr>
        <w:p w14:paraId="1FBEA6E0" w14:textId="77777777" w:rsidR="005F3FCF" w:rsidRPr="009605B2" w:rsidRDefault="005F3FCF" w:rsidP="005F3FCF">
          <w:pPr>
            <w:pStyle w:val="Title"/>
            <w:spacing w:after="120"/>
            <w:ind w:right="360"/>
            <w:jc w:val="left"/>
            <w:rPr>
              <w:rFonts w:ascii="Calibri" w:eastAsia="Times New Roman" w:hAnsi="Calibri"/>
              <w:color w:val="000000"/>
              <w:sz w:val="12"/>
              <w:szCs w:val="12"/>
            </w:rPr>
          </w:pPr>
          <w:r w:rsidRPr="005F3FCF">
            <w:rPr>
              <w:rFonts w:ascii="Gotham Book" w:hAnsi="Gotham Book"/>
              <w:b/>
              <w:color w:val="404040"/>
              <w:sz w:val="22"/>
              <w:szCs w:val="22"/>
            </w:rPr>
            <w:t xml:space="preserve">Improve </w:t>
          </w:r>
          <w:r w:rsidRPr="009605B2">
            <w:rPr>
              <w:rFonts w:ascii="Calibri" w:eastAsia="Times New Roman" w:hAnsi="Calibri"/>
              <w:color w:val="000000"/>
              <w:sz w:val="12"/>
              <w:szCs w:val="12"/>
            </w:rPr>
            <w:t>and Expand Affordable Housing Stock</w:t>
          </w:r>
        </w:p>
      </w:tc>
      <w:tc>
        <w:tcPr>
          <w:tcW w:w="3328" w:type="dxa"/>
          <w:vAlign w:val="center"/>
          <w:hideMark/>
        </w:tcPr>
        <w:p w14:paraId="70149E3D"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AH</w:t>
          </w:r>
        </w:p>
      </w:tc>
      <w:tc>
        <w:tcPr>
          <w:tcW w:w="621" w:type="dxa"/>
          <w:tcBorders>
            <w:top w:val="nil"/>
            <w:left w:val="nil"/>
            <w:bottom w:val="single" w:sz="8" w:space="0" w:color="auto"/>
            <w:right w:val="single" w:sz="8" w:space="0" w:color="auto"/>
          </w:tcBorders>
          <w:shd w:val="clear" w:color="auto" w:fill="auto"/>
          <w:vAlign w:val="center"/>
          <w:hideMark/>
        </w:tcPr>
        <w:p w14:paraId="62077335"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CDBG</w:t>
          </w:r>
        </w:p>
      </w:tc>
      <w:tc>
        <w:tcPr>
          <w:tcW w:w="2074" w:type="dxa"/>
          <w:tcBorders>
            <w:top w:val="nil"/>
            <w:left w:val="nil"/>
            <w:bottom w:val="single" w:sz="8" w:space="0" w:color="auto"/>
            <w:right w:val="single" w:sz="8" w:space="0" w:color="auto"/>
          </w:tcBorders>
          <w:shd w:val="clear" w:color="auto" w:fill="auto"/>
          <w:vAlign w:val="center"/>
          <w:hideMark/>
        </w:tcPr>
        <w:p w14:paraId="52DBAB91"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Homeowner Housing Rehabilitated</w:t>
          </w:r>
        </w:p>
      </w:tc>
      <w:tc>
        <w:tcPr>
          <w:tcW w:w="788" w:type="dxa"/>
          <w:tcBorders>
            <w:top w:val="nil"/>
            <w:left w:val="nil"/>
            <w:bottom w:val="single" w:sz="8" w:space="0" w:color="auto"/>
            <w:right w:val="single" w:sz="8" w:space="0" w:color="auto"/>
          </w:tcBorders>
          <w:shd w:val="clear" w:color="auto" w:fill="auto"/>
          <w:vAlign w:val="center"/>
          <w:hideMark/>
        </w:tcPr>
        <w:p w14:paraId="5051C86B" w14:textId="77777777" w:rsidR="005F3FCF" w:rsidRPr="009605B2" w:rsidRDefault="005F3FCF" w:rsidP="00816745">
          <w:pPr>
            <w:jc w:val="center"/>
            <w:rPr>
              <w:rFonts w:ascii="Calibri" w:eastAsia="Times New Roman" w:hAnsi="Calibri"/>
              <w:color w:val="000000"/>
              <w:sz w:val="12"/>
              <w:szCs w:val="12"/>
            </w:rPr>
          </w:pPr>
          <w:r w:rsidRPr="009605B2">
            <w:rPr>
              <w:rFonts w:ascii="Calibri" w:eastAsia="Times New Roman" w:hAnsi="Calibri"/>
              <w:color w:val="000000"/>
              <w:sz w:val="12"/>
              <w:szCs w:val="12"/>
            </w:rPr>
            <w:t>Household Housing Unit</w:t>
          </w:r>
        </w:p>
      </w:tc>
      <w:tc>
        <w:tcPr>
          <w:tcW w:w="763" w:type="dxa"/>
          <w:tcBorders>
            <w:top w:val="nil"/>
            <w:left w:val="nil"/>
            <w:bottom w:val="single" w:sz="8" w:space="0" w:color="auto"/>
            <w:right w:val="single" w:sz="8" w:space="0" w:color="auto"/>
          </w:tcBorders>
          <w:shd w:val="clear" w:color="auto" w:fill="auto"/>
          <w:vAlign w:val="center"/>
          <w:hideMark/>
        </w:tcPr>
        <w:p w14:paraId="6C829C8A" w14:textId="77777777" w:rsidR="005F3FCF" w:rsidRPr="00A60631" w:rsidRDefault="005F3FCF" w:rsidP="00816745">
          <w:pPr>
            <w:jc w:val="center"/>
            <w:rPr>
              <w:rFonts w:ascii="Calibri" w:eastAsia="Times New Roman" w:hAnsi="Calibri"/>
              <w:color w:val="000000"/>
              <w:sz w:val="12"/>
              <w:szCs w:val="12"/>
            </w:rPr>
          </w:pPr>
          <w:r w:rsidRPr="00A60631">
            <w:rPr>
              <w:rFonts w:ascii="Calibri" w:eastAsia="Times New Roman" w:hAnsi="Calibri"/>
              <w:color w:val="000000"/>
              <w:sz w:val="12"/>
              <w:szCs w:val="12"/>
            </w:rPr>
            <w:t>1325</w:t>
          </w:r>
        </w:p>
      </w:tc>
      <w:tc>
        <w:tcPr>
          <w:tcW w:w="763" w:type="dxa"/>
          <w:tcBorders>
            <w:top w:val="nil"/>
            <w:left w:val="nil"/>
            <w:bottom w:val="single" w:sz="8" w:space="0" w:color="auto"/>
            <w:right w:val="single" w:sz="8" w:space="0" w:color="auto"/>
          </w:tcBorders>
          <w:shd w:val="clear" w:color="auto" w:fill="auto"/>
          <w:vAlign w:val="center"/>
          <w:hideMark/>
        </w:tcPr>
        <w:p w14:paraId="69BC5B02" w14:textId="77777777" w:rsidR="005F3FCF" w:rsidRDefault="005F3FCF" w:rsidP="00816745">
          <w:pPr>
            <w:jc w:val="center"/>
            <w:rPr>
              <w:rFonts w:ascii="Calibri" w:eastAsia="Times New Roman" w:hAnsi="Calibri"/>
              <w:color w:val="000000"/>
              <w:sz w:val="12"/>
              <w:szCs w:val="12"/>
            </w:rPr>
          </w:pPr>
        </w:p>
        <w:p w14:paraId="79FC45BF" w14:textId="77777777" w:rsidR="005F3FCF" w:rsidRDefault="005F3FCF" w:rsidP="00816745">
          <w:pPr>
            <w:jc w:val="center"/>
            <w:rPr>
              <w:rFonts w:ascii="Calibri" w:eastAsia="Times New Roman" w:hAnsi="Calibri"/>
              <w:color w:val="000000"/>
              <w:sz w:val="12"/>
              <w:szCs w:val="12"/>
            </w:rPr>
          </w:pPr>
          <w:r>
            <w:rPr>
              <w:rFonts w:ascii="Calibri" w:eastAsia="Times New Roman" w:hAnsi="Calibri"/>
              <w:color w:val="000000"/>
              <w:sz w:val="12"/>
              <w:szCs w:val="12"/>
            </w:rPr>
            <w:t>837</w:t>
          </w:r>
        </w:p>
        <w:p w14:paraId="5E0CB169" w14:textId="77777777" w:rsidR="005F3FCF" w:rsidRPr="00A60631" w:rsidRDefault="005F3FCF" w:rsidP="00816745">
          <w:pPr>
            <w:jc w:val="center"/>
            <w:rPr>
              <w:rFonts w:ascii="Calibri" w:eastAsia="Times New Roman" w:hAnsi="Calibri"/>
              <w:color w:val="000000"/>
              <w:sz w:val="12"/>
              <w:szCs w:val="12"/>
            </w:rPr>
          </w:pPr>
        </w:p>
      </w:tc>
      <w:tc>
        <w:tcPr>
          <w:tcW w:w="698" w:type="dxa"/>
          <w:tcBorders>
            <w:top w:val="nil"/>
            <w:left w:val="nil"/>
            <w:bottom w:val="single" w:sz="8" w:space="0" w:color="auto"/>
            <w:right w:val="single" w:sz="8" w:space="0" w:color="auto"/>
          </w:tcBorders>
          <w:shd w:val="clear" w:color="auto" w:fill="auto"/>
          <w:vAlign w:val="center"/>
          <w:hideMark/>
        </w:tcPr>
        <w:p w14:paraId="27FF0142" w14:textId="77777777" w:rsidR="005F3FCF" w:rsidRPr="00A60631" w:rsidRDefault="005F3FCF" w:rsidP="00816745">
          <w:pPr>
            <w:jc w:val="center"/>
            <w:rPr>
              <w:rFonts w:ascii="Calibri" w:eastAsia="Times New Roman" w:hAnsi="Calibri"/>
              <w:color w:val="000000"/>
              <w:sz w:val="12"/>
              <w:szCs w:val="12"/>
            </w:rPr>
          </w:pPr>
          <w:r>
            <w:rPr>
              <w:rFonts w:ascii="Calibri" w:eastAsia="Times New Roman" w:hAnsi="Calibri"/>
              <w:color w:val="000000"/>
              <w:sz w:val="12"/>
              <w:szCs w:val="12"/>
            </w:rPr>
            <w:t>63</w:t>
          </w:r>
          <w:r w:rsidRPr="00A60631">
            <w:rPr>
              <w:rFonts w:ascii="Calibri" w:eastAsia="Times New Roman" w:hAnsi="Calibri"/>
              <w:color w:val="000000"/>
              <w:sz w:val="12"/>
              <w:szCs w:val="12"/>
            </w:rPr>
            <w:t>%</w:t>
          </w:r>
        </w:p>
      </w:tc>
      <w:tc>
        <w:tcPr>
          <w:tcW w:w="672" w:type="dxa"/>
          <w:tcBorders>
            <w:top w:val="nil"/>
            <w:left w:val="nil"/>
            <w:bottom w:val="single" w:sz="8" w:space="0" w:color="auto"/>
            <w:right w:val="single" w:sz="8" w:space="0" w:color="auto"/>
          </w:tcBorders>
          <w:shd w:val="clear" w:color="auto" w:fill="auto"/>
          <w:vAlign w:val="center"/>
          <w:hideMark/>
        </w:tcPr>
        <w:p w14:paraId="7CDFFAF8" w14:textId="77777777" w:rsidR="005F3FCF" w:rsidRPr="009605B2" w:rsidRDefault="005F3FCF" w:rsidP="00816745">
          <w:pPr>
            <w:jc w:val="center"/>
            <w:rPr>
              <w:rFonts w:ascii="Calibri" w:eastAsia="Times New Roman" w:hAnsi="Calibri"/>
              <w:color w:val="000000"/>
              <w:sz w:val="12"/>
              <w:szCs w:val="12"/>
            </w:rPr>
          </w:pPr>
          <w:r>
            <w:rPr>
              <w:rFonts w:ascii="Calibri" w:eastAsia="Times New Roman" w:hAnsi="Calibri"/>
              <w:color w:val="000000"/>
              <w:sz w:val="12"/>
              <w:szCs w:val="12"/>
            </w:rPr>
            <w:t>265</w:t>
          </w:r>
        </w:p>
      </w:tc>
      <w:tc>
        <w:tcPr>
          <w:tcW w:w="672" w:type="dxa"/>
          <w:tcBorders>
            <w:top w:val="nil"/>
            <w:left w:val="nil"/>
            <w:bottom w:val="single" w:sz="8" w:space="0" w:color="auto"/>
            <w:right w:val="single" w:sz="8" w:space="0" w:color="auto"/>
          </w:tcBorders>
          <w:shd w:val="clear" w:color="auto" w:fill="auto"/>
          <w:vAlign w:val="center"/>
          <w:hideMark/>
        </w:tcPr>
        <w:p w14:paraId="37ABEC90" w14:textId="77777777" w:rsidR="005F3FCF" w:rsidRPr="009605B2" w:rsidRDefault="005F3FCF" w:rsidP="00816745">
          <w:pPr>
            <w:jc w:val="center"/>
            <w:rPr>
              <w:rFonts w:ascii="Calibri" w:eastAsia="Times New Roman" w:hAnsi="Calibri"/>
              <w:color w:val="000000"/>
              <w:sz w:val="12"/>
              <w:szCs w:val="12"/>
            </w:rPr>
          </w:pPr>
          <w:r>
            <w:rPr>
              <w:rFonts w:ascii="Calibri" w:eastAsia="Times New Roman" w:hAnsi="Calibri"/>
              <w:color w:val="000000"/>
              <w:sz w:val="12"/>
              <w:szCs w:val="12"/>
            </w:rPr>
            <w:t>237</w:t>
          </w:r>
        </w:p>
      </w:tc>
      <w:tc>
        <w:tcPr>
          <w:tcW w:w="698" w:type="dxa"/>
          <w:tcBorders>
            <w:top w:val="nil"/>
            <w:left w:val="nil"/>
            <w:bottom w:val="single" w:sz="8" w:space="0" w:color="auto"/>
            <w:right w:val="single" w:sz="8" w:space="0" w:color="auto"/>
          </w:tcBorders>
          <w:shd w:val="clear" w:color="auto" w:fill="auto"/>
          <w:vAlign w:val="center"/>
          <w:hideMark/>
        </w:tcPr>
        <w:p w14:paraId="599F1C83" w14:textId="77777777" w:rsidR="005F3FCF" w:rsidRPr="009605B2" w:rsidRDefault="005F3FCF" w:rsidP="00816745">
          <w:pPr>
            <w:jc w:val="center"/>
            <w:rPr>
              <w:rFonts w:ascii="Calibri" w:eastAsia="Times New Roman" w:hAnsi="Calibri"/>
              <w:color w:val="000000"/>
              <w:sz w:val="12"/>
              <w:szCs w:val="12"/>
            </w:rPr>
          </w:pPr>
          <w:r>
            <w:rPr>
              <w:rFonts w:ascii="Calibri" w:eastAsia="Times New Roman" w:hAnsi="Calibri"/>
              <w:color w:val="000000"/>
              <w:sz w:val="12"/>
              <w:szCs w:val="12"/>
            </w:rPr>
            <w:t>89</w:t>
          </w:r>
          <w:r w:rsidRPr="009605B2">
            <w:rPr>
              <w:rFonts w:ascii="Calibri" w:eastAsia="Times New Roman" w:hAnsi="Calibri"/>
              <w:color w:val="000000"/>
              <w:sz w:val="12"/>
              <w:szCs w:val="12"/>
            </w:rPr>
            <w:t>%</w:t>
          </w:r>
        </w:p>
      </w:tc>
    </w:tr>
    <w:tr w:rsidR="005F3FCF" w:rsidRPr="009605B2" w14:paraId="79407D5D" w14:textId="77777777" w:rsidTr="005F3FCF">
      <w:tc>
        <w:tcPr>
          <w:tcW w:w="6608" w:type="dxa"/>
          <w:vAlign w:val="center"/>
          <w:hideMark/>
        </w:tcPr>
        <w:p w14:paraId="05F52866" w14:textId="77777777" w:rsidR="005F3FCF" w:rsidRPr="009605B2" w:rsidRDefault="005F3FCF" w:rsidP="005F3FCF">
          <w:pPr>
            <w:pStyle w:val="Title"/>
            <w:spacing w:after="120"/>
            <w:ind w:right="360"/>
            <w:jc w:val="left"/>
            <w:rPr>
              <w:rFonts w:ascii="Calibri" w:eastAsia="Times New Roman" w:hAnsi="Calibri"/>
              <w:color w:val="000000"/>
              <w:sz w:val="12"/>
              <w:szCs w:val="12"/>
            </w:rPr>
          </w:pPr>
          <w:r w:rsidRPr="005F3FCF">
            <w:rPr>
              <w:rFonts w:ascii="Gotham Book" w:hAnsi="Gotham Book"/>
              <w:b/>
              <w:color w:val="404040"/>
              <w:sz w:val="22"/>
              <w:szCs w:val="22"/>
            </w:rPr>
            <w:t xml:space="preserve">Improve </w:t>
          </w:r>
          <w:r w:rsidRPr="009605B2">
            <w:rPr>
              <w:rFonts w:ascii="Calibri" w:eastAsia="Times New Roman" w:hAnsi="Calibri"/>
              <w:color w:val="000000"/>
              <w:sz w:val="12"/>
              <w:szCs w:val="12"/>
            </w:rPr>
            <w:t>Infrastructure in Distressed Neighborhoods</w:t>
          </w:r>
        </w:p>
      </w:tc>
      <w:tc>
        <w:tcPr>
          <w:tcW w:w="3328" w:type="dxa"/>
          <w:vAlign w:val="center"/>
          <w:hideMark/>
        </w:tcPr>
        <w:p w14:paraId="291B8176"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NHCD</w:t>
          </w:r>
        </w:p>
      </w:tc>
      <w:tc>
        <w:tcPr>
          <w:tcW w:w="621" w:type="dxa"/>
          <w:tcBorders>
            <w:top w:val="nil"/>
            <w:left w:val="nil"/>
            <w:bottom w:val="single" w:sz="8" w:space="0" w:color="auto"/>
            <w:right w:val="single" w:sz="8" w:space="0" w:color="auto"/>
          </w:tcBorders>
          <w:shd w:val="clear" w:color="auto" w:fill="auto"/>
          <w:vAlign w:val="center"/>
          <w:hideMark/>
        </w:tcPr>
        <w:p w14:paraId="1F424C62"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CDBG</w:t>
          </w:r>
        </w:p>
      </w:tc>
      <w:tc>
        <w:tcPr>
          <w:tcW w:w="2074" w:type="dxa"/>
          <w:tcBorders>
            <w:top w:val="nil"/>
            <w:left w:val="nil"/>
            <w:bottom w:val="single" w:sz="8" w:space="0" w:color="auto"/>
            <w:right w:val="single" w:sz="8" w:space="0" w:color="auto"/>
          </w:tcBorders>
          <w:shd w:val="clear" w:color="auto" w:fill="auto"/>
          <w:vAlign w:val="center"/>
          <w:hideMark/>
        </w:tcPr>
        <w:p w14:paraId="4D790E23"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Public Facility or Infrastructure Activities other than Low/Moderate Income Housing Benefit</w:t>
          </w:r>
        </w:p>
      </w:tc>
      <w:tc>
        <w:tcPr>
          <w:tcW w:w="788" w:type="dxa"/>
          <w:tcBorders>
            <w:top w:val="nil"/>
            <w:left w:val="nil"/>
            <w:bottom w:val="single" w:sz="8" w:space="0" w:color="auto"/>
            <w:right w:val="single" w:sz="8" w:space="0" w:color="auto"/>
          </w:tcBorders>
          <w:shd w:val="clear" w:color="auto" w:fill="auto"/>
          <w:vAlign w:val="center"/>
          <w:hideMark/>
        </w:tcPr>
        <w:p w14:paraId="382039F2" w14:textId="77777777" w:rsidR="005F3FCF" w:rsidRPr="009605B2" w:rsidRDefault="005F3FCF" w:rsidP="00816745">
          <w:pPr>
            <w:jc w:val="center"/>
            <w:rPr>
              <w:rFonts w:ascii="Calibri" w:eastAsia="Times New Roman" w:hAnsi="Calibri"/>
              <w:color w:val="000000"/>
              <w:sz w:val="12"/>
              <w:szCs w:val="12"/>
            </w:rPr>
          </w:pPr>
          <w:r w:rsidRPr="009605B2">
            <w:rPr>
              <w:rFonts w:ascii="Calibri" w:eastAsia="Times New Roman" w:hAnsi="Calibri"/>
              <w:color w:val="000000"/>
              <w:sz w:val="12"/>
              <w:szCs w:val="12"/>
            </w:rPr>
            <w:t>Persons Assisted</w:t>
          </w:r>
        </w:p>
      </w:tc>
      <w:tc>
        <w:tcPr>
          <w:tcW w:w="763" w:type="dxa"/>
          <w:tcBorders>
            <w:top w:val="nil"/>
            <w:left w:val="nil"/>
            <w:bottom w:val="single" w:sz="8" w:space="0" w:color="auto"/>
            <w:right w:val="single" w:sz="8" w:space="0" w:color="auto"/>
          </w:tcBorders>
          <w:shd w:val="clear" w:color="auto" w:fill="auto"/>
          <w:vAlign w:val="center"/>
          <w:hideMark/>
        </w:tcPr>
        <w:p w14:paraId="475BBB9A" w14:textId="77777777" w:rsidR="005F3FCF" w:rsidRPr="00A60631" w:rsidRDefault="005F3FCF" w:rsidP="00816745">
          <w:pPr>
            <w:jc w:val="center"/>
            <w:rPr>
              <w:rFonts w:ascii="Calibri" w:eastAsia="Times New Roman" w:hAnsi="Calibri"/>
              <w:color w:val="000000"/>
              <w:sz w:val="12"/>
              <w:szCs w:val="12"/>
            </w:rPr>
          </w:pPr>
          <w:r w:rsidRPr="00A60631">
            <w:rPr>
              <w:rFonts w:ascii="Calibri" w:eastAsia="Times New Roman" w:hAnsi="Calibri"/>
              <w:color w:val="000000"/>
              <w:sz w:val="12"/>
              <w:szCs w:val="12"/>
            </w:rPr>
            <w:t>100000</w:t>
          </w:r>
        </w:p>
      </w:tc>
      <w:tc>
        <w:tcPr>
          <w:tcW w:w="763" w:type="dxa"/>
          <w:tcBorders>
            <w:top w:val="nil"/>
            <w:left w:val="nil"/>
            <w:bottom w:val="single" w:sz="8" w:space="0" w:color="auto"/>
            <w:right w:val="single" w:sz="8" w:space="0" w:color="auto"/>
          </w:tcBorders>
          <w:shd w:val="clear" w:color="auto" w:fill="auto"/>
          <w:vAlign w:val="center"/>
          <w:hideMark/>
        </w:tcPr>
        <w:p w14:paraId="2538CFC0" w14:textId="77777777" w:rsidR="005F3FCF" w:rsidRPr="00A60631" w:rsidRDefault="005F3FCF" w:rsidP="00816745">
          <w:pPr>
            <w:jc w:val="center"/>
            <w:rPr>
              <w:rFonts w:ascii="Calibri" w:eastAsia="Times New Roman" w:hAnsi="Calibri"/>
              <w:color w:val="000000"/>
              <w:sz w:val="12"/>
              <w:szCs w:val="12"/>
            </w:rPr>
          </w:pPr>
          <w:r w:rsidRPr="00A60631">
            <w:rPr>
              <w:rFonts w:ascii="Calibri" w:eastAsia="Times New Roman" w:hAnsi="Calibri"/>
              <w:color w:val="000000"/>
              <w:sz w:val="12"/>
              <w:szCs w:val="12"/>
            </w:rPr>
            <w:t>0</w:t>
          </w:r>
        </w:p>
      </w:tc>
      <w:tc>
        <w:tcPr>
          <w:tcW w:w="698" w:type="dxa"/>
          <w:tcBorders>
            <w:top w:val="nil"/>
            <w:left w:val="nil"/>
            <w:bottom w:val="single" w:sz="8" w:space="0" w:color="auto"/>
            <w:right w:val="single" w:sz="8" w:space="0" w:color="auto"/>
          </w:tcBorders>
          <w:shd w:val="clear" w:color="auto" w:fill="auto"/>
          <w:vAlign w:val="center"/>
          <w:hideMark/>
        </w:tcPr>
        <w:p w14:paraId="0F86B333" w14:textId="77777777" w:rsidR="005F3FCF" w:rsidRPr="00A60631" w:rsidRDefault="005F3FCF" w:rsidP="00816745">
          <w:pPr>
            <w:jc w:val="center"/>
            <w:rPr>
              <w:rFonts w:ascii="Calibri" w:eastAsia="Times New Roman" w:hAnsi="Calibri"/>
              <w:color w:val="000000"/>
              <w:sz w:val="12"/>
              <w:szCs w:val="12"/>
            </w:rPr>
          </w:pPr>
          <w:r w:rsidRPr="00A60631">
            <w:rPr>
              <w:rFonts w:ascii="Calibri" w:eastAsia="Times New Roman" w:hAnsi="Calibri"/>
              <w:color w:val="000000"/>
              <w:sz w:val="12"/>
              <w:szCs w:val="12"/>
            </w:rPr>
            <w:t>0%</w:t>
          </w:r>
        </w:p>
      </w:tc>
      <w:tc>
        <w:tcPr>
          <w:tcW w:w="672" w:type="dxa"/>
          <w:tcBorders>
            <w:top w:val="nil"/>
            <w:left w:val="nil"/>
            <w:bottom w:val="single" w:sz="8" w:space="0" w:color="auto"/>
            <w:right w:val="single" w:sz="8" w:space="0" w:color="auto"/>
          </w:tcBorders>
          <w:shd w:val="clear" w:color="auto" w:fill="auto"/>
          <w:vAlign w:val="center"/>
          <w:hideMark/>
        </w:tcPr>
        <w:p w14:paraId="3D9552B7" w14:textId="77777777" w:rsidR="005F3FCF" w:rsidRPr="009605B2" w:rsidRDefault="005F3FCF" w:rsidP="00816745">
          <w:pPr>
            <w:jc w:val="center"/>
            <w:rPr>
              <w:rFonts w:ascii="Calibri" w:eastAsia="Times New Roman" w:hAnsi="Calibri"/>
              <w:color w:val="000000"/>
              <w:sz w:val="12"/>
              <w:szCs w:val="12"/>
            </w:rPr>
          </w:pPr>
          <w:r w:rsidRPr="009605B2">
            <w:rPr>
              <w:rFonts w:ascii="Calibri" w:eastAsia="Times New Roman" w:hAnsi="Calibri"/>
              <w:color w:val="000000"/>
              <w:sz w:val="12"/>
              <w:szCs w:val="12"/>
            </w:rPr>
            <w:t>20000</w:t>
          </w:r>
        </w:p>
      </w:tc>
      <w:tc>
        <w:tcPr>
          <w:tcW w:w="672" w:type="dxa"/>
          <w:tcBorders>
            <w:top w:val="nil"/>
            <w:left w:val="nil"/>
            <w:bottom w:val="single" w:sz="8" w:space="0" w:color="auto"/>
            <w:right w:val="single" w:sz="8" w:space="0" w:color="auto"/>
          </w:tcBorders>
          <w:shd w:val="clear" w:color="auto" w:fill="auto"/>
          <w:vAlign w:val="center"/>
          <w:hideMark/>
        </w:tcPr>
        <w:p w14:paraId="2493103F" w14:textId="77777777" w:rsidR="005F3FCF" w:rsidRPr="009605B2" w:rsidRDefault="005F3FCF" w:rsidP="00816745">
          <w:pPr>
            <w:jc w:val="center"/>
            <w:rPr>
              <w:rFonts w:ascii="Calibri" w:eastAsia="Times New Roman" w:hAnsi="Calibri"/>
              <w:color w:val="000000"/>
              <w:sz w:val="12"/>
              <w:szCs w:val="12"/>
            </w:rPr>
          </w:pPr>
          <w:r>
            <w:rPr>
              <w:rFonts w:ascii="Calibri" w:eastAsia="Times New Roman" w:hAnsi="Calibri"/>
              <w:color w:val="000000"/>
              <w:sz w:val="12"/>
              <w:szCs w:val="12"/>
            </w:rPr>
            <w:t>N/A</w:t>
          </w:r>
        </w:p>
      </w:tc>
      <w:tc>
        <w:tcPr>
          <w:tcW w:w="698" w:type="dxa"/>
          <w:tcBorders>
            <w:top w:val="nil"/>
            <w:left w:val="nil"/>
            <w:bottom w:val="single" w:sz="8" w:space="0" w:color="auto"/>
            <w:right w:val="single" w:sz="8" w:space="0" w:color="auto"/>
          </w:tcBorders>
          <w:shd w:val="clear" w:color="auto" w:fill="auto"/>
          <w:vAlign w:val="center"/>
          <w:hideMark/>
        </w:tcPr>
        <w:p w14:paraId="38E30B97" w14:textId="77777777" w:rsidR="005F3FCF" w:rsidRPr="009605B2" w:rsidRDefault="005F3FCF" w:rsidP="00816745">
          <w:pPr>
            <w:jc w:val="center"/>
            <w:rPr>
              <w:rFonts w:ascii="Calibri" w:eastAsia="Times New Roman" w:hAnsi="Calibri"/>
              <w:color w:val="000000"/>
              <w:sz w:val="12"/>
              <w:szCs w:val="12"/>
            </w:rPr>
          </w:pPr>
          <w:r>
            <w:rPr>
              <w:rFonts w:ascii="Calibri" w:eastAsia="Times New Roman" w:hAnsi="Calibri"/>
              <w:color w:val="000000"/>
              <w:sz w:val="12"/>
              <w:szCs w:val="12"/>
            </w:rPr>
            <w:t>N/A</w:t>
          </w:r>
        </w:p>
      </w:tc>
    </w:tr>
    <w:tr w:rsidR="005F3FCF" w:rsidRPr="009605B2" w14:paraId="378129D9" w14:textId="77777777" w:rsidTr="005F3FCF">
      <w:tc>
        <w:tcPr>
          <w:tcW w:w="6608" w:type="dxa"/>
          <w:vAlign w:val="center"/>
          <w:hideMark/>
        </w:tcPr>
        <w:p w14:paraId="3A164D00" w14:textId="77777777" w:rsidR="005F3FCF" w:rsidRPr="009605B2" w:rsidRDefault="005F3FCF" w:rsidP="005F3FCF">
          <w:pPr>
            <w:pStyle w:val="Title"/>
            <w:spacing w:after="120"/>
            <w:ind w:right="360"/>
            <w:jc w:val="left"/>
            <w:rPr>
              <w:rFonts w:ascii="Calibri" w:eastAsia="Times New Roman" w:hAnsi="Calibri"/>
              <w:color w:val="000000"/>
              <w:sz w:val="12"/>
              <w:szCs w:val="12"/>
            </w:rPr>
          </w:pPr>
          <w:r w:rsidRPr="005F3FCF">
            <w:rPr>
              <w:rFonts w:ascii="Gotham Book" w:hAnsi="Gotham Book"/>
              <w:b/>
              <w:color w:val="404040"/>
              <w:sz w:val="22"/>
              <w:szCs w:val="22"/>
            </w:rPr>
            <w:t xml:space="preserve">Improve </w:t>
          </w:r>
          <w:r w:rsidRPr="009605B2">
            <w:rPr>
              <w:rFonts w:ascii="Calibri" w:eastAsia="Times New Roman" w:hAnsi="Calibri"/>
              <w:color w:val="000000"/>
              <w:sz w:val="12"/>
              <w:szCs w:val="12"/>
            </w:rPr>
            <w:t>Infrastructure in Distressed Neighborhoods</w:t>
          </w:r>
        </w:p>
      </w:tc>
      <w:tc>
        <w:tcPr>
          <w:tcW w:w="3328" w:type="dxa"/>
          <w:vAlign w:val="center"/>
          <w:hideMark/>
        </w:tcPr>
        <w:p w14:paraId="0494C85A"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NHCD</w:t>
          </w:r>
        </w:p>
      </w:tc>
      <w:tc>
        <w:tcPr>
          <w:tcW w:w="621" w:type="dxa"/>
          <w:tcBorders>
            <w:top w:val="nil"/>
            <w:left w:val="nil"/>
            <w:bottom w:val="single" w:sz="8" w:space="0" w:color="auto"/>
            <w:right w:val="single" w:sz="8" w:space="0" w:color="auto"/>
          </w:tcBorders>
          <w:shd w:val="clear" w:color="auto" w:fill="auto"/>
          <w:vAlign w:val="center"/>
          <w:hideMark/>
        </w:tcPr>
        <w:p w14:paraId="5AD6E5E2"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CDBG</w:t>
          </w:r>
        </w:p>
      </w:tc>
      <w:tc>
        <w:tcPr>
          <w:tcW w:w="2074" w:type="dxa"/>
          <w:tcBorders>
            <w:top w:val="nil"/>
            <w:left w:val="nil"/>
            <w:bottom w:val="single" w:sz="8" w:space="0" w:color="auto"/>
            <w:right w:val="single" w:sz="8" w:space="0" w:color="auto"/>
          </w:tcBorders>
          <w:shd w:val="clear" w:color="auto" w:fill="auto"/>
          <w:vAlign w:val="center"/>
          <w:hideMark/>
        </w:tcPr>
        <w:p w14:paraId="013DE9FE"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Homeless Person Overnight Shelter</w:t>
          </w:r>
        </w:p>
      </w:tc>
      <w:tc>
        <w:tcPr>
          <w:tcW w:w="788" w:type="dxa"/>
          <w:tcBorders>
            <w:top w:val="nil"/>
            <w:left w:val="nil"/>
            <w:bottom w:val="single" w:sz="8" w:space="0" w:color="auto"/>
            <w:right w:val="single" w:sz="8" w:space="0" w:color="auto"/>
          </w:tcBorders>
          <w:shd w:val="clear" w:color="auto" w:fill="auto"/>
          <w:vAlign w:val="center"/>
          <w:hideMark/>
        </w:tcPr>
        <w:p w14:paraId="3F46756A" w14:textId="77777777" w:rsidR="005F3FCF" w:rsidRPr="009605B2" w:rsidRDefault="005F3FCF" w:rsidP="00816745">
          <w:pPr>
            <w:jc w:val="center"/>
            <w:rPr>
              <w:rFonts w:ascii="Calibri" w:eastAsia="Times New Roman" w:hAnsi="Calibri"/>
              <w:color w:val="000000"/>
              <w:sz w:val="12"/>
              <w:szCs w:val="12"/>
            </w:rPr>
          </w:pPr>
          <w:r w:rsidRPr="009605B2">
            <w:rPr>
              <w:rFonts w:ascii="Calibri" w:eastAsia="Times New Roman" w:hAnsi="Calibri"/>
              <w:color w:val="000000"/>
              <w:sz w:val="12"/>
              <w:szCs w:val="12"/>
            </w:rPr>
            <w:t>Persons Assisted</w:t>
          </w:r>
        </w:p>
      </w:tc>
      <w:tc>
        <w:tcPr>
          <w:tcW w:w="763" w:type="dxa"/>
          <w:tcBorders>
            <w:top w:val="nil"/>
            <w:left w:val="nil"/>
            <w:bottom w:val="single" w:sz="8" w:space="0" w:color="auto"/>
            <w:right w:val="single" w:sz="8" w:space="0" w:color="auto"/>
          </w:tcBorders>
          <w:shd w:val="clear" w:color="auto" w:fill="auto"/>
          <w:vAlign w:val="center"/>
          <w:hideMark/>
        </w:tcPr>
        <w:p w14:paraId="0D132992" w14:textId="77777777" w:rsidR="005F3FCF" w:rsidRPr="00A60631" w:rsidRDefault="005F3FCF" w:rsidP="00816745">
          <w:pPr>
            <w:jc w:val="center"/>
            <w:rPr>
              <w:rFonts w:ascii="Calibri" w:eastAsia="Times New Roman" w:hAnsi="Calibri"/>
              <w:color w:val="000000"/>
              <w:sz w:val="12"/>
              <w:szCs w:val="12"/>
            </w:rPr>
          </w:pPr>
          <w:r w:rsidRPr="00A60631">
            <w:rPr>
              <w:rFonts w:ascii="Calibri" w:eastAsia="Times New Roman" w:hAnsi="Calibri"/>
              <w:color w:val="000000"/>
              <w:sz w:val="12"/>
              <w:szCs w:val="12"/>
            </w:rPr>
            <w:t>0</w:t>
          </w:r>
        </w:p>
      </w:tc>
      <w:tc>
        <w:tcPr>
          <w:tcW w:w="763" w:type="dxa"/>
          <w:tcBorders>
            <w:top w:val="nil"/>
            <w:left w:val="nil"/>
            <w:bottom w:val="single" w:sz="8" w:space="0" w:color="auto"/>
            <w:right w:val="single" w:sz="8" w:space="0" w:color="auto"/>
          </w:tcBorders>
          <w:shd w:val="clear" w:color="auto" w:fill="auto"/>
          <w:vAlign w:val="center"/>
          <w:hideMark/>
        </w:tcPr>
        <w:p w14:paraId="332E7E9C" w14:textId="77777777" w:rsidR="005F3FCF" w:rsidRPr="00A60631" w:rsidRDefault="005F3FCF" w:rsidP="00816745">
          <w:pPr>
            <w:jc w:val="center"/>
            <w:rPr>
              <w:rFonts w:ascii="Calibri" w:eastAsia="Times New Roman" w:hAnsi="Calibri"/>
              <w:color w:val="000000"/>
              <w:sz w:val="12"/>
              <w:szCs w:val="12"/>
            </w:rPr>
          </w:pPr>
          <w:r w:rsidRPr="00A60631">
            <w:rPr>
              <w:rFonts w:ascii="Calibri" w:eastAsia="Times New Roman" w:hAnsi="Calibri"/>
              <w:color w:val="000000"/>
              <w:sz w:val="12"/>
              <w:szCs w:val="12"/>
            </w:rPr>
            <w:t>N/A</w:t>
          </w:r>
        </w:p>
      </w:tc>
      <w:tc>
        <w:tcPr>
          <w:tcW w:w="698" w:type="dxa"/>
          <w:tcBorders>
            <w:top w:val="nil"/>
            <w:left w:val="nil"/>
            <w:bottom w:val="single" w:sz="8" w:space="0" w:color="auto"/>
            <w:right w:val="single" w:sz="8" w:space="0" w:color="auto"/>
          </w:tcBorders>
          <w:shd w:val="clear" w:color="auto" w:fill="auto"/>
          <w:vAlign w:val="center"/>
          <w:hideMark/>
        </w:tcPr>
        <w:p w14:paraId="19BC05D5" w14:textId="77777777" w:rsidR="005F3FCF" w:rsidRPr="00A60631" w:rsidRDefault="005F3FCF" w:rsidP="00816745">
          <w:pPr>
            <w:jc w:val="center"/>
            <w:rPr>
              <w:rFonts w:ascii="Calibri" w:eastAsia="Times New Roman" w:hAnsi="Calibri"/>
              <w:color w:val="000000"/>
              <w:sz w:val="12"/>
              <w:szCs w:val="12"/>
            </w:rPr>
          </w:pPr>
          <w:r w:rsidRPr="00A60631">
            <w:rPr>
              <w:rFonts w:ascii="Calibri" w:eastAsia="Times New Roman" w:hAnsi="Calibri"/>
              <w:color w:val="000000"/>
              <w:sz w:val="12"/>
              <w:szCs w:val="12"/>
            </w:rPr>
            <w:t>N/A</w:t>
          </w:r>
        </w:p>
      </w:tc>
      <w:tc>
        <w:tcPr>
          <w:tcW w:w="672" w:type="dxa"/>
          <w:tcBorders>
            <w:top w:val="nil"/>
            <w:left w:val="nil"/>
            <w:bottom w:val="single" w:sz="8" w:space="0" w:color="auto"/>
            <w:right w:val="single" w:sz="8" w:space="0" w:color="auto"/>
          </w:tcBorders>
          <w:shd w:val="clear" w:color="auto" w:fill="auto"/>
          <w:vAlign w:val="center"/>
          <w:hideMark/>
        </w:tcPr>
        <w:p w14:paraId="5D388A14" w14:textId="77777777" w:rsidR="005F3FCF" w:rsidRPr="009605B2" w:rsidRDefault="005F3FCF" w:rsidP="00816745">
          <w:pPr>
            <w:jc w:val="center"/>
            <w:rPr>
              <w:rFonts w:ascii="Calibri" w:eastAsia="Times New Roman" w:hAnsi="Calibri"/>
              <w:color w:val="000000"/>
              <w:sz w:val="12"/>
              <w:szCs w:val="12"/>
            </w:rPr>
          </w:pPr>
          <w:r w:rsidRPr="009605B2">
            <w:rPr>
              <w:rFonts w:ascii="Calibri" w:eastAsia="Times New Roman" w:hAnsi="Calibri"/>
              <w:color w:val="000000"/>
              <w:sz w:val="12"/>
              <w:szCs w:val="12"/>
            </w:rPr>
            <w:t>0</w:t>
          </w:r>
        </w:p>
      </w:tc>
      <w:tc>
        <w:tcPr>
          <w:tcW w:w="672" w:type="dxa"/>
          <w:tcBorders>
            <w:top w:val="nil"/>
            <w:left w:val="nil"/>
            <w:bottom w:val="single" w:sz="8" w:space="0" w:color="auto"/>
            <w:right w:val="single" w:sz="8" w:space="0" w:color="auto"/>
          </w:tcBorders>
          <w:shd w:val="clear" w:color="auto" w:fill="auto"/>
          <w:vAlign w:val="center"/>
          <w:hideMark/>
        </w:tcPr>
        <w:p w14:paraId="5D1608F7" w14:textId="77777777" w:rsidR="005F3FCF" w:rsidRPr="009605B2" w:rsidRDefault="005F3FCF" w:rsidP="00816745">
          <w:pPr>
            <w:jc w:val="center"/>
            <w:rPr>
              <w:rFonts w:ascii="Calibri" w:eastAsia="Times New Roman" w:hAnsi="Calibri"/>
              <w:color w:val="000000"/>
              <w:sz w:val="12"/>
              <w:szCs w:val="12"/>
            </w:rPr>
          </w:pPr>
          <w:r w:rsidRPr="009605B2">
            <w:rPr>
              <w:rFonts w:ascii="Calibri" w:eastAsia="Times New Roman" w:hAnsi="Calibri"/>
              <w:color w:val="000000"/>
              <w:sz w:val="12"/>
              <w:szCs w:val="12"/>
            </w:rPr>
            <w:t>N/A</w:t>
          </w:r>
        </w:p>
      </w:tc>
      <w:tc>
        <w:tcPr>
          <w:tcW w:w="698" w:type="dxa"/>
          <w:tcBorders>
            <w:top w:val="nil"/>
            <w:left w:val="nil"/>
            <w:bottom w:val="single" w:sz="8" w:space="0" w:color="auto"/>
            <w:right w:val="single" w:sz="8" w:space="0" w:color="auto"/>
          </w:tcBorders>
          <w:shd w:val="clear" w:color="auto" w:fill="auto"/>
          <w:vAlign w:val="center"/>
          <w:hideMark/>
        </w:tcPr>
        <w:p w14:paraId="3162D48E" w14:textId="77777777" w:rsidR="005F3FCF" w:rsidRPr="009605B2" w:rsidRDefault="005F3FCF" w:rsidP="00816745">
          <w:pPr>
            <w:jc w:val="center"/>
            <w:rPr>
              <w:rFonts w:ascii="Calibri" w:eastAsia="Times New Roman" w:hAnsi="Calibri"/>
              <w:color w:val="000000"/>
              <w:sz w:val="12"/>
              <w:szCs w:val="12"/>
            </w:rPr>
          </w:pPr>
          <w:r w:rsidRPr="009605B2">
            <w:rPr>
              <w:rFonts w:ascii="Calibri" w:eastAsia="Times New Roman" w:hAnsi="Calibri"/>
              <w:color w:val="000000"/>
              <w:sz w:val="12"/>
              <w:szCs w:val="12"/>
            </w:rPr>
            <w:t>N/A</w:t>
          </w:r>
        </w:p>
      </w:tc>
    </w:tr>
    <w:tr w:rsidR="005F3FCF" w:rsidRPr="009605B2" w14:paraId="5ADC709F" w14:textId="77777777" w:rsidTr="005F3FCF">
      <w:tc>
        <w:tcPr>
          <w:tcW w:w="6608" w:type="dxa"/>
          <w:vAlign w:val="center"/>
          <w:hideMark/>
        </w:tcPr>
        <w:p w14:paraId="712F30A3" w14:textId="77777777" w:rsidR="005F3FCF" w:rsidRPr="009605B2" w:rsidRDefault="005F3FCF" w:rsidP="005F3FCF">
          <w:pPr>
            <w:pStyle w:val="Title"/>
            <w:spacing w:after="120"/>
            <w:ind w:right="360"/>
            <w:jc w:val="left"/>
            <w:rPr>
              <w:rFonts w:ascii="Calibri" w:eastAsia="Times New Roman" w:hAnsi="Calibri"/>
              <w:color w:val="000000"/>
              <w:sz w:val="12"/>
              <w:szCs w:val="12"/>
            </w:rPr>
          </w:pPr>
          <w:r w:rsidRPr="005F3FCF">
            <w:rPr>
              <w:rFonts w:ascii="Gotham Book" w:hAnsi="Gotham Book"/>
              <w:b/>
              <w:color w:val="404040"/>
              <w:sz w:val="22"/>
              <w:szCs w:val="22"/>
            </w:rPr>
            <w:t xml:space="preserve">Improve </w:t>
          </w:r>
          <w:r w:rsidRPr="009605B2">
            <w:rPr>
              <w:rFonts w:ascii="Calibri" w:eastAsia="Times New Roman" w:hAnsi="Calibri"/>
              <w:color w:val="000000"/>
              <w:sz w:val="12"/>
              <w:szCs w:val="12"/>
            </w:rPr>
            <w:t>Infrastructure in Distressed Neighborhoods</w:t>
          </w:r>
        </w:p>
      </w:tc>
      <w:tc>
        <w:tcPr>
          <w:tcW w:w="3328" w:type="dxa"/>
          <w:vAlign w:val="center"/>
          <w:hideMark/>
        </w:tcPr>
        <w:p w14:paraId="3A69D001"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NHCD</w:t>
          </w:r>
        </w:p>
      </w:tc>
      <w:tc>
        <w:tcPr>
          <w:tcW w:w="621" w:type="dxa"/>
          <w:tcBorders>
            <w:top w:val="nil"/>
            <w:left w:val="nil"/>
            <w:bottom w:val="single" w:sz="8" w:space="0" w:color="auto"/>
            <w:right w:val="single" w:sz="8" w:space="0" w:color="auto"/>
          </w:tcBorders>
          <w:shd w:val="clear" w:color="auto" w:fill="auto"/>
          <w:vAlign w:val="center"/>
          <w:hideMark/>
        </w:tcPr>
        <w:p w14:paraId="085D9AB2"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CDBG</w:t>
          </w:r>
        </w:p>
      </w:tc>
      <w:tc>
        <w:tcPr>
          <w:tcW w:w="2074" w:type="dxa"/>
          <w:tcBorders>
            <w:top w:val="nil"/>
            <w:left w:val="nil"/>
            <w:bottom w:val="single" w:sz="8" w:space="0" w:color="auto"/>
            <w:right w:val="single" w:sz="8" w:space="0" w:color="auto"/>
          </w:tcBorders>
          <w:shd w:val="clear" w:color="auto" w:fill="auto"/>
          <w:vAlign w:val="center"/>
          <w:hideMark/>
        </w:tcPr>
        <w:p w14:paraId="0A045A76"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Overnight/Emergency Shelter/Transitional Housing Beds added</w:t>
          </w:r>
        </w:p>
      </w:tc>
      <w:tc>
        <w:tcPr>
          <w:tcW w:w="788" w:type="dxa"/>
          <w:tcBorders>
            <w:top w:val="nil"/>
            <w:left w:val="nil"/>
            <w:bottom w:val="single" w:sz="8" w:space="0" w:color="auto"/>
            <w:right w:val="single" w:sz="8" w:space="0" w:color="auto"/>
          </w:tcBorders>
          <w:shd w:val="clear" w:color="auto" w:fill="auto"/>
          <w:vAlign w:val="center"/>
          <w:hideMark/>
        </w:tcPr>
        <w:p w14:paraId="640F1265" w14:textId="77777777" w:rsidR="005F3FCF" w:rsidRPr="009605B2" w:rsidRDefault="005F3FCF" w:rsidP="00816745">
          <w:pPr>
            <w:jc w:val="center"/>
            <w:rPr>
              <w:rFonts w:ascii="Calibri" w:eastAsia="Times New Roman" w:hAnsi="Calibri"/>
              <w:color w:val="000000"/>
              <w:sz w:val="12"/>
              <w:szCs w:val="12"/>
            </w:rPr>
          </w:pPr>
          <w:r w:rsidRPr="009605B2">
            <w:rPr>
              <w:rFonts w:ascii="Calibri" w:eastAsia="Times New Roman" w:hAnsi="Calibri"/>
              <w:color w:val="000000"/>
              <w:sz w:val="12"/>
              <w:szCs w:val="12"/>
            </w:rPr>
            <w:t>Beds</w:t>
          </w:r>
        </w:p>
      </w:tc>
      <w:tc>
        <w:tcPr>
          <w:tcW w:w="763" w:type="dxa"/>
          <w:tcBorders>
            <w:top w:val="nil"/>
            <w:left w:val="nil"/>
            <w:bottom w:val="single" w:sz="8" w:space="0" w:color="auto"/>
            <w:right w:val="single" w:sz="8" w:space="0" w:color="auto"/>
          </w:tcBorders>
          <w:shd w:val="clear" w:color="auto" w:fill="auto"/>
          <w:vAlign w:val="center"/>
          <w:hideMark/>
        </w:tcPr>
        <w:p w14:paraId="31418901" w14:textId="77777777" w:rsidR="005F3FCF" w:rsidRPr="00A60631" w:rsidRDefault="005F3FCF" w:rsidP="00816745">
          <w:pPr>
            <w:jc w:val="center"/>
            <w:rPr>
              <w:rFonts w:ascii="Calibri" w:eastAsia="Times New Roman" w:hAnsi="Calibri"/>
              <w:color w:val="000000"/>
              <w:sz w:val="12"/>
              <w:szCs w:val="12"/>
            </w:rPr>
          </w:pPr>
          <w:r w:rsidRPr="00A60631">
            <w:rPr>
              <w:rFonts w:ascii="Calibri" w:eastAsia="Times New Roman" w:hAnsi="Calibri"/>
              <w:color w:val="000000"/>
              <w:sz w:val="12"/>
              <w:szCs w:val="12"/>
            </w:rPr>
            <w:t>0</w:t>
          </w:r>
        </w:p>
      </w:tc>
      <w:tc>
        <w:tcPr>
          <w:tcW w:w="763" w:type="dxa"/>
          <w:tcBorders>
            <w:top w:val="nil"/>
            <w:left w:val="nil"/>
            <w:bottom w:val="single" w:sz="8" w:space="0" w:color="auto"/>
            <w:right w:val="single" w:sz="8" w:space="0" w:color="auto"/>
          </w:tcBorders>
          <w:shd w:val="clear" w:color="auto" w:fill="auto"/>
          <w:vAlign w:val="center"/>
          <w:hideMark/>
        </w:tcPr>
        <w:p w14:paraId="3A31BCD0" w14:textId="77777777" w:rsidR="005F3FCF" w:rsidRPr="00A60631" w:rsidRDefault="005F3FCF" w:rsidP="00816745">
          <w:pPr>
            <w:jc w:val="center"/>
            <w:rPr>
              <w:rFonts w:ascii="Calibri" w:eastAsia="Times New Roman" w:hAnsi="Calibri"/>
              <w:color w:val="000000"/>
              <w:sz w:val="12"/>
              <w:szCs w:val="12"/>
            </w:rPr>
          </w:pPr>
          <w:r w:rsidRPr="00A60631">
            <w:rPr>
              <w:rFonts w:ascii="Calibri" w:eastAsia="Times New Roman" w:hAnsi="Calibri"/>
              <w:color w:val="000000"/>
              <w:sz w:val="12"/>
              <w:szCs w:val="12"/>
            </w:rPr>
            <w:t>N/A</w:t>
          </w:r>
        </w:p>
      </w:tc>
      <w:tc>
        <w:tcPr>
          <w:tcW w:w="698" w:type="dxa"/>
          <w:tcBorders>
            <w:top w:val="nil"/>
            <w:left w:val="nil"/>
            <w:bottom w:val="single" w:sz="8" w:space="0" w:color="auto"/>
            <w:right w:val="single" w:sz="8" w:space="0" w:color="auto"/>
          </w:tcBorders>
          <w:shd w:val="clear" w:color="auto" w:fill="auto"/>
          <w:vAlign w:val="center"/>
          <w:hideMark/>
        </w:tcPr>
        <w:p w14:paraId="21253C0D" w14:textId="77777777" w:rsidR="005F3FCF" w:rsidRPr="00A60631" w:rsidRDefault="005F3FCF" w:rsidP="00816745">
          <w:pPr>
            <w:jc w:val="center"/>
            <w:rPr>
              <w:rFonts w:ascii="Calibri" w:eastAsia="Times New Roman" w:hAnsi="Calibri"/>
              <w:color w:val="000000"/>
              <w:sz w:val="12"/>
              <w:szCs w:val="12"/>
            </w:rPr>
          </w:pPr>
          <w:r w:rsidRPr="00A60631">
            <w:rPr>
              <w:rFonts w:ascii="Calibri" w:eastAsia="Times New Roman" w:hAnsi="Calibri"/>
              <w:color w:val="000000"/>
              <w:sz w:val="12"/>
              <w:szCs w:val="12"/>
            </w:rPr>
            <w:t>N/A</w:t>
          </w:r>
        </w:p>
      </w:tc>
      <w:tc>
        <w:tcPr>
          <w:tcW w:w="672" w:type="dxa"/>
          <w:tcBorders>
            <w:top w:val="nil"/>
            <w:left w:val="nil"/>
            <w:bottom w:val="single" w:sz="8" w:space="0" w:color="auto"/>
            <w:right w:val="single" w:sz="8" w:space="0" w:color="auto"/>
          </w:tcBorders>
          <w:shd w:val="clear" w:color="auto" w:fill="auto"/>
          <w:vAlign w:val="center"/>
          <w:hideMark/>
        </w:tcPr>
        <w:p w14:paraId="2C7D72F3" w14:textId="77777777" w:rsidR="005F3FCF" w:rsidRPr="009605B2" w:rsidRDefault="005F3FCF" w:rsidP="00816745">
          <w:pPr>
            <w:jc w:val="center"/>
            <w:rPr>
              <w:rFonts w:ascii="Calibri" w:eastAsia="Times New Roman" w:hAnsi="Calibri"/>
              <w:color w:val="000000"/>
              <w:sz w:val="12"/>
              <w:szCs w:val="12"/>
            </w:rPr>
          </w:pPr>
          <w:r w:rsidRPr="009605B2">
            <w:rPr>
              <w:rFonts w:ascii="Calibri" w:eastAsia="Times New Roman" w:hAnsi="Calibri"/>
              <w:color w:val="000000"/>
              <w:sz w:val="12"/>
              <w:szCs w:val="12"/>
            </w:rPr>
            <w:t>0</w:t>
          </w:r>
        </w:p>
      </w:tc>
      <w:tc>
        <w:tcPr>
          <w:tcW w:w="672" w:type="dxa"/>
          <w:tcBorders>
            <w:top w:val="nil"/>
            <w:left w:val="nil"/>
            <w:bottom w:val="single" w:sz="8" w:space="0" w:color="auto"/>
            <w:right w:val="single" w:sz="8" w:space="0" w:color="auto"/>
          </w:tcBorders>
          <w:shd w:val="clear" w:color="auto" w:fill="auto"/>
          <w:vAlign w:val="center"/>
          <w:hideMark/>
        </w:tcPr>
        <w:p w14:paraId="63AF9EE7" w14:textId="77777777" w:rsidR="005F3FCF" w:rsidRPr="009605B2" w:rsidRDefault="005F3FCF" w:rsidP="00816745">
          <w:pPr>
            <w:jc w:val="center"/>
            <w:rPr>
              <w:rFonts w:ascii="Calibri" w:eastAsia="Times New Roman" w:hAnsi="Calibri"/>
              <w:color w:val="000000"/>
              <w:sz w:val="12"/>
              <w:szCs w:val="12"/>
            </w:rPr>
          </w:pPr>
          <w:r w:rsidRPr="009605B2">
            <w:rPr>
              <w:rFonts w:ascii="Calibri" w:eastAsia="Times New Roman" w:hAnsi="Calibri"/>
              <w:color w:val="000000"/>
              <w:sz w:val="12"/>
              <w:szCs w:val="12"/>
            </w:rPr>
            <w:t>N/A</w:t>
          </w:r>
        </w:p>
      </w:tc>
      <w:tc>
        <w:tcPr>
          <w:tcW w:w="698" w:type="dxa"/>
          <w:tcBorders>
            <w:top w:val="nil"/>
            <w:left w:val="nil"/>
            <w:bottom w:val="single" w:sz="8" w:space="0" w:color="auto"/>
            <w:right w:val="single" w:sz="8" w:space="0" w:color="auto"/>
          </w:tcBorders>
          <w:shd w:val="clear" w:color="auto" w:fill="auto"/>
          <w:vAlign w:val="center"/>
          <w:hideMark/>
        </w:tcPr>
        <w:p w14:paraId="637000D2" w14:textId="77777777" w:rsidR="005F3FCF" w:rsidRPr="009605B2" w:rsidRDefault="005F3FCF" w:rsidP="00816745">
          <w:pPr>
            <w:jc w:val="center"/>
            <w:rPr>
              <w:rFonts w:ascii="Calibri" w:eastAsia="Times New Roman" w:hAnsi="Calibri"/>
              <w:color w:val="000000"/>
              <w:sz w:val="12"/>
              <w:szCs w:val="12"/>
            </w:rPr>
          </w:pPr>
          <w:r w:rsidRPr="009605B2">
            <w:rPr>
              <w:rFonts w:ascii="Calibri" w:eastAsia="Times New Roman" w:hAnsi="Calibri"/>
              <w:color w:val="000000"/>
              <w:sz w:val="12"/>
              <w:szCs w:val="12"/>
            </w:rPr>
            <w:t>N/A</w:t>
          </w:r>
        </w:p>
      </w:tc>
    </w:tr>
    <w:tr w:rsidR="005F3FCF" w:rsidRPr="0020194F" w14:paraId="30708B36" w14:textId="77777777" w:rsidTr="005F3FCF">
      <w:tc>
        <w:tcPr>
          <w:tcW w:w="6608" w:type="dxa"/>
          <w:vAlign w:val="center"/>
          <w:hideMark/>
        </w:tcPr>
        <w:p w14:paraId="55D97906" w14:textId="77777777" w:rsidR="005F3FCF" w:rsidRPr="009605B2" w:rsidRDefault="005F3FCF" w:rsidP="005F3FCF">
          <w:pPr>
            <w:pStyle w:val="Title"/>
            <w:spacing w:after="120"/>
            <w:ind w:right="360"/>
            <w:jc w:val="left"/>
            <w:rPr>
              <w:rFonts w:ascii="Calibri" w:eastAsia="Times New Roman" w:hAnsi="Calibri"/>
              <w:color w:val="000000"/>
              <w:sz w:val="12"/>
              <w:szCs w:val="12"/>
            </w:rPr>
          </w:pPr>
          <w:r w:rsidRPr="005F3FCF">
            <w:rPr>
              <w:rFonts w:ascii="Gotham Book" w:hAnsi="Gotham Book"/>
              <w:b/>
              <w:color w:val="404040"/>
              <w:sz w:val="22"/>
              <w:szCs w:val="22"/>
            </w:rPr>
            <w:t xml:space="preserve">Improve </w:t>
          </w:r>
          <w:r w:rsidRPr="009605B2">
            <w:rPr>
              <w:rFonts w:ascii="Calibri" w:eastAsia="Times New Roman" w:hAnsi="Calibri"/>
              <w:color w:val="000000"/>
              <w:sz w:val="12"/>
              <w:szCs w:val="12"/>
            </w:rPr>
            <w:t>the Quality of Public Facilities</w:t>
          </w:r>
        </w:p>
      </w:tc>
      <w:tc>
        <w:tcPr>
          <w:tcW w:w="3328" w:type="dxa"/>
          <w:vAlign w:val="center"/>
          <w:hideMark/>
        </w:tcPr>
        <w:p w14:paraId="1304BF49"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NHSN</w:t>
          </w:r>
        </w:p>
      </w:tc>
      <w:tc>
        <w:tcPr>
          <w:tcW w:w="622" w:type="dxa"/>
          <w:tcBorders>
            <w:top w:val="nil"/>
            <w:left w:val="nil"/>
            <w:bottom w:val="single" w:sz="8" w:space="0" w:color="auto"/>
            <w:right w:val="single" w:sz="8" w:space="0" w:color="auto"/>
          </w:tcBorders>
          <w:shd w:val="clear" w:color="auto" w:fill="auto"/>
          <w:vAlign w:val="center"/>
          <w:hideMark/>
        </w:tcPr>
        <w:p w14:paraId="382B20C5"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CDBG</w:t>
          </w:r>
        </w:p>
      </w:tc>
      <w:tc>
        <w:tcPr>
          <w:tcW w:w="2117" w:type="dxa"/>
          <w:tcBorders>
            <w:top w:val="nil"/>
            <w:left w:val="nil"/>
            <w:bottom w:val="single" w:sz="8" w:space="0" w:color="auto"/>
            <w:right w:val="single" w:sz="8" w:space="0" w:color="auto"/>
          </w:tcBorders>
          <w:shd w:val="clear" w:color="auto" w:fill="auto"/>
          <w:vAlign w:val="center"/>
          <w:hideMark/>
        </w:tcPr>
        <w:p w14:paraId="699509D1"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Public Facility or Infrastructure Activities other than Low/Moderate Income Housing Benefit</w:t>
          </w:r>
        </w:p>
      </w:tc>
      <w:tc>
        <w:tcPr>
          <w:tcW w:w="788" w:type="dxa"/>
          <w:tcBorders>
            <w:top w:val="nil"/>
            <w:left w:val="nil"/>
            <w:bottom w:val="single" w:sz="8" w:space="0" w:color="auto"/>
            <w:right w:val="single" w:sz="8" w:space="0" w:color="auto"/>
          </w:tcBorders>
          <w:shd w:val="clear" w:color="auto" w:fill="auto"/>
          <w:vAlign w:val="center"/>
          <w:hideMark/>
        </w:tcPr>
        <w:p w14:paraId="15A6987B"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Persons Assisted</w:t>
          </w:r>
        </w:p>
      </w:tc>
      <w:tc>
        <w:tcPr>
          <w:tcW w:w="763" w:type="dxa"/>
          <w:tcBorders>
            <w:top w:val="nil"/>
            <w:left w:val="nil"/>
            <w:bottom w:val="single" w:sz="8" w:space="0" w:color="auto"/>
            <w:right w:val="single" w:sz="8" w:space="0" w:color="auto"/>
          </w:tcBorders>
          <w:shd w:val="clear" w:color="auto" w:fill="auto"/>
          <w:vAlign w:val="center"/>
          <w:hideMark/>
        </w:tcPr>
        <w:p w14:paraId="33345C55"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1093</w:t>
          </w:r>
        </w:p>
      </w:tc>
      <w:tc>
        <w:tcPr>
          <w:tcW w:w="672" w:type="dxa"/>
          <w:tcBorders>
            <w:top w:val="nil"/>
            <w:left w:val="nil"/>
            <w:bottom w:val="single" w:sz="8" w:space="0" w:color="auto"/>
            <w:right w:val="single" w:sz="8" w:space="0" w:color="auto"/>
          </w:tcBorders>
          <w:shd w:val="clear" w:color="auto" w:fill="auto"/>
          <w:vAlign w:val="center"/>
          <w:hideMark/>
        </w:tcPr>
        <w:p w14:paraId="7AC704D0"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2665</w:t>
          </w:r>
        </w:p>
      </w:tc>
      <w:tc>
        <w:tcPr>
          <w:tcW w:w="698" w:type="dxa"/>
          <w:tcBorders>
            <w:top w:val="nil"/>
            <w:left w:val="nil"/>
            <w:bottom w:val="single" w:sz="8" w:space="0" w:color="auto"/>
            <w:right w:val="single" w:sz="8" w:space="0" w:color="auto"/>
          </w:tcBorders>
          <w:shd w:val="clear" w:color="auto" w:fill="auto"/>
          <w:vAlign w:val="center"/>
          <w:hideMark/>
        </w:tcPr>
        <w:p w14:paraId="40109AE5"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244%</w:t>
          </w:r>
        </w:p>
      </w:tc>
      <w:tc>
        <w:tcPr>
          <w:tcW w:w="672" w:type="dxa"/>
          <w:tcBorders>
            <w:top w:val="nil"/>
            <w:left w:val="nil"/>
            <w:bottom w:val="single" w:sz="8" w:space="0" w:color="auto"/>
            <w:right w:val="single" w:sz="8" w:space="0" w:color="auto"/>
          </w:tcBorders>
          <w:shd w:val="clear" w:color="auto" w:fill="auto"/>
          <w:vAlign w:val="center"/>
          <w:hideMark/>
        </w:tcPr>
        <w:p w14:paraId="58131C6E"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72" w:type="dxa"/>
          <w:tcBorders>
            <w:top w:val="nil"/>
            <w:left w:val="nil"/>
            <w:bottom w:val="single" w:sz="8" w:space="0" w:color="auto"/>
            <w:right w:val="single" w:sz="8" w:space="0" w:color="auto"/>
          </w:tcBorders>
          <w:shd w:val="clear" w:color="auto" w:fill="auto"/>
          <w:vAlign w:val="center"/>
          <w:hideMark/>
        </w:tcPr>
        <w:p w14:paraId="70368E9C"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98" w:type="dxa"/>
          <w:tcBorders>
            <w:top w:val="nil"/>
            <w:left w:val="nil"/>
            <w:bottom w:val="single" w:sz="8" w:space="0" w:color="auto"/>
            <w:right w:val="single" w:sz="8" w:space="0" w:color="auto"/>
          </w:tcBorders>
          <w:shd w:val="clear" w:color="auto" w:fill="auto"/>
          <w:vAlign w:val="center"/>
          <w:hideMark/>
        </w:tcPr>
        <w:p w14:paraId="7809F107"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267%</w:t>
          </w:r>
        </w:p>
      </w:tc>
    </w:tr>
    <w:tr w:rsidR="005F3FCF" w:rsidRPr="0020194F" w14:paraId="4557A472" w14:textId="77777777" w:rsidTr="005F3FCF">
      <w:tc>
        <w:tcPr>
          <w:tcW w:w="6608" w:type="dxa"/>
          <w:vAlign w:val="center"/>
          <w:hideMark/>
        </w:tcPr>
        <w:p w14:paraId="68995F38" w14:textId="77777777" w:rsidR="005F3FCF" w:rsidRPr="009605B2" w:rsidRDefault="005F3FCF" w:rsidP="005F3FCF">
          <w:pPr>
            <w:pStyle w:val="Title"/>
            <w:spacing w:after="120"/>
            <w:ind w:right="360"/>
            <w:jc w:val="left"/>
            <w:rPr>
              <w:rFonts w:ascii="Calibri" w:eastAsia="Times New Roman" w:hAnsi="Calibri"/>
              <w:color w:val="000000"/>
              <w:sz w:val="12"/>
              <w:szCs w:val="12"/>
            </w:rPr>
          </w:pPr>
          <w:r w:rsidRPr="005F3FCF">
            <w:rPr>
              <w:rFonts w:ascii="Gotham Book" w:hAnsi="Gotham Book"/>
              <w:b/>
              <w:color w:val="404040"/>
              <w:sz w:val="22"/>
              <w:szCs w:val="22"/>
            </w:rPr>
            <w:t xml:space="preserve">Improve </w:t>
          </w:r>
          <w:r w:rsidRPr="009605B2">
            <w:rPr>
              <w:rFonts w:ascii="Calibri" w:eastAsia="Times New Roman" w:hAnsi="Calibri"/>
              <w:color w:val="000000"/>
              <w:sz w:val="12"/>
              <w:szCs w:val="12"/>
            </w:rPr>
            <w:t>the Quality of Public Facilities</w:t>
          </w:r>
        </w:p>
      </w:tc>
      <w:tc>
        <w:tcPr>
          <w:tcW w:w="3328" w:type="dxa"/>
          <w:vAlign w:val="center"/>
          <w:hideMark/>
        </w:tcPr>
        <w:p w14:paraId="5EE6E7EB"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NHSN</w:t>
          </w:r>
        </w:p>
      </w:tc>
      <w:tc>
        <w:tcPr>
          <w:tcW w:w="622" w:type="dxa"/>
          <w:tcBorders>
            <w:top w:val="nil"/>
            <w:left w:val="nil"/>
            <w:bottom w:val="single" w:sz="8" w:space="0" w:color="auto"/>
            <w:right w:val="single" w:sz="8" w:space="0" w:color="auto"/>
          </w:tcBorders>
          <w:shd w:val="clear" w:color="auto" w:fill="auto"/>
          <w:vAlign w:val="center"/>
          <w:hideMark/>
        </w:tcPr>
        <w:p w14:paraId="5B5C16E2"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CDBG</w:t>
          </w:r>
        </w:p>
      </w:tc>
      <w:tc>
        <w:tcPr>
          <w:tcW w:w="2117" w:type="dxa"/>
          <w:tcBorders>
            <w:top w:val="nil"/>
            <w:left w:val="nil"/>
            <w:bottom w:val="single" w:sz="8" w:space="0" w:color="auto"/>
            <w:right w:val="single" w:sz="8" w:space="0" w:color="auto"/>
          </w:tcBorders>
          <w:shd w:val="clear" w:color="auto" w:fill="auto"/>
          <w:vAlign w:val="center"/>
          <w:hideMark/>
        </w:tcPr>
        <w:p w14:paraId="76E6C73F"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Public Facility or Infrastructure Activities for Low/Moderate Income Housing Benefit</w:t>
          </w:r>
        </w:p>
      </w:tc>
      <w:tc>
        <w:tcPr>
          <w:tcW w:w="788" w:type="dxa"/>
          <w:tcBorders>
            <w:top w:val="nil"/>
            <w:left w:val="nil"/>
            <w:bottom w:val="single" w:sz="8" w:space="0" w:color="auto"/>
            <w:right w:val="single" w:sz="8" w:space="0" w:color="auto"/>
          </w:tcBorders>
          <w:shd w:val="clear" w:color="auto" w:fill="auto"/>
          <w:vAlign w:val="center"/>
          <w:hideMark/>
        </w:tcPr>
        <w:p w14:paraId="0E76B25A"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Households Assisted</w:t>
          </w:r>
        </w:p>
      </w:tc>
      <w:tc>
        <w:tcPr>
          <w:tcW w:w="763" w:type="dxa"/>
          <w:tcBorders>
            <w:top w:val="nil"/>
            <w:left w:val="nil"/>
            <w:bottom w:val="single" w:sz="8" w:space="0" w:color="auto"/>
            <w:right w:val="single" w:sz="8" w:space="0" w:color="auto"/>
          </w:tcBorders>
          <w:shd w:val="clear" w:color="auto" w:fill="auto"/>
          <w:vAlign w:val="center"/>
          <w:hideMark/>
        </w:tcPr>
        <w:p w14:paraId="7AA4E0E9"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0</w:t>
          </w:r>
        </w:p>
      </w:tc>
      <w:tc>
        <w:tcPr>
          <w:tcW w:w="672" w:type="dxa"/>
          <w:tcBorders>
            <w:top w:val="nil"/>
            <w:left w:val="nil"/>
            <w:bottom w:val="single" w:sz="8" w:space="0" w:color="auto"/>
            <w:right w:val="single" w:sz="8" w:space="0" w:color="auto"/>
          </w:tcBorders>
          <w:shd w:val="clear" w:color="auto" w:fill="auto"/>
          <w:vAlign w:val="center"/>
          <w:hideMark/>
        </w:tcPr>
        <w:p w14:paraId="22555005"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98" w:type="dxa"/>
          <w:tcBorders>
            <w:top w:val="nil"/>
            <w:left w:val="nil"/>
            <w:bottom w:val="single" w:sz="8" w:space="0" w:color="auto"/>
            <w:right w:val="single" w:sz="8" w:space="0" w:color="auto"/>
          </w:tcBorders>
          <w:shd w:val="clear" w:color="auto" w:fill="auto"/>
          <w:vAlign w:val="center"/>
          <w:hideMark/>
        </w:tcPr>
        <w:p w14:paraId="3DEB8F95"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72" w:type="dxa"/>
          <w:tcBorders>
            <w:top w:val="nil"/>
            <w:left w:val="nil"/>
            <w:bottom w:val="single" w:sz="8" w:space="0" w:color="auto"/>
            <w:right w:val="single" w:sz="8" w:space="0" w:color="auto"/>
          </w:tcBorders>
          <w:shd w:val="clear" w:color="auto" w:fill="auto"/>
          <w:vAlign w:val="center"/>
          <w:hideMark/>
        </w:tcPr>
        <w:p w14:paraId="10F010B6"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72" w:type="dxa"/>
          <w:tcBorders>
            <w:top w:val="nil"/>
            <w:left w:val="nil"/>
            <w:bottom w:val="single" w:sz="8" w:space="0" w:color="auto"/>
            <w:right w:val="single" w:sz="8" w:space="0" w:color="auto"/>
          </w:tcBorders>
          <w:shd w:val="clear" w:color="auto" w:fill="auto"/>
          <w:vAlign w:val="center"/>
          <w:hideMark/>
        </w:tcPr>
        <w:p w14:paraId="64BDD7D4"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98" w:type="dxa"/>
          <w:tcBorders>
            <w:top w:val="nil"/>
            <w:left w:val="nil"/>
            <w:bottom w:val="single" w:sz="8" w:space="0" w:color="auto"/>
            <w:right w:val="single" w:sz="8" w:space="0" w:color="auto"/>
          </w:tcBorders>
          <w:shd w:val="clear" w:color="auto" w:fill="auto"/>
          <w:vAlign w:val="center"/>
          <w:hideMark/>
        </w:tcPr>
        <w:p w14:paraId="620DC551"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r>
    <w:tr w:rsidR="005F3FCF" w:rsidRPr="0020194F" w14:paraId="5080A002" w14:textId="77777777" w:rsidTr="005F3FCF">
      <w:tc>
        <w:tcPr>
          <w:tcW w:w="6608" w:type="dxa"/>
          <w:vAlign w:val="center"/>
          <w:hideMark/>
        </w:tcPr>
        <w:p w14:paraId="4E4C7218" w14:textId="77777777" w:rsidR="005F3FCF" w:rsidRPr="009605B2" w:rsidRDefault="005F3FCF" w:rsidP="005F3FCF">
          <w:pPr>
            <w:pStyle w:val="Title"/>
            <w:spacing w:after="120"/>
            <w:ind w:right="360"/>
            <w:jc w:val="left"/>
            <w:rPr>
              <w:rFonts w:ascii="Calibri" w:eastAsia="Times New Roman" w:hAnsi="Calibri"/>
              <w:color w:val="000000"/>
              <w:sz w:val="12"/>
              <w:szCs w:val="12"/>
            </w:rPr>
          </w:pPr>
          <w:r w:rsidRPr="005F3FCF">
            <w:rPr>
              <w:rFonts w:ascii="Gotham Book" w:hAnsi="Gotham Book"/>
              <w:b/>
              <w:color w:val="404040"/>
              <w:sz w:val="22"/>
              <w:szCs w:val="22"/>
            </w:rPr>
            <w:t xml:space="preserve">Improve </w:t>
          </w:r>
          <w:r w:rsidRPr="009605B2">
            <w:rPr>
              <w:rFonts w:ascii="Calibri" w:eastAsia="Times New Roman" w:hAnsi="Calibri"/>
              <w:color w:val="000000"/>
              <w:sz w:val="12"/>
              <w:szCs w:val="12"/>
            </w:rPr>
            <w:t>the Quality of Public Facilities</w:t>
          </w:r>
        </w:p>
      </w:tc>
      <w:tc>
        <w:tcPr>
          <w:tcW w:w="3328" w:type="dxa"/>
          <w:vAlign w:val="center"/>
          <w:hideMark/>
        </w:tcPr>
        <w:p w14:paraId="65C1E3E6"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NHSN</w:t>
          </w:r>
        </w:p>
      </w:tc>
      <w:tc>
        <w:tcPr>
          <w:tcW w:w="621" w:type="dxa"/>
          <w:tcBorders>
            <w:top w:val="nil"/>
            <w:left w:val="nil"/>
            <w:bottom w:val="single" w:sz="8" w:space="0" w:color="auto"/>
            <w:right w:val="single" w:sz="8" w:space="0" w:color="auto"/>
          </w:tcBorders>
          <w:shd w:val="clear" w:color="auto" w:fill="auto"/>
          <w:vAlign w:val="center"/>
          <w:hideMark/>
        </w:tcPr>
        <w:p w14:paraId="5A50DEF2"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CDBG</w:t>
          </w:r>
        </w:p>
      </w:tc>
      <w:tc>
        <w:tcPr>
          <w:tcW w:w="2074" w:type="dxa"/>
          <w:tcBorders>
            <w:top w:val="nil"/>
            <w:left w:val="nil"/>
            <w:bottom w:val="single" w:sz="8" w:space="0" w:color="auto"/>
            <w:right w:val="single" w:sz="8" w:space="0" w:color="auto"/>
          </w:tcBorders>
          <w:shd w:val="clear" w:color="auto" w:fill="auto"/>
          <w:vAlign w:val="center"/>
          <w:hideMark/>
        </w:tcPr>
        <w:p w14:paraId="6B85D56F"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Homeless Person Overnight Shelter</w:t>
          </w:r>
        </w:p>
      </w:tc>
      <w:tc>
        <w:tcPr>
          <w:tcW w:w="788" w:type="dxa"/>
          <w:tcBorders>
            <w:top w:val="nil"/>
            <w:left w:val="nil"/>
            <w:bottom w:val="single" w:sz="8" w:space="0" w:color="auto"/>
            <w:right w:val="single" w:sz="8" w:space="0" w:color="auto"/>
          </w:tcBorders>
          <w:shd w:val="clear" w:color="auto" w:fill="auto"/>
          <w:vAlign w:val="center"/>
          <w:hideMark/>
        </w:tcPr>
        <w:p w14:paraId="0859F645"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Persons Assisted</w:t>
          </w:r>
        </w:p>
      </w:tc>
      <w:tc>
        <w:tcPr>
          <w:tcW w:w="763" w:type="dxa"/>
          <w:tcBorders>
            <w:top w:val="nil"/>
            <w:left w:val="nil"/>
            <w:bottom w:val="single" w:sz="8" w:space="0" w:color="auto"/>
            <w:right w:val="single" w:sz="8" w:space="0" w:color="auto"/>
          </w:tcBorders>
          <w:shd w:val="clear" w:color="auto" w:fill="auto"/>
          <w:vAlign w:val="center"/>
          <w:hideMark/>
        </w:tcPr>
        <w:p w14:paraId="7E495AC0"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0</w:t>
          </w:r>
        </w:p>
      </w:tc>
      <w:tc>
        <w:tcPr>
          <w:tcW w:w="763" w:type="dxa"/>
          <w:tcBorders>
            <w:top w:val="nil"/>
            <w:left w:val="nil"/>
            <w:bottom w:val="single" w:sz="8" w:space="0" w:color="auto"/>
            <w:right w:val="single" w:sz="8" w:space="0" w:color="auto"/>
          </w:tcBorders>
          <w:shd w:val="clear" w:color="auto" w:fill="auto"/>
          <w:vAlign w:val="center"/>
          <w:hideMark/>
        </w:tcPr>
        <w:p w14:paraId="5F2B85F6"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98" w:type="dxa"/>
          <w:tcBorders>
            <w:top w:val="nil"/>
            <w:left w:val="nil"/>
            <w:bottom w:val="single" w:sz="8" w:space="0" w:color="auto"/>
            <w:right w:val="single" w:sz="8" w:space="0" w:color="auto"/>
          </w:tcBorders>
          <w:shd w:val="clear" w:color="auto" w:fill="auto"/>
          <w:vAlign w:val="center"/>
          <w:hideMark/>
        </w:tcPr>
        <w:p w14:paraId="23BF2548"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72" w:type="dxa"/>
          <w:tcBorders>
            <w:top w:val="nil"/>
            <w:left w:val="nil"/>
            <w:bottom w:val="single" w:sz="8" w:space="0" w:color="auto"/>
            <w:right w:val="single" w:sz="8" w:space="0" w:color="auto"/>
          </w:tcBorders>
          <w:shd w:val="clear" w:color="auto" w:fill="auto"/>
          <w:vAlign w:val="center"/>
          <w:hideMark/>
        </w:tcPr>
        <w:p w14:paraId="7705F8BF"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72" w:type="dxa"/>
          <w:tcBorders>
            <w:top w:val="nil"/>
            <w:left w:val="nil"/>
            <w:bottom w:val="single" w:sz="8" w:space="0" w:color="auto"/>
            <w:right w:val="single" w:sz="8" w:space="0" w:color="auto"/>
          </w:tcBorders>
          <w:shd w:val="clear" w:color="auto" w:fill="auto"/>
          <w:vAlign w:val="center"/>
          <w:hideMark/>
        </w:tcPr>
        <w:p w14:paraId="3B249D11"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98" w:type="dxa"/>
          <w:tcBorders>
            <w:top w:val="nil"/>
            <w:left w:val="nil"/>
            <w:bottom w:val="single" w:sz="8" w:space="0" w:color="auto"/>
            <w:right w:val="single" w:sz="8" w:space="0" w:color="auto"/>
          </w:tcBorders>
          <w:shd w:val="clear" w:color="auto" w:fill="auto"/>
          <w:vAlign w:val="center"/>
          <w:hideMark/>
        </w:tcPr>
        <w:p w14:paraId="06AA5B63"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r>
    <w:tr w:rsidR="005F3FCF" w:rsidRPr="0020194F" w14:paraId="3C29A56A" w14:textId="77777777" w:rsidTr="005F3FCF">
      <w:tc>
        <w:tcPr>
          <w:tcW w:w="6608" w:type="dxa"/>
          <w:vAlign w:val="center"/>
          <w:hideMark/>
        </w:tcPr>
        <w:p w14:paraId="71874BA8" w14:textId="77777777" w:rsidR="005F3FCF" w:rsidRPr="009605B2" w:rsidRDefault="005F3FCF" w:rsidP="005F3FCF">
          <w:pPr>
            <w:pStyle w:val="Title"/>
            <w:spacing w:after="120"/>
            <w:ind w:right="360"/>
            <w:jc w:val="left"/>
            <w:rPr>
              <w:rFonts w:ascii="Calibri" w:eastAsia="Times New Roman" w:hAnsi="Calibri"/>
              <w:color w:val="000000"/>
              <w:sz w:val="12"/>
              <w:szCs w:val="12"/>
            </w:rPr>
          </w:pPr>
          <w:r w:rsidRPr="005F3FCF">
            <w:rPr>
              <w:rFonts w:ascii="Gotham Book" w:hAnsi="Gotham Book"/>
              <w:b/>
              <w:color w:val="404040"/>
              <w:sz w:val="22"/>
              <w:szCs w:val="22"/>
            </w:rPr>
            <w:t xml:space="preserve">Improve </w:t>
          </w:r>
          <w:r w:rsidRPr="009605B2">
            <w:rPr>
              <w:rFonts w:ascii="Calibri" w:eastAsia="Times New Roman" w:hAnsi="Calibri"/>
              <w:color w:val="000000"/>
              <w:sz w:val="12"/>
              <w:szCs w:val="12"/>
            </w:rPr>
            <w:t>the Quality of Public Facilities</w:t>
          </w:r>
        </w:p>
      </w:tc>
      <w:tc>
        <w:tcPr>
          <w:tcW w:w="3328" w:type="dxa"/>
          <w:vAlign w:val="center"/>
          <w:hideMark/>
        </w:tcPr>
        <w:p w14:paraId="6E6E718D"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NHSN</w:t>
          </w:r>
        </w:p>
      </w:tc>
      <w:tc>
        <w:tcPr>
          <w:tcW w:w="621" w:type="dxa"/>
          <w:tcBorders>
            <w:top w:val="nil"/>
            <w:left w:val="nil"/>
            <w:bottom w:val="single" w:sz="8" w:space="0" w:color="auto"/>
            <w:right w:val="single" w:sz="8" w:space="0" w:color="auto"/>
          </w:tcBorders>
          <w:shd w:val="clear" w:color="auto" w:fill="auto"/>
          <w:vAlign w:val="center"/>
          <w:hideMark/>
        </w:tcPr>
        <w:p w14:paraId="1E072270"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CDBG</w:t>
          </w:r>
        </w:p>
      </w:tc>
      <w:tc>
        <w:tcPr>
          <w:tcW w:w="2074" w:type="dxa"/>
          <w:tcBorders>
            <w:top w:val="nil"/>
            <w:left w:val="nil"/>
            <w:bottom w:val="single" w:sz="8" w:space="0" w:color="auto"/>
            <w:right w:val="single" w:sz="8" w:space="0" w:color="auto"/>
          </w:tcBorders>
          <w:shd w:val="clear" w:color="auto" w:fill="auto"/>
          <w:vAlign w:val="center"/>
          <w:hideMark/>
        </w:tcPr>
        <w:p w14:paraId="12C0F20A"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Overnight/Emergency Shelter/Transitional Housing Beds added</w:t>
          </w:r>
        </w:p>
      </w:tc>
      <w:tc>
        <w:tcPr>
          <w:tcW w:w="788" w:type="dxa"/>
          <w:tcBorders>
            <w:top w:val="nil"/>
            <w:left w:val="nil"/>
            <w:bottom w:val="single" w:sz="8" w:space="0" w:color="auto"/>
            <w:right w:val="single" w:sz="8" w:space="0" w:color="auto"/>
          </w:tcBorders>
          <w:shd w:val="clear" w:color="auto" w:fill="auto"/>
          <w:vAlign w:val="center"/>
          <w:hideMark/>
        </w:tcPr>
        <w:p w14:paraId="0F122AD3"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Beds</w:t>
          </w:r>
        </w:p>
      </w:tc>
      <w:tc>
        <w:tcPr>
          <w:tcW w:w="763" w:type="dxa"/>
          <w:tcBorders>
            <w:top w:val="nil"/>
            <w:left w:val="nil"/>
            <w:bottom w:val="single" w:sz="8" w:space="0" w:color="auto"/>
            <w:right w:val="single" w:sz="8" w:space="0" w:color="auto"/>
          </w:tcBorders>
          <w:shd w:val="clear" w:color="auto" w:fill="auto"/>
          <w:vAlign w:val="center"/>
          <w:hideMark/>
        </w:tcPr>
        <w:p w14:paraId="4701952D"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0</w:t>
          </w:r>
        </w:p>
      </w:tc>
      <w:tc>
        <w:tcPr>
          <w:tcW w:w="763" w:type="dxa"/>
          <w:tcBorders>
            <w:top w:val="nil"/>
            <w:left w:val="nil"/>
            <w:bottom w:val="single" w:sz="8" w:space="0" w:color="auto"/>
            <w:right w:val="single" w:sz="8" w:space="0" w:color="auto"/>
          </w:tcBorders>
          <w:shd w:val="clear" w:color="auto" w:fill="auto"/>
          <w:vAlign w:val="center"/>
          <w:hideMark/>
        </w:tcPr>
        <w:p w14:paraId="22C4C5DA"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98" w:type="dxa"/>
          <w:tcBorders>
            <w:top w:val="nil"/>
            <w:left w:val="nil"/>
            <w:bottom w:val="single" w:sz="8" w:space="0" w:color="auto"/>
            <w:right w:val="single" w:sz="8" w:space="0" w:color="auto"/>
          </w:tcBorders>
          <w:shd w:val="clear" w:color="auto" w:fill="auto"/>
          <w:vAlign w:val="center"/>
          <w:hideMark/>
        </w:tcPr>
        <w:p w14:paraId="71E70240"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72" w:type="dxa"/>
          <w:tcBorders>
            <w:top w:val="nil"/>
            <w:left w:val="nil"/>
            <w:bottom w:val="single" w:sz="8" w:space="0" w:color="auto"/>
            <w:right w:val="single" w:sz="8" w:space="0" w:color="auto"/>
          </w:tcBorders>
          <w:shd w:val="clear" w:color="auto" w:fill="auto"/>
          <w:vAlign w:val="center"/>
          <w:hideMark/>
        </w:tcPr>
        <w:p w14:paraId="464E4B15"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72" w:type="dxa"/>
          <w:tcBorders>
            <w:top w:val="nil"/>
            <w:left w:val="nil"/>
            <w:bottom w:val="single" w:sz="8" w:space="0" w:color="auto"/>
            <w:right w:val="single" w:sz="8" w:space="0" w:color="auto"/>
          </w:tcBorders>
          <w:shd w:val="clear" w:color="auto" w:fill="auto"/>
          <w:vAlign w:val="center"/>
          <w:hideMark/>
        </w:tcPr>
        <w:p w14:paraId="44A34BF4"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98" w:type="dxa"/>
          <w:tcBorders>
            <w:top w:val="nil"/>
            <w:left w:val="nil"/>
            <w:bottom w:val="single" w:sz="8" w:space="0" w:color="auto"/>
            <w:right w:val="single" w:sz="8" w:space="0" w:color="auto"/>
          </w:tcBorders>
          <w:shd w:val="clear" w:color="auto" w:fill="auto"/>
          <w:vAlign w:val="center"/>
          <w:hideMark/>
        </w:tcPr>
        <w:p w14:paraId="47A5BBFD"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r>
    <w:tr w:rsidR="005F3FCF" w:rsidRPr="0020194F" w14:paraId="4A0B8CB2" w14:textId="77777777" w:rsidTr="005F3FCF">
      <w:tc>
        <w:tcPr>
          <w:tcW w:w="6608" w:type="dxa"/>
          <w:vAlign w:val="center"/>
          <w:hideMark/>
        </w:tcPr>
        <w:p w14:paraId="24BB9872" w14:textId="77777777" w:rsidR="005F3FCF" w:rsidRPr="009605B2" w:rsidRDefault="005F3FCF" w:rsidP="005F3FCF">
          <w:pPr>
            <w:pStyle w:val="Title"/>
            <w:spacing w:after="120"/>
            <w:ind w:right="360"/>
            <w:jc w:val="left"/>
            <w:rPr>
              <w:rFonts w:ascii="Calibri" w:eastAsia="Times New Roman" w:hAnsi="Calibri"/>
              <w:color w:val="000000"/>
              <w:sz w:val="12"/>
              <w:szCs w:val="12"/>
            </w:rPr>
          </w:pPr>
          <w:r w:rsidRPr="005F3FCF">
            <w:rPr>
              <w:rFonts w:ascii="Gotham Book" w:hAnsi="Gotham Book"/>
              <w:b/>
              <w:color w:val="404040"/>
              <w:sz w:val="22"/>
              <w:szCs w:val="22"/>
            </w:rPr>
            <w:t xml:space="preserve">Provide </w:t>
          </w:r>
          <w:r w:rsidRPr="009605B2">
            <w:rPr>
              <w:rFonts w:ascii="Calibri" w:eastAsia="Times New Roman" w:hAnsi="Calibri"/>
              <w:color w:val="000000"/>
              <w:sz w:val="12"/>
              <w:szCs w:val="12"/>
            </w:rPr>
            <w:t>Day-to-Day Services for the Homeless</w:t>
          </w:r>
        </w:p>
      </w:tc>
      <w:tc>
        <w:tcPr>
          <w:tcW w:w="3328" w:type="dxa"/>
          <w:vAlign w:val="center"/>
          <w:hideMark/>
        </w:tcPr>
        <w:p w14:paraId="4BD40516"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 xml:space="preserve">H </w:t>
          </w:r>
        </w:p>
      </w:tc>
      <w:tc>
        <w:tcPr>
          <w:tcW w:w="621" w:type="dxa"/>
          <w:tcBorders>
            <w:top w:val="nil"/>
            <w:left w:val="nil"/>
            <w:bottom w:val="single" w:sz="8" w:space="0" w:color="auto"/>
            <w:right w:val="single" w:sz="8" w:space="0" w:color="auto"/>
          </w:tcBorders>
          <w:shd w:val="clear" w:color="auto" w:fill="auto"/>
          <w:vAlign w:val="center"/>
          <w:hideMark/>
        </w:tcPr>
        <w:p w14:paraId="1FD3F543"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CDBG</w:t>
          </w:r>
          <w:r w:rsidRPr="009605B2">
            <w:rPr>
              <w:rFonts w:ascii="Calibri" w:eastAsia="Times New Roman" w:hAnsi="Calibri"/>
              <w:color w:val="000000"/>
              <w:sz w:val="12"/>
              <w:szCs w:val="12"/>
            </w:rPr>
            <w:br/>
            <w:t>ESG</w:t>
          </w:r>
        </w:p>
      </w:tc>
      <w:tc>
        <w:tcPr>
          <w:tcW w:w="2074" w:type="dxa"/>
          <w:tcBorders>
            <w:top w:val="nil"/>
            <w:left w:val="nil"/>
            <w:bottom w:val="single" w:sz="8" w:space="0" w:color="auto"/>
            <w:right w:val="single" w:sz="8" w:space="0" w:color="auto"/>
          </w:tcBorders>
          <w:shd w:val="clear" w:color="auto" w:fill="auto"/>
          <w:vAlign w:val="center"/>
          <w:hideMark/>
        </w:tcPr>
        <w:p w14:paraId="2174BDC5"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Public service activities other than Low/Moderate Income Housing Benefit</w:t>
          </w:r>
        </w:p>
      </w:tc>
      <w:tc>
        <w:tcPr>
          <w:tcW w:w="788" w:type="dxa"/>
          <w:tcBorders>
            <w:top w:val="nil"/>
            <w:left w:val="nil"/>
            <w:bottom w:val="single" w:sz="8" w:space="0" w:color="auto"/>
            <w:right w:val="single" w:sz="8" w:space="0" w:color="auto"/>
          </w:tcBorders>
          <w:shd w:val="clear" w:color="auto" w:fill="auto"/>
          <w:vAlign w:val="center"/>
          <w:hideMark/>
        </w:tcPr>
        <w:p w14:paraId="16A0EB69"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Persons Assisted</w:t>
          </w:r>
        </w:p>
      </w:tc>
      <w:tc>
        <w:tcPr>
          <w:tcW w:w="763" w:type="dxa"/>
          <w:tcBorders>
            <w:top w:val="nil"/>
            <w:left w:val="nil"/>
            <w:bottom w:val="single" w:sz="8" w:space="0" w:color="auto"/>
            <w:right w:val="single" w:sz="8" w:space="0" w:color="auto"/>
          </w:tcBorders>
          <w:shd w:val="clear" w:color="auto" w:fill="auto"/>
          <w:vAlign w:val="center"/>
          <w:hideMark/>
        </w:tcPr>
        <w:p w14:paraId="3673E181"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15000</w:t>
          </w:r>
        </w:p>
      </w:tc>
      <w:tc>
        <w:tcPr>
          <w:tcW w:w="763" w:type="dxa"/>
          <w:tcBorders>
            <w:top w:val="nil"/>
            <w:left w:val="nil"/>
            <w:bottom w:val="single" w:sz="8" w:space="0" w:color="auto"/>
            <w:right w:val="single" w:sz="8" w:space="0" w:color="auto"/>
          </w:tcBorders>
          <w:shd w:val="clear" w:color="auto" w:fill="auto"/>
          <w:vAlign w:val="center"/>
          <w:hideMark/>
        </w:tcPr>
        <w:p w14:paraId="169EDAD9"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6595</w:t>
          </w:r>
        </w:p>
      </w:tc>
      <w:tc>
        <w:tcPr>
          <w:tcW w:w="698" w:type="dxa"/>
          <w:tcBorders>
            <w:top w:val="nil"/>
            <w:left w:val="nil"/>
            <w:bottom w:val="single" w:sz="8" w:space="0" w:color="auto"/>
            <w:right w:val="single" w:sz="8" w:space="0" w:color="auto"/>
          </w:tcBorders>
          <w:shd w:val="clear" w:color="auto" w:fill="auto"/>
          <w:vAlign w:val="center"/>
          <w:hideMark/>
        </w:tcPr>
        <w:p w14:paraId="673E6729"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44%</w:t>
          </w:r>
        </w:p>
      </w:tc>
      <w:tc>
        <w:tcPr>
          <w:tcW w:w="672" w:type="dxa"/>
          <w:tcBorders>
            <w:top w:val="nil"/>
            <w:left w:val="nil"/>
            <w:bottom w:val="single" w:sz="8" w:space="0" w:color="auto"/>
            <w:right w:val="single" w:sz="8" w:space="0" w:color="auto"/>
          </w:tcBorders>
          <w:shd w:val="clear" w:color="auto" w:fill="auto"/>
          <w:vAlign w:val="center"/>
          <w:hideMark/>
        </w:tcPr>
        <w:p w14:paraId="60086FCD"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3000</w:t>
          </w:r>
        </w:p>
      </w:tc>
      <w:tc>
        <w:tcPr>
          <w:tcW w:w="672" w:type="dxa"/>
          <w:tcBorders>
            <w:top w:val="nil"/>
            <w:left w:val="nil"/>
            <w:bottom w:val="single" w:sz="8" w:space="0" w:color="auto"/>
            <w:right w:val="single" w:sz="8" w:space="0" w:color="auto"/>
          </w:tcBorders>
          <w:shd w:val="clear" w:color="auto" w:fill="auto"/>
          <w:vAlign w:val="center"/>
          <w:hideMark/>
        </w:tcPr>
        <w:p w14:paraId="3EB5F87E"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1278</w:t>
          </w:r>
        </w:p>
      </w:tc>
      <w:tc>
        <w:tcPr>
          <w:tcW w:w="698" w:type="dxa"/>
          <w:tcBorders>
            <w:top w:val="nil"/>
            <w:left w:val="nil"/>
            <w:bottom w:val="single" w:sz="8" w:space="0" w:color="auto"/>
            <w:right w:val="single" w:sz="8" w:space="0" w:color="auto"/>
          </w:tcBorders>
          <w:shd w:val="clear" w:color="auto" w:fill="auto"/>
          <w:vAlign w:val="center"/>
          <w:hideMark/>
        </w:tcPr>
        <w:p w14:paraId="660ADEA0"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43%</w:t>
          </w:r>
        </w:p>
      </w:tc>
    </w:tr>
    <w:tr w:rsidR="005F3FCF" w:rsidRPr="0020194F" w14:paraId="384E9382" w14:textId="77777777" w:rsidTr="005F3FCF">
      <w:tc>
        <w:tcPr>
          <w:tcW w:w="6608" w:type="dxa"/>
          <w:vAlign w:val="center"/>
          <w:hideMark/>
        </w:tcPr>
        <w:p w14:paraId="38216A12" w14:textId="77777777" w:rsidR="005F3FCF" w:rsidRPr="009605B2" w:rsidRDefault="005F3FCF" w:rsidP="005F3FCF">
          <w:pPr>
            <w:pStyle w:val="Title"/>
            <w:spacing w:after="120"/>
            <w:ind w:right="360"/>
            <w:jc w:val="left"/>
            <w:rPr>
              <w:rFonts w:ascii="Calibri" w:eastAsia="Times New Roman" w:hAnsi="Calibri"/>
              <w:color w:val="000000"/>
              <w:sz w:val="12"/>
              <w:szCs w:val="12"/>
            </w:rPr>
          </w:pPr>
          <w:r w:rsidRPr="005F3FCF">
            <w:rPr>
              <w:rFonts w:ascii="Gotham Book" w:hAnsi="Gotham Book"/>
              <w:b/>
              <w:color w:val="404040"/>
              <w:sz w:val="22"/>
              <w:szCs w:val="22"/>
            </w:rPr>
            <w:t xml:space="preserve">Provide </w:t>
          </w:r>
          <w:r w:rsidRPr="009605B2">
            <w:rPr>
              <w:rFonts w:ascii="Calibri" w:eastAsia="Times New Roman" w:hAnsi="Calibri"/>
              <w:color w:val="000000"/>
              <w:sz w:val="12"/>
              <w:szCs w:val="12"/>
            </w:rPr>
            <w:t>Day-to-Day Services for the Homeless</w:t>
          </w:r>
        </w:p>
      </w:tc>
      <w:tc>
        <w:tcPr>
          <w:tcW w:w="3328" w:type="dxa"/>
          <w:vAlign w:val="center"/>
          <w:hideMark/>
        </w:tcPr>
        <w:p w14:paraId="74EF1378"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 xml:space="preserve">H </w:t>
          </w:r>
        </w:p>
      </w:tc>
      <w:tc>
        <w:tcPr>
          <w:tcW w:w="621" w:type="dxa"/>
          <w:tcBorders>
            <w:top w:val="nil"/>
            <w:left w:val="nil"/>
            <w:bottom w:val="single" w:sz="8" w:space="0" w:color="auto"/>
            <w:right w:val="single" w:sz="8" w:space="0" w:color="auto"/>
          </w:tcBorders>
          <w:shd w:val="clear" w:color="auto" w:fill="auto"/>
          <w:vAlign w:val="center"/>
          <w:hideMark/>
        </w:tcPr>
        <w:p w14:paraId="12CAE81E"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CDBG</w:t>
          </w:r>
          <w:r w:rsidRPr="009605B2">
            <w:rPr>
              <w:rFonts w:ascii="Calibri" w:eastAsia="Times New Roman" w:hAnsi="Calibri"/>
              <w:color w:val="000000"/>
              <w:sz w:val="12"/>
              <w:szCs w:val="12"/>
            </w:rPr>
            <w:br/>
            <w:t>ESG</w:t>
          </w:r>
        </w:p>
      </w:tc>
      <w:tc>
        <w:tcPr>
          <w:tcW w:w="2074" w:type="dxa"/>
          <w:tcBorders>
            <w:top w:val="nil"/>
            <w:left w:val="nil"/>
            <w:bottom w:val="single" w:sz="8" w:space="0" w:color="auto"/>
            <w:right w:val="single" w:sz="8" w:space="0" w:color="auto"/>
          </w:tcBorders>
          <w:shd w:val="clear" w:color="auto" w:fill="auto"/>
          <w:vAlign w:val="center"/>
          <w:hideMark/>
        </w:tcPr>
        <w:p w14:paraId="0D3794C1"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Homeless Person Overnight Shelter</w:t>
          </w:r>
        </w:p>
      </w:tc>
      <w:tc>
        <w:tcPr>
          <w:tcW w:w="788" w:type="dxa"/>
          <w:tcBorders>
            <w:top w:val="nil"/>
            <w:left w:val="nil"/>
            <w:bottom w:val="single" w:sz="8" w:space="0" w:color="auto"/>
            <w:right w:val="single" w:sz="8" w:space="0" w:color="auto"/>
          </w:tcBorders>
          <w:shd w:val="clear" w:color="auto" w:fill="auto"/>
          <w:vAlign w:val="center"/>
          <w:hideMark/>
        </w:tcPr>
        <w:p w14:paraId="28525907"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Persons Assisted</w:t>
          </w:r>
        </w:p>
      </w:tc>
      <w:tc>
        <w:tcPr>
          <w:tcW w:w="763" w:type="dxa"/>
          <w:tcBorders>
            <w:top w:val="nil"/>
            <w:left w:val="nil"/>
            <w:bottom w:val="single" w:sz="8" w:space="0" w:color="auto"/>
            <w:right w:val="single" w:sz="8" w:space="0" w:color="auto"/>
          </w:tcBorders>
          <w:shd w:val="clear" w:color="auto" w:fill="auto"/>
          <w:vAlign w:val="center"/>
          <w:hideMark/>
        </w:tcPr>
        <w:p w14:paraId="7A2E1BC2"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0</w:t>
          </w:r>
        </w:p>
      </w:tc>
      <w:tc>
        <w:tcPr>
          <w:tcW w:w="763" w:type="dxa"/>
          <w:tcBorders>
            <w:top w:val="nil"/>
            <w:left w:val="nil"/>
            <w:bottom w:val="single" w:sz="8" w:space="0" w:color="auto"/>
            <w:right w:val="single" w:sz="8" w:space="0" w:color="auto"/>
          </w:tcBorders>
          <w:shd w:val="clear" w:color="auto" w:fill="auto"/>
          <w:vAlign w:val="center"/>
          <w:hideMark/>
        </w:tcPr>
        <w:p w14:paraId="55EBE6D9"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98" w:type="dxa"/>
          <w:tcBorders>
            <w:top w:val="nil"/>
            <w:left w:val="nil"/>
            <w:bottom w:val="single" w:sz="8" w:space="0" w:color="auto"/>
            <w:right w:val="single" w:sz="8" w:space="0" w:color="auto"/>
          </w:tcBorders>
          <w:shd w:val="clear" w:color="auto" w:fill="auto"/>
          <w:vAlign w:val="center"/>
          <w:hideMark/>
        </w:tcPr>
        <w:p w14:paraId="5603F8F5"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72" w:type="dxa"/>
          <w:tcBorders>
            <w:top w:val="nil"/>
            <w:left w:val="nil"/>
            <w:bottom w:val="single" w:sz="8" w:space="0" w:color="auto"/>
            <w:right w:val="single" w:sz="8" w:space="0" w:color="auto"/>
          </w:tcBorders>
          <w:shd w:val="clear" w:color="auto" w:fill="auto"/>
          <w:vAlign w:val="center"/>
          <w:hideMark/>
        </w:tcPr>
        <w:p w14:paraId="7172BEF2"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0</w:t>
          </w:r>
        </w:p>
      </w:tc>
      <w:tc>
        <w:tcPr>
          <w:tcW w:w="672" w:type="dxa"/>
          <w:tcBorders>
            <w:top w:val="nil"/>
            <w:left w:val="nil"/>
            <w:bottom w:val="single" w:sz="8" w:space="0" w:color="auto"/>
            <w:right w:val="single" w:sz="8" w:space="0" w:color="auto"/>
          </w:tcBorders>
          <w:shd w:val="clear" w:color="auto" w:fill="auto"/>
          <w:vAlign w:val="center"/>
          <w:hideMark/>
        </w:tcPr>
        <w:p w14:paraId="5A1431FD"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98" w:type="dxa"/>
          <w:tcBorders>
            <w:top w:val="nil"/>
            <w:left w:val="nil"/>
            <w:bottom w:val="single" w:sz="8" w:space="0" w:color="auto"/>
            <w:right w:val="single" w:sz="8" w:space="0" w:color="auto"/>
          </w:tcBorders>
          <w:shd w:val="clear" w:color="auto" w:fill="auto"/>
          <w:vAlign w:val="center"/>
          <w:hideMark/>
        </w:tcPr>
        <w:p w14:paraId="53CE9C4A"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r>
    <w:tr w:rsidR="005F3FCF" w:rsidRPr="0020194F" w14:paraId="5CAC8484" w14:textId="77777777" w:rsidTr="005F3FCF">
      <w:tc>
        <w:tcPr>
          <w:tcW w:w="6608" w:type="dxa"/>
          <w:vAlign w:val="center"/>
          <w:hideMark/>
        </w:tcPr>
        <w:p w14:paraId="397DA6C9" w14:textId="77777777" w:rsidR="005F3FCF" w:rsidRPr="009605B2" w:rsidRDefault="005F3FCF" w:rsidP="005F3FCF">
          <w:pPr>
            <w:pStyle w:val="Title"/>
            <w:spacing w:after="120"/>
            <w:ind w:right="360"/>
            <w:jc w:val="left"/>
            <w:rPr>
              <w:rFonts w:ascii="Calibri" w:eastAsia="Times New Roman" w:hAnsi="Calibri"/>
              <w:color w:val="000000"/>
              <w:sz w:val="12"/>
              <w:szCs w:val="12"/>
            </w:rPr>
          </w:pPr>
          <w:r w:rsidRPr="005F3FCF">
            <w:rPr>
              <w:rFonts w:ascii="Gotham Book" w:hAnsi="Gotham Book"/>
              <w:b/>
              <w:color w:val="404040"/>
              <w:sz w:val="22"/>
              <w:szCs w:val="22"/>
            </w:rPr>
            <w:t xml:space="preserve">Provide </w:t>
          </w:r>
          <w:r w:rsidRPr="009605B2">
            <w:rPr>
              <w:rFonts w:ascii="Calibri" w:eastAsia="Times New Roman" w:hAnsi="Calibri"/>
              <w:color w:val="000000"/>
              <w:sz w:val="12"/>
              <w:szCs w:val="12"/>
            </w:rPr>
            <w:t>Day-to-Day Services for the Homeless</w:t>
          </w:r>
        </w:p>
      </w:tc>
      <w:tc>
        <w:tcPr>
          <w:tcW w:w="3328" w:type="dxa"/>
          <w:vAlign w:val="center"/>
          <w:hideMark/>
        </w:tcPr>
        <w:p w14:paraId="24744E94"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 xml:space="preserve">H </w:t>
          </w:r>
        </w:p>
      </w:tc>
      <w:tc>
        <w:tcPr>
          <w:tcW w:w="621" w:type="dxa"/>
          <w:tcBorders>
            <w:top w:val="nil"/>
            <w:left w:val="nil"/>
            <w:bottom w:val="single" w:sz="8" w:space="0" w:color="auto"/>
            <w:right w:val="single" w:sz="8" w:space="0" w:color="auto"/>
          </w:tcBorders>
          <w:shd w:val="clear" w:color="auto" w:fill="auto"/>
          <w:vAlign w:val="center"/>
          <w:hideMark/>
        </w:tcPr>
        <w:p w14:paraId="1CF74A47"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CDBG</w:t>
          </w:r>
          <w:r w:rsidRPr="009605B2">
            <w:rPr>
              <w:rFonts w:ascii="Calibri" w:eastAsia="Times New Roman" w:hAnsi="Calibri"/>
              <w:color w:val="000000"/>
              <w:sz w:val="12"/>
              <w:szCs w:val="12"/>
            </w:rPr>
            <w:br/>
            <w:t>ESG</w:t>
          </w:r>
        </w:p>
      </w:tc>
      <w:tc>
        <w:tcPr>
          <w:tcW w:w="2074" w:type="dxa"/>
          <w:tcBorders>
            <w:top w:val="nil"/>
            <w:left w:val="nil"/>
            <w:bottom w:val="single" w:sz="8" w:space="0" w:color="auto"/>
            <w:right w:val="single" w:sz="8" w:space="0" w:color="auto"/>
          </w:tcBorders>
          <w:shd w:val="clear" w:color="auto" w:fill="auto"/>
          <w:vAlign w:val="center"/>
          <w:hideMark/>
        </w:tcPr>
        <w:p w14:paraId="55E93658"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Overnight/Emergency Shelter/Transitional Housing Beds added</w:t>
          </w:r>
        </w:p>
      </w:tc>
      <w:tc>
        <w:tcPr>
          <w:tcW w:w="788" w:type="dxa"/>
          <w:tcBorders>
            <w:top w:val="nil"/>
            <w:left w:val="nil"/>
            <w:bottom w:val="single" w:sz="8" w:space="0" w:color="auto"/>
            <w:right w:val="single" w:sz="8" w:space="0" w:color="auto"/>
          </w:tcBorders>
          <w:shd w:val="clear" w:color="auto" w:fill="auto"/>
          <w:vAlign w:val="center"/>
          <w:hideMark/>
        </w:tcPr>
        <w:p w14:paraId="6ED6C2C8"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Beds</w:t>
          </w:r>
        </w:p>
      </w:tc>
      <w:tc>
        <w:tcPr>
          <w:tcW w:w="763" w:type="dxa"/>
          <w:tcBorders>
            <w:top w:val="nil"/>
            <w:left w:val="nil"/>
            <w:bottom w:val="single" w:sz="8" w:space="0" w:color="auto"/>
            <w:right w:val="single" w:sz="8" w:space="0" w:color="auto"/>
          </w:tcBorders>
          <w:shd w:val="clear" w:color="auto" w:fill="auto"/>
          <w:vAlign w:val="center"/>
          <w:hideMark/>
        </w:tcPr>
        <w:p w14:paraId="3FFB5350"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0</w:t>
          </w:r>
        </w:p>
      </w:tc>
      <w:tc>
        <w:tcPr>
          <w:tcW w:w="763" w:type="dxa"/>
          <w:tcBorders>
            <w:top w:val="nil"/>
            <w:left w:val="nil"/>
            <w:bottom w:val="single" w:sz="8" w:space="0" w:color="auto"/>
            <w:right w:val="single" w:sz="8" w:space="0" w:color="auto"/>
          </w:tcBorders>
          <w:shd w:val="clear" w:color="auto" w:fill="auto"/>
          <w:vAlign w:val="center"/>
          <w:hideMark/>
        </w:tcPr>
        <w:p w14:paraId="27B80A31"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98" w:type="dxa"/>
          <w:tcBorders>
            <w:top w:val="nil"/>
            <w:left w:val="nil"/>
            <w:bottom w:val="single" w:sz="8" w:space="0" w:color="auto"/>
            <w:right w:val="single" w:sz="8" w:space="0" w:color="auto"/>
          </w:tcBorders>
          <w:shd w:val="clear" w:color="auto" w:fill="auto"/>
          <w:vAlign w:val="center"/>
          <w:hideMark/>
        </w:tcPr>
        <w:p w14:paraId="5A6BC361"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72" w:type="dxa"/>
          <w:tcBorders>
            <w:top w:val="nil"/>
            <w:left w:val="nil"/>
            <w:bottom w:val="single" w:sz="8" w:space="0" w:color="auto"/>
            <w:right w:val="single" w:sz="8" w:space="0" w:color="auto"/>
          </w:tcBorders>
          <w:shd w:val="clear" w:color="auto" w:fill="auto"/>
          <w:vAlign w:val="center"/>
          <w:hideMark/>
        </w:tcPr>
        <w:p w14:paraId="73334850"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0</w:t>
          </w:r>
        </w:p>
      </w:tc>
      <w:tc>
        <w:tcPr>
          <w:tcW w:w="672" w:type="dxa"/>
          <w:tcBorders>
            <w:top w:val="nil"/>
            <w:left w:val="nil"/>
            <w:bottom w:val="single" w:sz="8" w:space="0" w:color="auto"/>
            <w:right w:val="single" w:sz="8" w:space="0" w:color="auto"/>
          </w:tcBorders>
          <w:shd w:val="clear" w:color="auto" w:fill="auto"/>
          <w:vAlign w:val="center"/>
          <w:hideMark/>
        </w:tcPr>
        <w:p w14:paraId="116A0A5E"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98" w:type="dxa"/>
          <w:tcBorders>
            <w:top w:val="nil"/>
            <w:left w:val="nil"/>
            <w:bottom w:val="single" w:sz="8" w:space="0" w:color="auto"/>
            <w:right w:val="single" w:sz="8" w:space="0" w:color="auto"/>
          </w:tcBorders>
          <w:shd w:val="clear" w:color="auto" w:fill="auto"/>
          <w:vAlign w:val="center"/>
          <w:hideMark/>
        </w:tcPr>
        <w:p w14:paraId="2C1C81CE"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r>
    <w:tr w:rsidR="005F3FCF" w:rsidRPr="0020194F" w14:paraId="603EBABE" w14:textId="77777777" w:rsidTr="005F3FCF">
      <w:tc>
        <w:tcPr>
          <w:tcW w:w="6608" w:type="dxa"/>
          <w:vMerge w:val="restart"/>
          <w:vAlign w:val="center"/>
          <w:hideMark/>
        </w:tcPr>
        <w:p w14:paraId="61649D22" w14:textId="77777777" w:rsidR="005F3FCF" w:rsidRPr="009605B2" w:rsidRDefault="005F3FCF" w:rsidP="005F3FCF">
          <w:pPr>
            <w:pStyle w:val="Title"/>
            <w:spacing w:after="120"/>
            <w:ind w:right="360"/>
            <w:jc w:val="left"/>
            <w:rPr>
              <w:rFonts w:ascii="Calibri" w:eastAsia="Times New Roman" w:hAnsi="Calibri"/>
              <w:color w:val="000000"/>
              <w:sz w:val="12"/>
              <w:szCs w:val="12"/>
            </w:rPr>
          </w:pPr>
          <w:r w:rsidRPr="005F3FCF">
            <w:rPr>
              <w:rFonts w:ascii="Gotham Book" w:hAnsi="Gotham Book"/>
              <w:b/>
              <w:color w:val="404040"/>
              <w:sz w:val="22"/>
              <w:szCs w:val="22"/>
            </w:rPr>
            <w:t xml:space="preserve">Provide </w:t>
          </w:r>
          <w:r w:rsidRPr="009605B2">
            <w:rPr>
              <w:rFonts w:ascii="Calibri" w:eastAsia="Times New Roman" w:hAnsi="Calibri"/>
              <w:color w:val="000000"/>
              <w:sz w:val="12"/>
              <w:szCs w:val="12"/>
            </w:rPr>
            <w:t>Housing &amp; Services for Persons w/ HIV/AIDS</w:t>
          </w:r>
        </w:p>
      </w:tc>
      <w:tc>
        <w:tcPr>
          <w:tcW w:w="3328" w:type="dxa"/>
          <w:vAlign w:val="center"/>
          <w:hideMark/>
        </w:tcPr>
        <w:p w14:paraId="6BED11BE"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AH</w:t>
          </w:r>
        </w:p>
      </w:tc>
      <w:tc>
        <w:tcPr>
          <w:tcW w:w="621" w:type="dxa"/>
          <w:vMerge w:val="restart"/>
          <w:tcBorders>
            <w:top w:val="nil"/>
            <w:left w:val="single" w:sz="8" w:space="0" w:color="auto"/>
            <w:bottom w:val="single" w:sz="8" w:space="0" w:color="000000"/>
            <w:right w:val="single" w:sz="8" w:space="0" w:color="auto"/>
          </w:tcBorders>
          <w:shd w:val="clear" w:color="auto" w:fill="auto"/>
          <w:vAlign w:val="center"/>
          <w:hideMark/>
        </w:tcPr>
        <w:p w14:paraId="00CE918D"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 xml:space="preserve">HOPWA </w:t>
          </w:r>
        </w:p>
      </w:tc>
      <w:tc>
        <w:tcPr>
          <w:tcW w:w="2074" w:type="dxa"/>
          <w:vMerge w:val="restart"/>
          <w:tcBorders>
            <w:top w:val="nil"/>
            <w:left w:val="single" w:sz="8" w:space="0" w:color="auto"/>
            <w:bottom w:val="single" w:sz="8" w:space="0" w:color="000000"/>
            <w:right w:val="single" w:sz="8" w:space="0" w:color="auto"/>
          </w:tcBorders>
          <w:shd w:val="clear" w:color="auto" w:fill="auto"/>
          <w:vAlign w:val="center"/>
          <w:hideMark/>
        </w:tcPr>
        <w:p w14:paraId="0FB27484"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Public service activities other than Low/Moderate Income Housing Benefit</w:t>
          </w:r>
        </w:p>
      </w:tc>
      <w:tc>
        <w:tcPr>
          <w:tcW w:w="788" w:type="dxa"/>
          <w:vMerge w:val="restart"/>
          <w:tcBorders>
            <w:top w:val="nil"/>
            <w:left w:val="single" w:sz="8" w:space="0" w:color="auto"/>
            <w:bottom w:val="single" w:sz="8" w:space="0" w:color="000000"/>
            <w:right w:val="single" w:sz="8" w:space="0" w:color="auto"/>
          </w:tcBorders>
          <w:shd w:val="clear" w:color="auto" w:fill="auto"/>
          <w:vAlign w:val="center"/>
          <w:hideMark/>
        </w:tcPr>
        <w:p w14:paraId="4C2C9876"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Persons Assisted</w:t>
          </w:r>
        </w:p>
      </w:tc>
      <w:tc>
        <w:tcPr>
          <w:tcW w:w="763" w:type="dxa"/>
          <w:vMerge w:val="restart"/>
          <w:tcBorders>
            <w:top w:val="nil"/>
            <w:left w:val="single" w:sz="8" w:space="0" w:color="auto"/>
            <w:bottom w:val="single" w:sz="8" w:space="0" w:color="000000"/>
            <w:right w:val="single" w:sz="8" w:space="0" w:color="auto"/>
          </w:tcBorders>
          <w:shd w:val="clear" w:color="auto" w:fill="auto"/>
          <w:vAlign w:val="center"/>
          <w:hideMark/>
        </w:tcPr>
        <w:p w14:paraId="65E1C829"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375</w:t>
          </w:r>
        </w:p>
      </w:tc>
      <w:tc>
        <w:tcPr>
          <w:tcW w:w="763" w:type="dxa"/>
          <w:vMerge w:val="restart"/>
          <w:tcBorders>
            <w:top w:val="nil"/>
            <w:left w:val="single" w:sz="8" w:space="0" w:color="auto"/>
            <w:bottom w:val="single" w:sz="8" w:space="0" w:color="000000"/>
            <w:right w:val="single" w:sz="8" w:space="0" w:color="auto"/>
          </w:tcBorders>
          <w:shd w:val="clear" w:color="auto" w:fill="auto"/>
          <w:vAlign w:val="center"/>
          <w:hideMark/>
        </w:tcPr>
        <w:p w14:paraId="21C8B499"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110</w:t>
          </w:r>
        </w:p>
      </w:tc>
      <w:tc>
        <w:tcPr>
          <w:tcW w:w="698" w:type="dxa"/>
          <w:vMerge w:val="restart"/>
          <w:tcBorders>
            <w:top w:val="nil"/>
            <w:left w:val="single" w:sz="8" w:space="0" w:color="auto"/>
            <w:bottom w:val="single" w:sz="8" w:space="0" w:color="000000"/>
            <w:right w:val="single" w:sz="8" w:space="0" w:color="auto"/>
          </w:tcBorders>
          <w:shd w:val="clear" w:color="auto" w:fill="auto"/>
          <w:vAlign w:val="center"/>
          <w:hideMark/>
        </w:tcPr>
        <w:p w14:paraId="2BC5140C"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29%</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hideMark/>
        </w:tcPr>
        <w:p w14:paraId="429EC842"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75</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hideMark/>
        </w:tcPr>
        <w:p w14:paraId="607552C8"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47</w:t>
          </w:r>
        </w:p>
      </w:tc>
      <w:tc>
        <w:tcPr>
          <w:tcW w:w="698" w:type="dxa"/>
          <w:vMerge w:val="restart"/>
          <w:tcBorders>
            <w:top w:val="nil"/>
            <w:left w:val="single" w:sz="8" w:space="0" w:color="auto"/>
            <w:bottom w:val="single" w:sz="8" w:space="0" w:color="000000"/>
            <w:right w:val="single" w:sz="8" w:space="0" w:color="auto"/>
          </w:tcBorders>
          <w:shd w:val="clear" w:color="auto" w:fill="auto"/>
          <w:vAlign w:val="center"/>
          <w:hideMark/>
        </w:tcPr>
        <w:p w14:paraId="0FF5B573"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63%</w:t>
          </w:r>
        </w:p>
      </w:tc>
    </w:tr>
    <w:tr w:rsidR="005F3FCF" w:rsidRPr="0020194F" w14:paraId="398C8082" w14:textId="77777777" w:rsidTr="005F3FCF">
      <w:tc>
        <w:tcPr>
          <w:tcW w:w="6608" w:type="dxa"/>
          <w:vMerge/>
          <w:vAlign w:val="center"/>
          <w:hideMark/>
        </w:tcPr>
        <w:p w14:paraId="618EED2E" w14:textId="77777777" w:rsidR="005F3FCF" w:rsidRPr="005F3FCF" w:rsidRDefault="005F3FCF" w:rsidP="005F3FCF">
          <w:pPr>
            <w:pStyle w:val="Title"/>
            <w:spacing w:after="120"/>
            <w:ind w:right="360"/>
            <w:jc w:val="left"/>
            <w:rPr>
              <w:rFonts w:ascii="Gotham Book" w:hAnsi="Gotham Book"/>
              <w:b/>
              <w:color w:val="404040"/>
              <w:sz w:val="22"/>
              <w:szCs w:val="22"/>
            </w:rPr>
          </w:pPr>
        </w:p>
      </w:tc>
      <w:tc>
        <w:tcPr>
          <w:tcW w:w="3328" w:type="dxa"/>
          <w:vAlign w:val="center"/>
          <w:hideMark/>
        </w:tcPr>
        <w:p w14:paraId="432DD59A"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H</w:t>
          </w:r>
        </w:p>
      </w:tc>
      <w:tc>
        <w:tcPr>
          <w:tcW w:w="621" w:type="dxa"/>
          <w:vMerge/>
          <w:tcBorders>
            <w:top w:val="nil"/>
            <w:left w:val="single" w:sz="8" w:space="0" w:color="auto"/>
            <w:bottom w:val="single" w:sz="8" w:space="0" w:color="000000"/>
            <w:right w:val="single" w:sz="8" w:space="0" w:color="auto"/>
          </w:tcBorders>
          <w:vAlign w:val="center"/>
          <w:hideMark/>
        </w:tcPr>
        <w:p w14:paraId="50685142" w14:textId="77777777" w:rsidR="005F3FCF" w:rsidRPr="009605B2" w:rsidRDefault="005F3FCF" w:rsidP="00816745">
          <w:pPr>
            <w:rPr>
              <w:rFonts w:ascii="Calibri" w:eastAsia="Times New Roman" w:hAnsi="Calibri"/>
              <w:color w:val="000000"/>
              <w:sz w:val="12"/>
              <w:szCs w:val="12"/>
            </w:rPr>
          </w:pPr>
        </w:p>
      </w:tc>
      <w:tc>
        <w:tcPr>
          <w:tcW w:w="2074" w:type="dxa"/>
          <w:vMerge/>
          <w:tcBorders>
            <w:top w:val="nil"/>
            <w:left w:val="single" w:sz="8" w:space="0" w:color="auto"/>
            <w:bottom w:val="single" w:sz="8" w:space="0" w:color="000000"/>
            <w:right w:val="single" w:sz="8" w:space="0" w:color="auto"/>
          </w:tcBorders>
          <w:vAlign w:val="center"/>
          <w:hideMark/>
        </w:tcPr>
        <w:p w14:paraId="4D02226C" w14:textId="77777777" w:rsidR="005F3FCF" w:rsidRPr="009605B2" w:rsidRDefault="005F3FCF" w:rsidP="00816745">
          <w:pPr>
            <w:rPr>
              <w:rFonts w:ascii="Calibri" w:eastAsia="Times New Roman" w:hAnsi="Calibri"/>
              <w:color w:val="000000"/>
              <w:sz w:val="12"/>
              <w:szCs w:val="12"/>
            </w:rPr>
          </w:pPr>
        </w:p>
      </w:tc>
      <w:tc>
        <w:tcPr>
          <w:tcW w:w="788" w:type="dxa"/>
          <w:vMerge/>
          <w:tcBorders>
            <w:top w:val="nil"/>
            <w:left w:val="single" w:sz="8" w:space="0" w:color="auto"/>
            <w:bottom w:val="single" w:sz="8" w:space="0" w:color="000000"/>
            <w:right w:val="single" w:sz="8" w:space="0" w:color="auto"/>
          </w:tcBorders>
          <w:vAlign w:val="center"/>
          <w:hideMark/>
        </w:tcPr>
        <w:p w14:paraId="65EF7415" w14:textId="77777777" w:rsidR="005F3FCF" w:rsidRPr="0020194F" w:rsidRDefault="005F3FCF" w:rsidP="00816745">
          <w:pPr>
            <w:rPr>
              <w:rFonts w:ascii="Calibri" w:eastAsia="Times New Roman" w:hAnsi="Calibri"/>
              <w:color w:val="000000"/>
              <w:sz w:val="12"/>
              <w:szCs w:val="12"/>
            </w:rPr>
          </w:pPr>
        </w:p>
      </w:tc>
      <w:tc>
        <w:tcPr>
          <w:tcW w:w="763" w:type="dxa"/>
          <w:vMerge/>
          <w:tcBorders>
            <w:top w:val="nil"/>
            <w:left w:val="single" w:sz="8" w:space="0" w:color="auto"/>
            <w:bottom w:val="single" w:sz="8" w:space="0" w:color="000000"/>
            <w:right w:val="single" w:sz="8" w:space="0" w:color="auto"/>
          </w:tcBorders>
          <w:vAlign w:val="center"/>
          <w:hideMark/>
        </w:tcPr>
        <w:p w14:paraId="2E452438" w14:textId="77777777" w:rsidR="005F3FCF" w:rsidRPr="0020194F" w:rsidRDefault="005F3FCF" w:rsidP="00816745">
          <w:pPr>
            <w:rPr>
              <w:rFonts w:ascii="Calibri" w:eastAsia="Times New Roman" w:hAnsi="Calibri"/>
              <w:color w:val="000000"/>
              <w:sz w:val="12"/>
              <w:szCs w:val="12"/>
            </w:rPr>
          </w:pPr>
        </w:p>
      </w:tc>
      <w:tc>
        <w:tcPr>
          <w:tcW w:w="763" w:type="dxa"/>
          <w:vMerge/>
          <w:tcBorders>
            <w:top w:val="nil"/>
            <w:left w:val="single" w:sz="8" w:space="0" w:color="auto"/>
            <w:bottom w:val="single" w:sz="8" w:space="0" w:color="000000"/>
            <w:right w:val="single" w:sz="8" w:space="0" w:color="auto"/>
          </w:tcBorders>
          <w:vAlign w:val="center"/>
          <w:hideMark/>
        </w:tcPr>
        <w:p w14:paraId="2D8B42F9" w14:textId="77777777" w:rsidR="005F3FCF" w:rsidRPr="0020194F" w:rsidRDefault="005F3FCF" w:rsidP="00816745">
          <w:pPr>
            <w:rPr>
              <w:rFonts w:ascii="Calibri" w:eastAsia="Times New Roman" w:hAnsi="Calibri"/>
              <w:color w:val="000000"/>
              <w:sz w:val="12"/>
              <w:szCs w:val="12"/>
            </w:rPr>
          </w:pPr>
        </w:p>
      </w:tc>
      <w:tc>
        <w:tcPr>
          <w:tcW w:w="698" w:type="dxa"/>
          <w:vMerge/>
          <w:tcBorders>
            <w:top w:val="nil"/>
            <w:left w:val="single" w:sz="8" w:space="0" w:color="auto"/>
            <w:bottom w:val="single" w:sz="8" w:space="0" w:color="000000"/>
            <w:right w:val="single" w:sz="8" w:space="0" w:color="auto"/>
          </w:tcBorders>
          <w:vAlign w:val="center"/>
          <w:hideMark/>
        </w:tcPr>
        <w:p w14:paraId="52952100" w14:textId="77777777" w:rsidR="005F3FCF" w:rsidRPr="0020194F" w:rsidRDefault="005F3FCF" w:rsidP="00816745">
          <w:pPr>
            <w:rPr>
              <w:rFonts w:ascii="Calibri" w:eastAsia="Times New Roman" w:hAnsi="Calibri"/>
              <w:color w:val="000000"/>
              <w:sz w:val="12"/>
              <w:szCs w:val="12"/>
            </w:rPr>
          </w:pPr>
        </w:p>
      </w:tc>
      <w:tc>
        <w:tcPr>
          <w:tcW w:w="672" w:type="dxa"/>
          <w:vMerge/>
          <w:tcBorders>
            <w:top w:val="nil"/>
            <w:left w:val="single" w:sz="8" w:space="0" w:color="auto"/>
            <w:bottom w:val="single" w:sz="8" w:space="0" w:color="000000"/>
            <w:right w:val="single" w:sz="8" w:space="0" w:color="auto"/>
          </w:tcBorders>
          <w:vAlign w:val="center"/>
          <w:hideMark/>
        </w:tcPr>
        <w:p w14:paraId="3E1FCEF9" w14:textId="77777777" w:rsidR="005F3FCF" w:rsidRPr="0020194F" w:rsidRDefault="005F3FCF" w:rsidP="00816745">
          <w:pPr>
            <w:rPr>
              <w:rFonts w:ascii="Calibri" w:eastAsia="Times New Roman" w:hAnsi="Calibri"/>
              <w:color w:val="000000"/>
              <w:sz w:val="12"/>
              <w:szCs w:val="12"/>
            </w:rPr>
          </w:pPr>
        </w:p>
      </w:tc>
      <w:tc>
        <w:tcPr>
          <w:tcW w:w="672" w:type="dxa"/>
          <w:vMerge/>
          <w:tcBorders>
            <w:top w:val="nil"/>
            <w:left w:val="single" w:sz="8" w:space="0" w:color="auto"/>
            <w:bottom w:val="single" w:sz="8" w:space="0" w:color="000000"/>
            <w:right w:val="single" w:sz="8" w:space="0" w:color="auto"/>
          </w:tcBorders>
          <w:vAlign w:val="center"/>
          <w:hideMark/>
        </w:tcPr>
        <w:p w14:paraId="6553F55B" w14:textId="77777777" w:rsidR="005F3FCF" w:rsidRPr="0020194F" w:rsidRDefault="005F3FCF" w:rsidP="00816745">
          <w:pPr>
            <w:rPr>
              <w:rFonts w:ascii="Calibri" w:eastAsia="Times New Roman" w:hAnsi="Calibri"/>
              <w:color w:val="000000"/>
              <w:sz w:val="12"/>
              <w:szCs w:val="12"/>
            </w:rPr>
          </w:pPr>
        </w:p>
      </w:tc>
      <w:tc>
        <w:tcPr>
          <w:tcW w:w="698" w:type="dxa"/>
          <w:vMerge/>
          <w:tcBorders>
            <w:top w:val="nil"/>
            <w:left w:val="single" w:sz="8" w:space="0" w:color="auto"/>
            <w:bottom w:val="single" w:sz="8" w:space="0" w:color="000000"/>
            <w:right w:val="single" w:sz="8" w:space="0" w:color="auto"/>
          </w:tcBorders>
          <w:vAlign w:val="center"/>
          <w:hideMark/>
        </w:tcPr>
        <w:p w14:paraId="60F88829" w14:textId="77777777" w:rsidR="005F3FCF" w:rsidRPr="0020194F" w:rsidRDefault="005F3FCF" w:rsidP="00816745">
          <w:pPr>
            <w:rPr>
              <w:rFonts w:ascii="Calibri" w:eastAsia="Times New Roman" w:hAnsi="Calibri"/>
              <w:color w:val="000000"/>
              <w:sz w:val="12"/>
              <w:szCs w:val="12"/>
            </w:rPr>
          </w:pPr>
        </w:p>
      </w:tc>
    </w:tr>
    <w:tr w:rsidR="005F3FCF" w:rsidRPr="009605B2" w14:paraId="744AB8E8" w14:textId="77777777" w:rsidTr="005F3FCF">
      <w:tc>
        <w:tcPr>
          <w:tcW w:w="6608" w:type="dxa"/>
          <w:vMerge/>
          <w:vAlign w:val="center"/>
          <w:hideMark/>
        </w:tcPr>
        <w:p w14:paraId="5E2ADF7B" w14:textId="77777777" w:rsidR="005F3FCF" w:rsidRPr="005F3FCF" w:rsidRDefault="005F3FCF" w:rsidP="005F3FCF">
          <w:pPr>
            <w:pStyle w:val="Title"/>
            <w:spacing w:after="120"/>
            <w:ind w:right="360"/>
            <w:jc w:val="left"/>
            <w:rPr>
              <w:rFonts w:ascii="Gotham Book" w:hAnsi="Gotham Book"/>
              <w:b/>
              <w:color w:val="404040"/>
              <w:sz w:val="22"/>
              <w:szCs w:val="22"/>
            </w:rPr>
          </w:pPr>
        </w:p>
      </w:tc>
      <w:tc>
        <w:tcPr>
          <w:tcW w:w="3328" w:type="dxa"/>
          <w:vAlign w:val="center"/>
          <w:hideMark/>
        </w:tcPr>
        <w:p w14:paraId="2DCC4CDF"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NHSN</w:t>
          </w:r>
        </w:p>
      </w:tc>
      <w:tc>
        <w:tcPr>
          <w:tcW w:w="621" w:type="dxa"/>
          <w:vMerge/>
          <w:tcBorders>
            <w:top w:val="nil"/>
            <w:left w:val="single" w:sz="8" w:space="0" w:color="auto"/>
            <w:bottom w:val="single" w:sz="8" w:space="0" w:color="000000"/>
            <w:right w:val="single" w:sz="8" w:space="0" w:color="auto"/>
          </w:tcBorders>
          <w:vAlign w:val="center"/>
          <w:hideMark/>
        </w:tcPr>
        <w:p w14:paraId="11ADE307" w14:textId="77777777" w:rsidR="005F3FCF" w:rsidRPr="009605B2" w:rsidRDefault="005F3FCF" w:rsidP="00816745">
          <w:pPr>
            <w:rPr>
              <w:rFonts w:ascii="Calibri" w:eastAsia="Times New Roman" w:hAnsi="Calibri"/>
              <w:color w:val="000000"/>
              <w:sz w:val="12"/>
              <w:szCs w:val="12"/>
            </w:rPr>
          </w:pPr>
        </w:p>
      </w:tc>
      <w:tc>
        <w:tcPr>
          <w:tcW w:w="2074" w:type="dxa"/>
          <w:vMerge/>
          <w:tcBorders>
            <w:top w:val="nil"/>
            <w:left w:val="single" w:sz="8" w:space="0" w:color="auto"/>
            <w:bottom w:val="single" w:sz="8" w:space="0" w:color="000000"/>
            <w:right w:val="single" w:sz="8" w:space="0" w:color="auto"/>
          </w:tcBorders>
          <w:vAlign w:val="center"/>
          <w:hideMark/>
        </w:tcPr>
        <w:p w14:paraId="56EB391E" w14:textId="77777777" w:rsidR="005F3FCF" w:rsidRPr="009605B2" w:rsidRDefault="005F3FCF" w:rsidP="00816745">
          <w:pPr>
            <w:rPr>
              <w:rFonts w:ascii="Calibri" w:eastAsia="Times New Roman" w:hAnsi="Calibri"/>
              <w:color w:val="000000"/>
              <w:sz w:val="12"/>
              <w:szCs w:val="12"/>
            </w:rPr>
          </w:pPr>
        </w:p>
      </w:tc>
      <w:tc>
        <w:tcPr>
          <w:tcW w:w="788" w:type="dxa"/>
          <w:vMerge/>
          <w:tcBorders>
            <w:top w:val="nil"/>
            <w:left w:val="single" w:sz="8" w:space="0" w:color="auto"/>
            <w:bottom w:val="single" w:sz="8" w:space="0" w:color="000000"/>
            <w:right w:val="single" w:sz="8" w:space="0" w:color="auto"/>
          </w:tcBorders>
          <w:vAlign w:val="center"/>
          <w:hideMark/>
        </w:tcPr>
        <w:p w14:paraId="18FB08DF" w14:textId="77777777" w:rsidR="005F3FCF" w:rsidRPr="009605B2" w:rsidRDefault="005F3FCF" w:rsidP="00816745">
          <w:pPr>
            <w:rPr>
              <w:rFonts w:ascii="Calibri" w:eastAsia="Times New Roman" w:hAnsi="Calibri"/>
              <w:color w:val="000000"/>
              <w:sz w:val="12"/>
              <w:szCs w:val="12"/>
            </w:rPr>
          </w:pPr>
        </w:p>
      </w:tc>
      <w:tc>
        <w:tcPr>
          <w:tcW w:w="763" w:type="dxa"/>
          <w:vMerge/>
          <w:tcBorders>
            <w:top w:val="nil"/>
            <w:left w:val="single" w:sz="8" w:space="0" w:color="auto"/>
            <w:bottom w:val="single" w:sz="8" w:space="0" w:color="000000"/>
            <w:right w:val="single" w:sz="8" w:space="0" w:color="auto"/>
          </w:tcBorders>
          <w:vAlign w:val="center"/>
          <w:hideMark/>
        </w:tcPr>
        <w:p w14:paraId="719005BC" w14:textId="77777777" w:rsidR="005F3FCF" w:rsidRPr="00A60631" w:rsidRDefault="005F3FCF" w:rsidP="00816745">
          <w:pPr>
            <w:rPr>
              <w:rFonts w:ascii="Calibri" w:eastAsia="Times New Roman" w:hAnsi="Calibri"/>
              <w:color w:val="000000"/>
              <w:sz w:val="12"/>
              <w:szCs w:val="12"/>
              <w:highlight w:val="yellow"/>
            </w:rPr>
          </w:pPr>
        </w:p>
      </w:tc>
      <w:tc>
        <w:tcPr>
          <w:tcW w:w="763" w:type="dxa"/>
          <w:vMerge/>
          <w:tcBorders>
            <w:top w:val="nil"/>
            <w:left w:val="single" w:sz="8" w:space="0" w:color="auto"/>
            <w:bottom w:val="single" w:sz="8" w:space="0" w:color="000000"/>
            <w:right w:val="single" w:sz="8" w:space="0" w:color="auto"/>
          </w:tcBorders>
          <w:vAlign w:val="center"/>
          <w:hideMark/>
        </w:tcPr>
        <w:p w14:paraId="3D38FC60" w14:textId="77777777" w:rsidR="005F3FCF" w:rsidRPr="00A60631" w:rsidRDefault="005F3FCF" w:rsidP="00816745">
          <w:pPr>
            <w:rPr>
              <w:rFonts w:ascii="Calibri" w:eastAsia="Times New Roman" w:hAnsi="Calibri"/>
              <w:color w:val="000000"/>
              <w:sz w:val="12"/>
              <w:szCs w:val="12"/>
              <w:highlight w:val="yellow"/>
            </w:rPr>
          </w:pPr>
        </w:p>
      </w:tc>
      <w:tc>
        <w:tcPr>
          <w:tcW w:w="698" w:type="dxa"/>
          <w:vMerge/>
          <w:tcBorders>
            <w:top w:val="nil"/>
            <w:left w:val="single" w:sz="8" w:space="0" w:color="auto"/>
            <w:bottom w:val="single" w:sz="8" w:space="0" w:color="000000"/>
            <w:right w:val="single" w:sz="8" w:space="0" w:color="auto"/>
          </w:tcBorders>
          <w:vAlign w:val="center"/>
          <w:hideMark/>
        </w:tcPr>
        <w:p w14:paraId="4E36CB1C" w14:textId="77777777" w:rsidR="005F3FCF" w:rsidRPr="00A60631" w:rsidRDefault="005F3FCF" w:rsidP="00816745">
          <w:pPr>
            <w:rPr>
              <w:rFonts w:ascii="Calibri" w:eastAsia="Times New Roman" w:hAnsi="Calibri"/>
              <w:color w:val="000000"/>
              <w:sz w:val="12"/>
              <w:szCs w:val="12"/>
              <w:highlight w:val="yellow"/>
            </w:rPr>
          </w:pPr>
        </w:p>
      </w:tc>
      <w:tc>
        <w:tcPr>
          <w:tcW w:w="672" w:type="dxa"/>
          <w:vMerge/>
          <w:tcBorders>
            <w:top w:val="nil"/>
            <w:left w:val="single" w:sz="8" w:space="0" w:color="auto"/>
            <w:bottom w:val="single" w:sz="8" w:space="0" w:color="000000"/>
            <w:right w:val="single" w:sz="8" w:space="0" w:color="auto"/>
          </w:tcBorders>
          <w:vAlign w:val="center"/>
          <w:hideMark/>
        </w:tcPr>
        <w:p w14:paraId="271AE204" w14:textId="77777777" w:rsidR="005F3FCF" w:rsidRPr="009605B2" w:rsidRDefault="005F3FCF" w:rsidP="00816745">
          <w:pPr>
            <w:rPr>
              <w:rFonts w:ascii="Calibri" w:eastAsia="Times New Roman" w:hAnsi="Calibri"/>
              <w:color w:val="000000"/>
              <w:sz w:val="12"/>
              <w:szCs w:val="12"/>
            </w:rPr>
          </w:pPr>
        </w:p>
      </w:tc>
      <w:tc>
        <w:tcPr>
          <w:tcW w:w="672" w:type="dxa"/>
          <w:vMerge/>
          <w:tcBorders>
            <w:top w:val="nil"/>
            <w:left w:val="single" w:sz="8" w:space="0" w:color="auto"/>
            <w:bottom w:val="single" w:sz="8" w:space="0" w:color="000000"/>
            <w:right w:val="single" w:sz="8" w:space="0" w:color="auto"/>
          </w:tcBorders>
          <w:vAlign w:val="center"/>
          <w:hideMark/>
        </w:tcPr>
        <w:p w14:paraId="4D5D7C0F" w14:textId="77777777" w:rsidR="005F3FCF" w:rsidRPr="009605B2" w:rsidRDefault="005F3FCF" w:rsidP="00816745">
          <w:pPr>
            <w:rPr>
              <w:rFonts w:ascii="Calibri" w:eastAsia="Times New Roman" w:hAnsi="Calibri"/>
              <w:color w:val="000000"/>
              <w:sz w:val="12"/>
              <w:szCs w:val="12"/>
            </w:rPr>
          </w:pPr>
        </w:p>
      </w:tc>
      <w:tc>
        <w:tcPr>
          <w:tcW w:w="698" w:type="dxa"/>
          <w:vMerge/>
          <w:tcBorders>
            <w:top w:val="nil"/>
            <w:left w:val="single" w:sz="8" w:space="0" w:color="auto"/>
            <w:bottom w:val="single" w:sz="8" w:space="0" w:color="000000"/>
            <w:right w:val="single" w:sz="8" w:space="0" w:color="auto"/>
          </w:tcBorders>
          <w:vAlign w:val="center"/>
          <w:hideMark/>
        </w:tcPr>
        <w:p w14:paraId="166D25AA" w14:textId="77777777" w:rsidR="005F3FCF" w:rsidRPr="009605B2" w:rsidRDefault="005F3FCF" w:rsidP="00816745">
          <w:pPr>
            <w:rPr>
              <w:rFonts w:ascii="Calibri" w:eastAsia="Times New Roman" w:hAnsi="Calibri"/>
              <w:color w:val="000000"/>
              <w:sz w:val="12"/>
              <w:szCs w:val="12"/>
            </w:rPr>
          </w:pPr>
        </w:p>
      </w:tc>
    </w:tr>
    <w:tr w:rsidR="005F3FCF" w:rsidRPr="009605B2" w14:paraId="01A74B81" w14:textId="77777777" w:rsidTr="005F3FCF">
      <w:tc>
        <w:tcPr>
          <w:tcW w:w="6608" w:type="dxa"/>
          <w:vMerge w:val="restart"/>
          <w:vAlign w:val="center"/>
          <w:hideMark/>
        </w:tcPr>
        <w:p w14:paraId="71A4876D" w14:textId="77777777" w:rsidR="005F3FCF" w:rsidRPr="009605B2" w:rsidRDefault="005F3FCF" w:rsidP="005F3FCF">
          <w:pPr>
            <w:pStyle w:val="Title"/>
            <w:spacing w:after="120"/>
            <w:ind w:right="360"/>
            <w:jc w:val="left"/>
            <w:rPr>
              <w:rFonts w:ascii="Calibri" w:eastAsia="Times New Roman" w:hAnsi="Calibri"/>
              <w:color w:val="000000"/>
              <w:sz w:val="12"/>
              <w:szCs w:val="12"/>
            </w:rPr>
          </w:pPr>
          <w:r w:rsidRPr="005F3FCF">
            <w:rPr>
              <w:rFonts w:ascii="Gotham Book" w:hAnsi="Gotham Book"/>
              <w:b/>
              <w:color w:val="404040"/>
              <w:sz w:val="22"/>
              <w:szCs w:val="22"/>
            </w:rPr>
            <w:t xml:space="preserve">Provide </w:t>
          </w:r>
          <w:r w:rsidRPr="009605B2">
            <w:rPr>
              <w:rFonts w:ascii="Calibri" w:eastAsia="Times New Roman" w:hAnsi="Calibri"/>
              <w:color w:val="000000"/>
              <w:sz w:val="12"/>
              <w:szCs w:val="12"/>
            </w:rPr>
            <w:t>Housing &amp; Services for Persons w/ HIV/AIDS</w:t>
          </w:r>
        </w:p>
      </w:tc>
      <w:tc>
        <w:tcPr>
          <w:tcW w:w="3328" w:type="dxa"/>
          <w:vAlign w:val="center"/>
          <w:hideMark/>
        </w:tcPr>
        <w:p w14:paraId="4FEC5735"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AH</w:t>
          </w:r>
        </w:p>
      </w:tc>
      <w:tc>
        <w:tcPr>
          <w:tcW w:w="621" w:type="dxa"/>
          <w:vMerge w:val="restart"/>
          <w:tcBorders>
            <w:top w:val="nil"/>
            <w:left w:val="single" w:sz="8" w:space="0" w:color="auto"/>
            <w:bottom w:val="single" w:sz="8" w:space="0" w:color="000000"/>
            <w:right w:val="single" w:sz="8" w:space="0" w:color="auto"/>
          </w:tcBorders>
          <w:shd w:val="clear" w:color="auto" w:fill="auto"/>
          <w:vAlign w:val="center"/>
          <w:hideMark/>
        </w:tcPr>
        <w:p w14:paraId="38DA7AC6"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 xml:space="preserve">HOPWA </w:t>
          </w:r>
        </w:p>
      </w:tc>
      <w:tc>
        <w:tcPr>
          <w:tcW w:w="2074" w:type="dxa"/>
          <w:vMerge w:val="restart"/>
          <w:tcBorders>
            <w:top w:val="nil"/>
            <w:left w:val="single" w:sz="8" w:space="0" w:color="auto"/>
            <w:bottom w:val="single" w:sz="8" w:space="0" w:color="000000"/>
            <w:right w:val="single" w:sz="8" w:space="0" w:color="auto"/>
          </w:tcBorders>
          <w:shd w:val="clear" w:color="auto" w:fill="auto"/>
          <w:vAlign w:val="center"/>
          <w:hideMark/>
        </w:tcPr>
        <w:p w14:paraId="30A4D4B3" w14:textId="77777777" w:rsidR="005F3FCF" w:rsidRPr="009605B2" w:rsidRDefault="005F3FCF" w:rsidP="00816745">
          <w:pPr>
            <w:rPr>
              <w:rFonts w:ascii="Calibri" w:eastAsia="Times New Roman" w:hAnsi="Calibri"/>
              <w:color w:val="000000"/>
              <w:sz w:val="12"/>
              <w:szCs w:val="12"/>
            </w:rPr>
          </w:pPr>
          <w:r w:rsidRPr="009605B2">
            <w:rPr>
              <w:rFonts w:ascii="Calibri" w:eastAsia="Times New Roman" w:hAnsi="Calibri"/>
              <w:color w:val="000000"/>
              <w:sz w:val="12"/>
              <w:szCs w:val="12"/>
            </w:rPr>
            <w:t>Tenant-based rental assistance / Rapid Rehousing</w:t>
          </w:r>
        </w:p>
      </w:tc>
      <w:tc>
        <w:tcPr>
          <w:tcW w:w="788" w:type="dxa"/>
          <w:vMerge w:val="restart"/>
          <w:tcBorders>
            <w:top w:val="nil"/>
            <w:left w:val="single" w:sz="8" w:space="0" w:color="auto"/>
            <w:bottom w:val="single" w:sz="8" w:space="0" w:color="000000"/>
            <w:right w:val="single" w:sz="8" w:space="0" w:color="auto"/>
          </w:tcBorders>
          <w:shd w:val="clear" w:color="auto" w:fill="auto"/>
          <w:vAlign w:val="center"/>
          <w:hideMark/>
        </w:tcPr>
        <w:p w14:paraId="3E80978B" w14:textId="77777777" w:rsidR="005F3FCF" w:rsidRPr="009605B2" w:rsidRDefault="005F3FCF" w:rsidP="00816745">
          <w:pPr>
            <w:jc w:val="center"/>
            <w:rPr>
              <w:rFonts w:ascii="Calibri" w:eastAsia="Times New Roman" w:hAnsi="Calibri"/>
              <w:color w:val="000000"/>
              <w:sz w:val="12"/>
              <w:szCs w:val="12"/>
            </w:rPr>
          </w:pPr>
          <w:r w:rsidRPr="009605B2">
            <w:rPr>
              <w:rFonts w:ascii="Calibri" w:eastAsia="Times New Roman" w:hAnsi="Calibri"/>
              <w:color w:val="000000"/>
              <w:sz w:val="12"/>
              <w:szCs w:val="12"/>
            </w:rPr>
            <w:t>Households Assisted</w:t>
          </w:r>
        </w:p>
      </w:tc>
      <w:tc>
        <w:tcPr>
          <w:tcW w:w="763" w:type="dxa"/>
          <w:vMerge w:val="restart"/>
          <w:tcBorders>
            <w:top w:val="nil"/>
            <w:left w:val="single" w:sz="8" w:space="0" w:color="auto"/>
            <w:bottom w:val="single" w:sz="8" w:space="0" w:color="000000"/>
            <w:right w:val="single" w:sz="8" w:space="0" w:color="auto"/>
          </w:tcBorders>
          <w:shd w:val="clear" w:color="auto" w:fill="auto"/>
          <w:vAlign w:val="center"/>
          <w:hideMark/>
        </w:tcPr>
        <w:p w14:paraId="66427208" w14:textId="77777777" w:rsidR="005F3FCF" w:rsidRPr="00A60631" w:rsidRDefault="005F3FCF" w:rsidP="00816745">
          <w:pPr>
            <w:jc w:val="center"/>
            <w:rPr>
              <w:rFonts w:ascii="Calibri" w:eastAsia="Times New Roman" w:hAnsi="Calibri"/>
              <w:color w:val="000000"/>
              <w:sz w:val="12"/>
              <w:szCs w:val="12"/>
            </w:rPr>
          </w:pPr>
          <w:r w:rsidRPr="00A60631">
            <w:rPr>
              <w:rFonts w:ascii="Calibri" w:eastAsia="Times New Roman" w:hAnsi="Calibri"/>
              <w:color w:val="000000"/>
              <w:sz w:val="12"/>
              <w:szCs w:val="12"/>
            </w:rPr>
            <w:t>150</w:t>
          </w:r>
        </w:p>
      </w:tc>
      <w:tc>
        <w:tcPr>
          <w:tcW w:w="763" w:type="dxa"/>
          <w:vMerge w:val="restart"/>
          <w:tcBorders>
            <w:top w:val="nil"/>
            <w:left w:val="single" w:sz="8" w:space="0" w:color="auto"/>
            <w:bottom w:val="single" w:sz="8" w:space="0" w:color="000000"/>
            <w:right w:val="single" w:sz="8" w:space="0" w:color="auto"/>
          </w:tcBorders>
          <w:shd w:val="clear" w:color="auto" w:fill="auto"/>
          <w:vAlign w:val="center"/>
          <w:hideMark/>
        </w:tcPr>
        <w:p w14:paraId="1E1D8223" w14:textId="77777777" w:rsidR="005F3FCF" w:rsidRPr="00A60631" w:rsidRDefault="005F3FCF" w:rsidP="00816745">
          <w:pPr>
            <w:jc w:val="center"/>
            <w:rPr>
              <w:rFonts w:ascii="Calibri" w:eastAsia="Times New Roman" w:hAnsi="Calibri"/>
              <w:color w:val="000000"/>
              <w:sz w:val="12"/>
              <w:szCs w:val="12"/>
            </w:rPr>
          </w:pPr>
          <w:r>
            <w:rPr>
              <w:rFonts w:ascii="Calibri" w:eastAsia="Times New Roman" w:hAnsi="Calibri"/>
              <w:color w:val="000000"/>
              <w:sz w:val="12"/>
              <w:szCs w:val="12"/>
            </w:rPr>
            <w:t>115</w:t>
          </w:r>
        </w:p>
      </w:tc>
      <w:tc>
        <w:tcPr>
          <w:tcW w:w="698" w:type="dxa"/>
          <w:vMerge w:val="restart"/>
          <w:tcBorders>
            <w:top w:val="nil"/>
            <w:left w:val="single" w:sz="8" w:space="0" w:color="auto"/>
            <w:bottom w:val="single" w:sz="8" w:space="0" w:color="000000"/>
            <w:right w:val="single" w:sz="8" w:space="0" w:color="auto"/>
          </w:tcBorders>
          <w:shd w:val="clear" w:color="auto" w:fill="auto"/>
          <w:vAlign w:val="center"/>
          <w:hideMark/>
        </w:tcPr>
        <w:p w14:paraId="6D163B66" w14:textId="77777777" w:rsidR="005F3FCF" w:rsidRPr="00A60631" w:rsidRDefault="005F3FCF" w:rsidP="00816745">
          <w:pPr>
            <w:jc w:val="center"/>
            <w:rPr>
              <w:rFonts w:ascii="Calibri" w:eastAsia="Times New Roman" w:hAnsi="Calibri"/>
              <w:color w:val="000000"/>
              <w:sz w:val="12"/>
              <w:szCs w:val="12"/>
            </w:rPr>
          </w:pPr>
          <w:r>
            <w:rPr>
              <w:rFonts w:ascii="Calibri" w:eastAsia="Times New Roman" w:hAnsi="Calibri"/>
              <w:color w:val="000000"/>
              <w:sz w:val="12"/>
              <w:szCs w:val="12"/>
            </w:rPr>
            <w:t>77</w:t>
          </w:r>
          <w:r w:rsidRPr="00A60631">
            <w:rPr>
              <w:rFonts w:ascii="Calibri" w:eastAsia="Times New Roman" w:hAnsi="Calibri"/>
              <w:color w:val="000000"/>
              <w:sz w:val="12"/>
              <w:szCs w:val="12"/>
            </w:rPr>
            <w:t>%</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hideMark/>
        </w:tcPr>
        <w:p w14:paraId="08F1AB39" w14:textId="77777777" w:rsidR="005F3FCF" w:rsidRPr="009605B2" w:rsidRDefault="005F3FCF" w:rsidP="00816745">
          <w:pPr>
            <w:jc w:val="center"/>
            <w:rPr>
              <w:rFonts w:ascii="Calibri" w:eastAsia="Times New Roman" w:hAnsi="Calibri"/>
              <w:color w:val="000000"/>
              <w:sz w:val="12"/>
              <w:szCs w:val="12"/>
            </w:rPr>
          </w:pPr>
          <w:r>
            <w:rPr>
              <w:rFonts w:ascii="Calibri" w:eastAsia="Times New Roman" w:hAnsi="Calibri"/>
              <w:color w:val="000000"/>
              <w:sz w:val="12"/>
              <w:szCs w:val="12"/>
            </w:rPr>
            <w:t>30</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hideMark/>
        </w:tcPr>
        <w:p w14:paraId="3A42643A" w14:textId="77777777" w:rsidR="005F3FCF" w:rsidRPr="009605B2" w:rsidRDefault="005F3FCF" w:rsidP="00816745">
          <w:pPr>
            <w:jc w:val="center"/>
            <w:rPr>
              <w:rFonts w:ascii="Calibri" w:eastAsia="Times New Roman" w:hAnsi="Calibri"/>
              <w:color w:val="000000"/>
              <w:sz w:val="12"/>
              <w:szCs w:val="12"/>
            </w:rPr>
          </w:pPr>
          <w:r>
            <w:rPr>
              <w:rFonts w:ascii="Calibri" w:eastAsia="Times New Roman" w:hAnsi="Calibri"/>
              <w:color w:val="000000"/>
              <w:sz w:val="12"/>
              <w:szCs w:val="12"/>
            </w:rPr>
            <w:t>41</w:t>
          </w:r>
        </w:p>
      </w:tc>
      <w:tc>
        <w:tcPr>
          <w:tcW w:w="698" w:type="dxa"/>
          <w:vMerge w:val="restart"/>
          <w:tcBorders>
            <w:top w:val="nil"/>
            <w:left w:val="single" w:sz="8" w:space="0" w:color="auto"/>
            <w:bottom w:val="single" w:sz="8" w:space="0" w:color="000000"/>
            <w:right w:val="single" w:sz="8" w:space="0" w:color="auto"/>
          </w:tcBorders>
          <w:shd w:val="clear" w:color="auto" w:fill="auto"/>
          <w:vAlign w:val="center"/>
          <w:hideMark/>
        </w:tcPr>
        <w:p w14:paraId="200BD997" w14:textId="77777777" w:rsidR="005F3FCF" w:rsidRPr="009605B2" w:rsidRDefault="005F3FCF" w:rsidP="00816745">
          <w:pPr>
            <w:jc w:val="center"/>
            <w:rPr>
              <w:rFonts w:ascii="Calibri" w:eastAsia="Times New Roman" w:hAnsi="Calibri"/>
              <w:color w:val="000000"/>
              <w:sz w:val="12"/>
              <w:szCs w:val="12"/>
            </w:rPr>
          </w:pPr>
          <w:r>
            <w:rPr>
              <w:rFonts w:ascii="Calibri" w:eastAsia="Times New Roman" w:hAnsi="Calibri"/>
              <w:color w:val="000000"/>
              <w:sz w:val="12"/>
              <w:szCs w:val="12"/>
            </w:rPr>
            <w:t>137</w:t>
          </w:r>
          <w:r w:rsidRPr="009605B2">
            <w:rPr>
              <w:rFonts w:ascii="Calibri" w:eastAsia="Times New Roman" w:hAnsi="Calibri"/>
              <w:color w:val="000000"/>
              <w:sz w:val="12"/>
              <w:szCs w:val="12"/>
            </w:rPr>
            <w:t>%</w:t>
          </w:r>
        </w:p>
      </w:tc>
    </w:tr>
    <w:tr w:rsidR="005F3FCF" w:rsidRPr="009605B2" w14:paraId="0286B615" w14:textId="77777777" w:rsidTr="005F3FCF">
      <w:tc>
        <w:tcPr>
          <w:tcW w:w="6608" w:type="dxa"/>
          <w:vMerge/>
          <w:vAlign w:val="center"/>
          <w:hideMark/>
        </w:tcPr>
        <w:p w14:paraId="0A083895" w14:textId="77777777" w:rsidR="005F3FCF" w:rsidRPr="005F3FCF" w:rsidRDefault="005F3FCF" w:rsidP="005F3FCF">
          <w:pPr>
            <w:pStyle w:val="Title"/>
            <w:spacing w:after="120"/>
            <w:ind w:right="360"/>
            <w:jc w:val="left"/>
            <w:rPr>
              <w:rFonts w:ascii="Gotham Book" w:hAnsi="Gotham Book"/>
              <w:b/>
              <w:color w:val="404040"/>
              <w:sz w:val="22"/>
              <w:szCs w:val="22"/>
            </w:rPr>
          </w:pPr>
        </w:p>
      </w:tc>
      <w:tc>
        <w:tcPr>
          <w:tcW w:w="3328" w:type="dxa"/>
          <w:vAlign w:val="center"/>
          <w:hideMark/>
        </w:tcPr>
        <w:p w14:paraId="786F5FC1"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H</w:t>
          </w:r>
        </w:p>
      </w:tc>
      <w:tc>
        <w:tcPr>
          <w:tcW w:w="621" w:type="dxa"/>
          <w:vMerge/>
          <w:tcBorders>
            <w:top w:val="nil"/>
            <w:left w:val="single" w:sz="8" w:space="0" w:color="auto"/>
            <w:bottom w:val="single" w:sz="8" w:space="0" w:color="000000"/>
            <w:right w:val="single" w:sz="8" w:space="0" w:color="auto"/>
          </w:tcBorders>
          <w:vAlign w:val="center"/>
          <w:hideMark/>
        </w:tcPr>
        <w:p w14:paraId="63B95A39" w14:textId="77777777" w:rsidR="005F3FCF" w:rsidRPr="009605B2" w:rsidRDefault="005F3FCF" w:rsidP="00816745">
          <w:pPr>
            <w:rPr>
              <w:rFonts w:ascii="Calibri" w:eastAsia="Times New Roman" w:hAnsi="Calibri"/>
              <w:color w:val="000000"/>
              <w:sz w:val="12"/>
              <w:szCs w:val="12"/>
            </w:rPr>
          </w:pPr>
        </w:p>
      </w:tc>
      <w:tc>
        <w:tcPr>
          <w:tcW w:w="2074" w:type="dxa"/>
          <w:vMerge/>
          <w:tcBorders>
            <w:top w:val="nil"/>
            <w:left w:val="single" w:sz="8" w:space="0" w:color="auto"/>
            <w:bottom w:val="single" w:sz="8" w:space="0" w:color="000000"/>
            <w:right w:val="single" w:sz="8" w:space="0" w:color="auto"/>
          </w:tcBorders>
          <w:vAlign w:val="center"/>
          <w:hideMark/>
        </w:tcPr>
        <w:p w14:paraId="58C71C8A" w14:textId="77777777" w:rsidR="005F3FCF" w:rsidRPr="009605B2" w:rsidRDefault="005F3FCF" w:rsidP="00816745">
          <w:pPr>
            <w:rPr>
              <w:rFonts w:ascii="Calibri" w:eastAsia="Times New Roman" w:hAnsi="Calibri"/>
              <w:color w:val="000000"/>
              <w:sz w:val="12"/>
              <w:szCs w:val="12"/>
            </w:rPr>
          </w:pPr>
        </w:p>
      </w:tc>
      <w:tc>
        <w:tcPr>
          <w:tcW w:w="788" w:type="dxa"/>
          <w:vMerge/>
          <w:tcBorders>
            <w:top w:val="nil"/>
            <w:left w:val="single" w:sz="8" w:space="0" w:color="auto"/>
            <w:bottom w:val="single" w:sz="8" w:space="0" w:color="000000"/>
            <w:right w:val="single" w:sz="8" w:space="0" w:color="auto"/>
          </w:tcBorders>
          <w:vAlign w:val="center"/>
          <w:hideMark/>
        </w:tcPr>
        <w:p w14:paraId="699EC02F" w14:textId="77777777" w:rsidR="005F3FCF" w:rsidRPr="009605B2" w:rsidRDefault="005F3FCF" w:rsidP="00816745">
          <w:pPr>
            <w:rPr>
              <w:rFonts w:ascii="Calibri" w:eastAsia="Times New Roman" w:hAnsi="Calibri"/>
              <w:color w:val="000000"/>
              <w:sz w:val="12"/>
              <w:szCs w:val="12"/>
            </w:rPr>
          </w:pPr>
        </w:p>
      </w:tc>
      <w:tc>
        <w:tcPr>
          <w:tcW w:w="763" w:type="dxa"/>
          <w:vMerge/>
          <w:tcBorders>
            <w:top w:val="nil"/>
            <w:left w:val="single" w:sz="8" w:space="0" w:color="auto"/>
            <w:bottom w:val="single" w:sz="8" w:space="0" w:color="000000"/>
            <w:right w:val="single" w:sz="8" w:space="0" w:color="auto"/>
          </w:tcBorders>
          <w:vAlign w:val="center"/>
          <w:hideMark/>
        </w:tcPr>
        <w:p w14:paraId="0A3FB40D" w14:textId="77777777" w:rsidR="005F3FCF" w:rsidRPr="00A60631" w:rsidRDefault="005F3FCF" w:rsidP="00816745">
          <w:pPr>
            <w:rPr>
              <w:rFonts w:ascii="Calibri" w:eastAsia="Times New Roman" w:hAnsi="Calibri"/>
              <w:color w:val="000000"/>
              <w:sz w:val="12"/>
              <w:szCs w:val="12"/>
              <w:highlight w:val="yellow"/>
            </w:rPr>
          </w:pPr>
        </w:p>
      </w:tc>
      <w:tc>
        <w:tcPr>
          <w:tcW w:w="763" w:type="dxa"/>
          <w:vMerge/>
          <w:tcBorders>
            <w:top w:val="nil"/>
            <w:left w:val="single" w:sz="8" w:space="0" w:color="auto"/>
            <w:bottom w:val="single" w:sz="8" w:space="0" w:color="000000"/>
            <w:right w:val="single" w:sz="8" w:space="0" w:color="auto"/>
          </w:tcBorders>
          <w:vAlign w:val="center"/>
          <w:hideMark/>
        </w:tcPr>
        <w:p w14:paraId="48EB1C8E" w14:textId="77777777" w:rsidR="005F3FCF" w:rsidRPr="00A60631" w:rsidRDefault="005F3FCF" w:rsidP="00816745">
          <w:pPr>
            <w:rPr>
              <w:rFonts w:ascii="Calibri" w:eastAsia="Times New Roman" w:hAnsi="Calibri"/>
              <w:color w:val="000000"/>
              <w:sz w:val="12"/>
              <w:szCs w:val="12"/>
              <w:highlight w:val="yellow"/>
            </w:rPr>
          </w:pPr>
        </w:p>
      </w:tc>
      <w:tc>
        <w:tcPr>
          <w:tcW w:w="698" w:type="dxa"/>
          <w:vMerge/>
          <w:tcBorders>
            <w:top w:val="nil"/>
            <w:left w:val="single" w:sz="8" w:space="0" w:color="auto"/>
            <w:bottom w:val="single" w:sz="8" w:space="0" w:color="000000"/>
            <w:right w:val="single" w:sz="8" w:space="0" w:color="auto"/>
          </w:tcBorders>
          <w:vAlign w:val="center"/>
          <w:hideMark/>
        </w:tcPr>
        <w:p w14:paraId="7EB35883" w14:textId="77777777" w:rsidR="005F3FCF" w:rsidRPr="00A60631" w:rsidRDefault="005F3FCF" w:rsidP="00816745">
          <w:pPr>
            <w:rPr>
              <w:rFonts w:ascii="Calibri" w:eastAsia="Times New Roman" w:hAnsi="Calibri"/>
              <w:color w:val="000000"/>
              <w:sz w:val="12"/>
              <w:szCs w:val="12"/>
              <w:highlight w:val="yellow"/>
            </w:rPr>
          </w:pPr>
        </w:p>
      </w:tc>
      <w:tc>
        <w:tcPr>
          <w:tcW w:w="672" w:type="dxa"/>
          <w:vMerge/>
          <w:tcBorders>
            <w:top w:val="nil"/>
            <w:left w:val="single" w:sz="8" w:space="0" w:color="auto"/>
            <w:bottom w:val="single" w:sz="8" w:space="0" w:color="000000"/>
            <w:right w:val="single" w:sz="8" w:space="0" w:color="auto"/>
          </w:tcBorders>
          <w:vAlign w:val="center"/>
          <w:hideMark/>
        </w:tcPr>
        <w:p w14:paraId="41578D21" w14:textId="77777777" w:rsidR="005F3FCF" w:rsidRPr="009605B2" w:rsidRDefault="005F3FCF" w:rsidP="00816745">
          <w:pPr>
            <w:rPr>
              <w:rFonts w:ascii="Calibri" w:eastAsia="Times New Roman" w:hAnsi="Calibri"/>
              <w:color w:val="000000"/>
              <w:sz w:val="12"/>
              <w:szCs w:val="12"/>
            </w:rPr>
          </w:pPr>
        </w:p>
      </w:tc>
      <w:tc>
        <w:tcPr>
          <w:tcW w:w="672" w:type="dxa"/>
          <w:vMerge/>
          <w:tcBorders>
            <w:top w:val="nil"/>
            <w:left w:val="single" w:sz="8" w:space="0" w:color="auto"/>
            <w:bottom w:val="single" w:sz="8" w:space="0" w:color="000000"/>
            <w:right w:val="single" w:sz="8" w:space="0" w:color="auto"/>
          </w:tcBorders>
          <w:vAlign w:val="center"/>
          <w:hideMark/>
        </w:tcPr>
        <w:p w14:paraId="56CE086C" w14:textId="77777777" w:rsidR="005F3FCF" w:rsidRPr="009605B2" w:rsidRDefault="005F3FCF" w:rsidP="00816745">
          <w:pPr>
            <w:rPr>
              <w:rFonts w:ascii="Calibri" w:eastAsia="Times New Roman" w:hAnsi="Calibri"/>
              <w:color w:val="000000"/>
              <w:sz w:val="12"/>
              <w:szCs w:val="12"/>
            </w:rPr>
          </w:pPr>
        </w:p>
      </w:tc>
      <w:tc>
        <w:tcPr>
          <w:tcW w:w="698" w:type="dxa"/>
          <w:vMerge/>
          <w:tcBorders>
            <w:top w:val="nil"/>
            <w:left w:val="single" w:sz="8" w:space="0" w:color="auto"/>
            <w:bottom w:val="single" w:sz="8" w:space="0" w:color="000000"/>
            <w:right w:val="single" w:sz="8" w:space="0" w:color="auto"/>
          </w:tcBorders>
          <w:vAlign w:val="center"/>
          <w:hideMark/>
        </w:tcPr>
        <w:p w14:paraId="3926047B" w14:textId="77777777" w:rsidR="005F3FCF" w:rsidRPr="009605B2" w:rsidRDefault="005F3FCF" w:rsidP="00816745">
          <w:pPr>
            <w:rPr>
              <w:rFonts w:ascii="Calibri" w:eastAsia="Times New Roman" w:hAnsi="Calibri"/>
              <w:color w:val="000000"/>
              <w:sz w:val="12"/>
              <w:szCs w:val="12"/>
            </w:rPr>
          </w:pPr>
        </w:p>
      </w:tc>
    </w:tr>
    <w:tr w:rsidR="005F3FCF" w:rsidRPr="009605B2" w14:paraId="32C6CD3B" w14:textId="77777777" w:rsidTr="005F3FCF">
      <w:tc>
        <w:tcPr>
          <w:tcW w:w="6608" w:type="dxa"/>
          <w:vMerge/>
          <w:vAlign w:val="center"/>
          <w:hideMark/>
        </w:tcPr>
        <w:p w14:paraId="0503FD7A" w14:textId="77777777" w:rsidR="005F3FCF" w:rsidRPr="005F3FCF" w:rsidRDefault="005F3FCF" w:rsidP="005F3FCF">
          <w:pPr>
            <w:pStyle w:val="Title"/>
            <w:spacing w:after="120"/>
            <w:ind w:right="360"/>
            <w:jc w:val="left"/>
            <w:rPr>
              <w:rFonts w:ascii="Gotham Book" w:hAnsi="Gotham Book"/>
              <w:b/>
              <w:color w:val="404040"/>
              <w:sz w:val="22"/>
              <w:szCs w:val="22"/>
            </w:rPr>
          </w:pPr>
        </w:p>
      </w:tc>
      <w:tc>
        <w:tcPr>
          <w:tcW w:w="3328" w:type="dxa"/>
          <w:vAlign w:val="center"/>
          <w:hideMark/>
        </w:tcPr>
        <w:p w14:paraId="051FED7E"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NHSN</w:t>
          </w:r>
        </w:p>
      </w:tc>
      <w:tc>
        <w:tcPr>
          <w:tcW w:w="621" w:type="dxa"/>
          <w:vMerge/>
          <w:tcBorders>
            <w:top w:val="nil"/>
            <w:left w:val="single" w:sz="8" w:space="0" w:color="auto"/>
            <w:bottom w:val="single" w:sz="8" w:space="0" w:color="000000"/>
            <w:right w:val="single" w:sz="8" w:space="0" w:color="auto"/>
          </w:tcBorders>
          <w:vAlign w:val="center"/>
          <w:hideMark/>
        </w:tcPr>
        <w:p w14:paraId="34E6BFC6" w14:textId="77777777" w:rsidR="005F3FCF" w:rsidRPr="009605B2" w:rsidRDefault="005F3FCF" w:rsidP="00816745">
          <w:pPr>
            <w:rPr>
              <w:rFonts w:ascii="Calibri" w:eastAsia="Times New Roman" w:hAnsi="Calibri"/>
              <w:color w:val="000000"/>
              <w:sz w:val="12"/>
              <w:szCs w:val="12"/>
            </w:rPr>
          </w:pPr>
        </w:p>
      </w:tc>
      <w:tc>
        <w:tcPr>
          <w:tcW w:w="2074" w:type="dxa"/>
          <w:vMerge/>
          <w:tcBorders>
            <w:top w:val="nil"/>
            <w:left w:val="single" w:sz="8" w:space="0" w:color="auto"/>
            <w:bottom w:val="single" w:sz="8" w:space="0" w:color="000000"/>
            <w:right w:val="single" w:sz="8" w:space="0" w:color="auto"/>
          </w:tcBorders>
          <w:vAlign w:val="center"/>
          <w:hideMark/>
        </w:tcPr>
        <w:p w14:paraId="1357E4AE" w14:textId="77777777" w:rsidR="005F3FCF" w:rsidRPr="009605B2" w:rsidRDefault="005F3FCF" w:rsidP="00816745">
          <w:pPr>
            <w:rPr>
              <w:rFonts w:ascii="Calibri" w:eastAsia="Times New Roman" w:hAnsi="Calibri"/>
              <w:color w:val="000000"/>
              <w:sz w:val="12"/>
              <w:szCs w:val="12"/>
            </w:rPr>
          </w:pPr>
        </w:p>
      </w:tc>
      <w:tc>
        <w:tcPr>
          <w:tcW w:w="788" w:type="dxa"/>
          <w:vMerge/>
          <w:tcBorders>
            <w:top w:val="nil"/>
            <w:left w:val="single" w:sz="8" w:space="0" w:color="auto"/>
            <w:bottom w:val="single" w:sz="8" w:space="0" w:color="000000"/>
            <w:right w:val="single" w:sz="8" w:space="0" w:color="auto"/>
          </w:tcBorders>
          <w:vAlign w:val="center"/>
          <w:hideMark/>
        </w:tcPr>
        <w:p w14:paraId="2DEC9A50" w14:textId="77777777" w:rsidR="005F3FCF" w:rsidRPr="009605B2" w:rsidRDefault="005F3FCF" w:rsidP="00816745">
          <w:pPr>
            <w:rPr>
              <w:rFonts w:ascii="Calibri" w:eastAsia="Times New Roman" w:hAnsi="Calibri"/>
              <w:color w:val="000000"/>
              <w:sz w:val="12"/>
              <w:szCs w:val="12"/>
            </w:rPr>
          </w:pPr>
        </w:p>
      </w:tc>
      <w:tc>
        <w:tcPr>
          <w:tcW w:w="763" w:type="dxa"/>
          <w:vMerge/>
          <w:tcBorders>
            <w:top w:val="nil"/>
            <w:left w:val="single" w:sz="8" w:space="0" w:color="auto"/>
            <w:bottom w:val="single" w:sz="8" w:space="0" w:color="000000"/>
            <w:right w:val="single" w:sz="8" w:space="0" w:color="auto"/>
          </w:tcBorders>
          <w:vAlign w:val="center"/>
          <w:hideMark/>
        </w:tcPr>
        <w:p w14:paraId="68E8C441" w14:textId="77777777" w:rsidR="005F3FCF" w:rsidRPr="00A60631" w:rsidRDefault="005F3FCF" w:rsidP="00816745">
          <w:pPr>
            <w:rPr>
              <w:rFonts w:ascii="Calibri" w:eastAsia="Times New Roman" w:hAnsi="Calibri"/>
              <w:color w:val="000000"/>
              <w:sz w:val="12"/>
              <w:szCs w:val="12"/>
              <w:highlight w:val="yellow"/>
            </w:rPr>
          </w:pPr>
        </w:p>
      </w:tc>
      <w:tc>
        <w:tcPr>
          <w:tcW w:w="763" w:type="dxa"/>
          <w:vMerge/>
          <w:tcBorders>
            <w:top w:val="nil"/>
            <w:left w:val="single" w:sz="8" w:space="0" w:color="auto"/>
            <w:bottom w:val="single" w:sz="8" w:space="0" w:color="000000"/>
            <w:right w:val="single" w:sz="8" w:space="0" w:color="auto"/>
          </w:tcBorders>
          <w:vAlign w:val="center"/>
          <w:hideMark/>
        </w:tcPr>
        <w:p w14:paraId="44BDDF9C" w14:textId="77777777" w:rsidR="005F3FCF" w:rsidRPr="00A60631" w:rsidRDefault="005F3FCF" w:rsidP="00816745">
          <w:pPr>
            <w:rPr>
              <w:rFonts w:ascii="Calibri" w:eastAsia="Times New Roman" w:hAnsi="Calibri"/>
              <w:color w:val="000000"/>
              <w:sz w:val="12"/>
              <w:szCs w:val="12"/>
              <w:highlight w:val="yellow"/>
            </w:rPr>
          </w:pPr>
        </w:p>
      </w:tc>
      <w:tc>
        <w:tcPr>
          <w:tcW w:w="698" w:type="dxa"/>
          <w:vMerge/>
          <w:tcBorders>
            <w:top w:val="nil"/>
            <w:left w:val="single" w:sz="8" w:space="0" w:color="auto"/>
            <w:bottom w:val="single" w:sz="8" w:space="0" w:color="000000"/>
            <w:right w:val="single" w:sz="8" w:space="0" w:color="auto"/>
          </w:tcBorders>
          <w:vAlign w:val="center"/>
          <w:hideMark/>
        </w:tcPr>
        <w:p w14:paraId="43383006" w14:textId="77777777" w:rsidR="005F3FCF" w:rsidRPr="00A60631" w:rsidRDefault="005F3FCF" w:rsidP="00816745">
          <w:pPr>
            <w:rPr>
              <w:rFonts w:ascii="Calibri" w:eastAsia="Times New Roman" w:hAnsi="Calibri"/>
              <w:color w:val="000000"/>
              <w:sz w:val="12"/>
              <w:szCs w:val="12"/>
              <w:highlight w:val="yellow"/>
            </w:rPr>
          </w:pPr>
        </w:p>
      </w:tc>
      <w:tc>
        <w:tcPr>
          <w:tcW w:w="672" w:type="dxa"/>
          <w:vMerge/>
          <w:tcBorders>
            <w:top w:val="nil"/>
            <w:left w:val="single" w:sz="8" w:space="0" w:color="auto"/>
            <w:bottom w:val="single" w:sz="8" w:space="0" w:color="000000"/>
            <w:right w:val="single" w:sz="8" w:space="0" w:color="auto"/>
          </w:tcBorders>
          <w:vAlign w:val="center"/>
          <w:hideMark/>
        </w:tcPr>
        <w:p w14:paraId="5D97338A" w14:textId="77777777" w:rsidR="005F3FCF" w:rsidRPr="009605B2" w:rsidRDefault="005F3FCF" w:rsidP="00816745">
          <w:pPr>
            <w:rPr>
              <w:rFonts w:ascii="Calibri" w:eastAsia="Times New Roman" w:hAnsi="Calibri"/>
              <w:color w:val="000000"/>
              <w:sz w:val="12"/>
              <w:szCs w:val="12"/>
            </w:rPr>
          </w:pPr>
        </w:p>
      </w:tc>
      <w:tc>
        <w:tcPr>
          <w:tcW w:w="672" w:type="dxa"/>
          <w:vMerge/>
          <w:tcBorders>
            <w:top w:val="nil"/>
            <w:left w:val="single" w:sz="8" w:space="0" w:color="auto"/>
            <w:bottom w:val="single" w:sz="8" w:space="0" w:color="000000"/>
            <w:right w:val="single" w:sz="8" w:space="0" w:color="auto"/>
          </w:tcBorders>
          <w:vAlign w:val="center"/>
          <w:hideMark/>
        </w:tcPr>
        <w:p w14:paraId="0CA11B6A" w14:textId="77777777" w:rsidR="005F3FCF" w:rsidRPr="009605B2" w:rsidRDefault="005F3FCF" w:rsidP="00816745">
          <w:pPr>
            <w:rPr>
              <w:rFonts w:ascii="Calibri" w:eastAsia="Times New Roman" w:hAnsi="Calibri"/>
              <w:color w:val="000000"/>
              <w:sz w:val="12"/>
              <w:szCs w:val="12"/>
            </w:rPr>
          </w:pPr>
        </w:p>
      </w:tc>
      <w:tc>
        <w:tcPr>
          <w:tcW w:w="698" w:type="dxa"/>
          <w:vMerge/>
          <w:tcBorders>
            <w:top w:val="nil"/>
            <w:left w:val="single" w:sz="8" w:space="0" w:color="auto"/>
            <w:bottom w:val="single" w:sz="8" w:space="0" w:color="000000"/>
            <w:right w:val="single" w:sz="8" w:space="0" w:color="auto"/>
          </w:tcBorders>
          <w:vAlign w:val="center"/>
          <w:hideMark/>
        </w:tcPr>
        <w:p w14:paraId="1BA562AA" w14:textId="77777777" w:rsidR="005F3FCF" w:rsidRPr="009605B2" w:rsidRDefault="005F3FCF" w:rsidP="00816745">
          <w:pPr>
            <w:rPr>
              <w:rFonts w:ascii="Calibri" w:eastAsia="Times New Roman" w:hAnsi="Calibri"/>
              <w:color w:val="000000"/>
              <w:sz w:val="12"/>
              <w:szCs w:val="12"/>
            </w:rPr>
          </w:pPr>
        </w:p>
      </w:tc>
    </w:tr>
    <w:tr w:rsidR="005F3FCF" w:rsidRPr="0020194F" w14:paraId="28C8A5BE" w14:textId="77777777" w:rsidTr="005F3FCF">
      <w:tc>
        <w:tcPr>
          <w:tcW w:w="6608" w:type="dxa"/>
          <w:vMerge w:val="restart"/>
          <w:vAlign w:val="center"/>
          <w:hideMark/>
        </w:tcPr>
        <w:p w14:paraId="0FBC1020" w14:textId="77777777" w:rsidR="005F3FCF" w:rsidRPr="0020194F" w:rsidRDefault="005F3FCF" w:rsidP="005F3FCF">
          <w:pPr>
            <w:pStyle w:val="Title"/>
            <w:spacing w:after="120"/>
            <w:ind w:right="360"/>
            <w:jc w:val="left"/>
            <w:rPr>
              <w:rFonts w:ascii="Calibri" w:eastAsia="Times New Roman" w:hAnsi="Calibri"/>
              <w:color w:val="000000"/>
              <w:sz w:val="12"/>
              <w:szCs w:val="12"/>
            </w:rPr>
          </w:pPr>
          <w:r w:rsidRPr="005F3FCF">
            <w:rPr>
              <w:rFonts w:ascii="Gotham Book" w:hAnsi="Gotham Book"/>
              <w:b/>
              <w:color w:val="404040"/>
              <w:sz w:val="22"/>
              <w:szCs w:val="22"/>
            </w:rPr>
            <w:t xml:space="preserve">Provide </w:t>
          </w:r>
          <w:r w:rsidRPr="0020194F">
            <w:rPr>
              <w:rFonts w:ascii="Calibri" w:eastAsia="Times New Roman" w:hAnsi="Calibri"/>
              <w:color w:val="000000"/>
              <w:sz w:val="12"/>
              <w:szCs w:val="12"/>
            </w:rPr>
            <w:t>Housing &amp; Services for Persons w/ HIV/AIDS</w:t>
          </w:r>
        </w:p>
      </w:tc>
      <w:tc>
        <w:tcPr>
          <w:tcW w:w="3328" w:type="dxa"/>
          <w:vAlign w:val="center"/>
          <w:hideMark/>
        </w:tcPr>
        <w:p w14:paraId="3CC35E3D"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AH</w:t>
          </w:r>
        </w:p>
      </w:tc>
      <w:tc>
        <w:tcPr>
          <w:tcW w:w="621" w:type="dxa"/>
          <w:vMerge w:val="restart"/>
          <w:tcBorders>
            <w:top w:val="nil"/>
            <w:left w:val="single" w:sz="8" w:space="0" w:color="auto"/>
            <w:bottom w:val="single" w:sz="8" w:space="0" w:color="000000"/>
            <w:right w:val="single" w:sz="8" w:space="0" w:color="auto"/>
          </w:tcBorders>
          <w:shd w:val="clear" w:color="auto" w:fill="auto"/>
          <w:vAlign w:val="center"/>
          <w:hideMark/>
        </w:tcPr>
        <w:p w14:paraId="2E030FFF" w14:textId="77777777" w:rsidR="005F3FCF" w:rsidRPr="0020194F" w:rsidRDefault="005F3FCF" w:rsidP="00816745">
          <w:pPr>
            <w:rPr>
              <w:rFonts w:ascii="Calibri" w:eastAsia="Times New Roman" w:hAnsi="Calibri"/>
              <w:color w:val="000000"/>
              <w:sz w:val="12"/>
              <w:szCs w:val="12"/>
            </w:rPr>
          </w:pPr>
          <w:r w:rsidRPr="0020194F">
            <w:rPr>
              <w:rFonts w:ascii="Calibri" w:eastAsia="Times New Roman" w:hAnsi="Calibri"/>
              <w:color w:val="000000"/>
              <w:sz w:val="12"/>
              <w:szCs w:val="12"/>
            </w:rPr>
            <w:t xml:space="preserve">HOPWA </w:t>
          </w:r>
        </w:p>
      </w:tc>
      <w:tc>
        <w:tcPr>
          <w:tcW w:w="2074" w:type="dxa"/>
          <w:vMerge w:val="restart"/>
          <w:tcBorders>
            <w:top w:val="nil"/>
            <w:left w:val="single" w:sz="8" w:space="0" w:color="auto"/>
            <w:bottom w:val="single" w:sz="8" w:space="0" w:color="000000"/>
            <w:right w:val="single" w:sz="8" w:space="0" w:color="auto"/>
          </w:tcBorders>
          <w:shd w:val="clear" w:color="auto" w:fill="auto"/>
          <w:vAlign w:val="center"/>
          <w:hideMark/>
        </w:tcPr>
        <w:p w14:paraId="46896834" w14:textId="77777777" w:rsidR="005F3FCF" w:rsidRPr="0020194F" w:rsidRDefault="005F3FCF" w:rsidP="00816745">
          <w:pPr>
            <w:rPr>
              <w:rFonts w:ascii="Calibri" w:eastAsia="Times New Roman" w:hAnsi="Calibri"/>
              <w:color w:val="000000"/>
              <w:sz w:val="12"/>
              <w:szCs w:val="12"/>
            </w:rPr>
          </w:pPr>
          <w:r w:rsidRPr="0020194F">
            <w:rPr>
              <w:rFonts w:ascii="Calibri" w:eastAsia="Times New Roman" w:hAnsi="Calibri"/>
              <w:color w:val="000000"/>
              <w:sz w:val="12"/>
              <w:szCs w:val="12"/>
            </w:rPr>
            <w:t>Homelessness Prevention</w:t>
          </w:r>
        </w:p>
      </w:tc>
      <w:tc>
        <w:tcPr>
          <w:tcW w:w="788" w:type="dxa"/>
          <w:vMerge w:val="restart"/>
          <w:tcBorders>
            <w:top w:val="nil"/>
            <w:left w:val="single" w:sz="8" w:space="0" w:color="auto"/>
            <w:bottom w:val="single" w:sz="8" w:space="0" w:color="000000"/>
            <w:right w:val="single" w:sz="8" w:space="0" w:color="auto"/>
          </w:tcBorders>
          <w:shd w:val="clear" w:color="auto" w:fill="auto"/>
          <w:vAlign w:val="center"/>
          <w:hideMark/>
        </w:tcPr>
        <w:p w14:paraId="206F6012"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Persons Assisted</w:t>
          </w:r>
        </w:p>
      </w:tc>
      <w:tc>
        <w:tcPr>
          <w:tcW w:w="763" w:type="dxa"/>
          <w:vMerge w:val="restart"/>
          <w:tcBorders>
            <w:top w:val="nil"/>
            <w:left w:val="single" w:sz="8" w:space="0" w:color="auto"/>
            <w:bottom w:val="single" w:sz="8" w:space="0" w:color="000000"/>
            <w:right w:val="single" w:sz="8" w:space="0" w:color="auto"/>
          </w:tcBorders>
          <w:shd w:val="clear" w:color="auto" w:fill="auto"/>
          <w:vAlign w:val="center"/>
          <w:hideMark/>
        </w:tcPr>
        <w:p w14:paraId="6BC54976"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200</w:t>
          </w:r>
        </w:p>
      </w:tc>
      <w:tc>
        <w:tcPr>
          <w:tcW w:w="763" w:type="dxa"/>
          <w:vMerge w:val="restart"/>
          <w:tcBorders>
            <w:top w:val="nil"/>
            <w:left w:val="single" w:sz="8" w:space="0" w:color="auto"/>
            <w:bottom w:val="single" w:sz="8" w:space="0" w:color="000000"/>
            <w:right w:val="single" w:sz="8" w:space="0" w:color="auto"/>
          </w:tcBorders>
          <w:shd w:val="clear" w:color="auto" w:fill="auto"/>
          <w:vAlign w:val="center"/>
          <w:hideMark/>
        </w:tcPr>
        <w:p w14:paraId="0AA0132E"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230</w:t>
          </w:r>
        </w:p>
      </w:tc>
      <w:tc>
        <w:tcPr>
          <w:tcW w:w="698" w:type="dxa"/>
          <w:vMerge w:val="restart"/>
          <w:tcBorders>
            <w:top w:val="nil"/>
            <w:left w:val="single" w:sz="8" w:space="0" w:color="auto"/>
            <w:bottom w:val="single" w:sz="8" w:space="0" w:color="000000"/>
            <w:right w:val="single" w:sz="8" w:space="0" w:color="auto"/>
          </w:tcBorders>
          <w:shd w:val="clear" w:color="auto" w:fill="auto"/>
          <w:vAlign w:val="center"/>
          <w:hideMark/>
        </w:tcPr>
        <w:p w14:paraId="3A0C80FC"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115%</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hideMark/>
        </w:tcPr>
        <w:p w14:paraId="0CBD2302"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25</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hideMark/>
        </w:tcPr>
        <w:p w14:paraId="4EF4C6F0"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38</w:t>
          </w:r>
        </w:p>
      </w:tc>
      <w:tc>
        <w:tcPr>
          <w:tcW w:w="698" w:type="dxa"/>
          <w:vMerge w:val="restart"/>
          <w:tcBorders>
            <w:top w:val="nil"/>
            <w:left w:val="single" w:sz="8" w:space="0" w:color="auto"/>
            <w:bottom w:val="single" w:sz="8" w:space="0" w:color="000000"/>
            <w:right w:val="single" w:sz="8" w:space="0" w:color="auto"/>
          </w:tcBorders>
          <w:shd w:val="clear" w:color="auto" w:fill="auto"/>
          <w:vAlign w:val="center"/>
          <w:hideMark/>
        </w:tcPr>
        <w:p w14:paraId="1F80BC68"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152%</w:t>
          </w:r>
        </w:p>
      </w:tc>
    </w:tr>
    <w:tr w:rsidR="005F3FCF" w:rsidRPr="0020194F" w14:paraId="2B6AFF5E" w14:textId="77777777" w:rsidTr="005F3FCF">
      <w:tc>
        <w:tcPr>
          <w:tcW w:w="6608" w:type="dxa"/>
          <w:vMerge/>
          <w:vAlign w:val="center"/>
          <w:hideMark/>
        </w:tcPr>
        <w:p w14:paraId="348B3A33" w14:textId="77777777" w:rsidR="005F3FCF" w:rsidRPr="005F3FCF" w:rsidRDefault="005F3FCF" w:rsidP="005F3FCF">
          <w:pPr>
            <w:pStyle w:val="Title"/>
            <w:spacing w:after="120"/>
            <w:ind w:right="360"/>
            <w:jc w:val="left"/>
            <w:rPr>
              <w:rFonts w:ascii="Gotham Book" w:hAnsi="Gotham Book"/>
              <w:b/>
              <w:color w:val="404040"/>
              <w:sz w:val="22"/>
              <w:szCs w:val="22"/>
            </w:rPr>
          </w:pPr>
        </w:p>
      </w:tc>
      <w:tc>
        <w:tcPr>
          <w:tcW w:w="3328" w:type="dxa"/>
          <w:vAlign w:val="center"/>
          <w:hideMark/>
        </w:tcPr>
        <w:p w14:paraId="5C4477A3"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H</w:t>
          </w:r>
        </w:p>
      </w:tc>
      <w:tc>
        <w:tcPr>
          <w:tcW w:w="621" w:type="dxa"/>
          <w:vMerge/>
          <w:tcBorders>
            <w:top w:val="nil"/>
            <w:left w:val="single" w:sz="8" w:space="0" w:color="auto"/>
            <w:bottom w:val="single" w:sz="8" w:space="0" w:color="000000"/>
            <w:right w:val="single" w:sz="8" w:space="0" w:color="auto"/>
          </w:tcBorders>
          <w:vAlign w:val="center"/>
          <w:hideMark/>
        </w:tcPr>
        <w:p w14:paraId="49AEA27F" w14:textId="77777777" w:rsidR="005F3FCF" w:rsidRPr="0020194F" w:rsidRDefault="005F3FCF" w:rsidP="00816745">
          <w:pPr>
            <w:rPr>
              <w:rFonts w:ascii="Calibri" w:eastAsia="Times New Roman" w:hAnsi="Calibri"/>
              <w:color w:val="000000"/>
              <w:sz w:val="12"/>
              <w:szCs w:val="12"/>
            </w:rPr>
          </w:pPr>
        </w:p>
      </w:tc>
      <w:tc>
        <w:tcPr>
          <w:tcW w:w="2074" w:type="dxa"/>
          <w:vMerge/>
          <w:tcBorders>
            <w:top w:val="nil"/>
            <w:left w:val="single" w:sz="8" w:space="0" w:color="auto"/>
            <w:bottom w:val="single" w:sz="8" w:space="0" w:color="000000"/>
            <w:right w:val="single" w:sz="8" w:space="0" w:color="auto"/>
          </w:tcBorders>
          <w:vAlign w:val="center"/>
          <w:hideMark/>
        </w:tcPr>
        <w:p w14:paraId="4B9CCCC2" w14:textId="77777777" w:rsidR="005F3FCF" w:rsidRPr="0020194F" w:rsidRDefault="005F3FCF" w:rsidP="00816745">
          <w:pPr>
            <w:rPr>
              <w:rFonts w:ascii="Calibri" w:eastAsia="Times New Roman" w:hAnsi="Calibri"/>
              <w:color w:val="000000"/>
              <w:sz w:val="12"/>
              <w:szCs w:val="12"/>
            </w:rPr>
          </w:pPr>
        </w:p>
      </w:tc>
      <w:tc>
        <w:tcPr>
          <w:tcW w:w="788" w:type="dxa"/>
          <w:vMerge/>
          <w:tcBorders>
            <w:top w:val="nil"/>
            <w:left w:val="single" w:sz="8" w:space="0" w:color="auto"/>
            <w:bottom w:val="single" w:sz="8" w:space="0" w:color="000000"/>
            <w:right w:val="single" w:sz="8" w:space="0" w:color="auto"/>
          </w:tcBorders>
          <w:vAlign w:val="center"/>
          <w:hideMark/>
        </w:tcPr>
        <w:p w14:paraId="59681A86" w14:textId="77777777" w:rsidR="005F3FCF" w:rsidRPr="0020194F" w:rsidRDefault="005F3FCF" w:rsidP="00816745">
          <w:pPr>
            <w:rPr>
              <w:rFonts w:ascii="Calibri" w:eastAsia="Times New Roman" w:hAnsi="Calibri"/>
              <w:color w:val="000000"/>
              <w:sz w:val="12"/>
              <w:szCs w:val="12"/>
            </w:rPr>
          </w:pPr>
        </w:p>
      </w:tc>
      <w:tc>
        <w:tcPr>
          <w:tcW w:w="763" w:type="dxa"/>
          <w:vMerge/>
          <w:tcBorders>
            <w:top w:val="nil"/>
            <w:left w:val="single" w:sz="8" w:space="0" w:color="auto"/>
            <w:bottom w:val="single" w:sz="8" w:space="0" w:color="000000"/>
            <w:right w:val="single" w:sz="8" w:space="0" w:color="auto"/>
          </w:tcBorders>
          <w:vAlign w:val="center"/>
          <w:hideMark/>
        </w:tcPr>
        <w:p w14:paraId="09CE5DAD" w14:textId="77777777" w:rsidR="005F3FCF" w:rsidRPr="0020194F" w:rsidRDefault="005F3FCF" w:rsidP="00816745">
          <w:pPr>
            <w:rPr>
              <w:rFonts w:ascii="Calibri" w:eastAsia="Times New Roman" w:hAnsi="Calibri"/>
              <w:color w:val="000000"/>
              <w:sz w:val="12"/>
              <w:szCs w:val="12"/>
            </w:rPr>
          </w:pPr>
        </w:p>
      </w:tc>
      <w:tc>
        <w:tcPr>
          <w:tcW w:w="763" w:type="dxa"/>
          <w:vMerge/>
          <w:tcBorders>
            <w:top w:val="nil"/>
            <w:left w:val="single" w:sz="8" w:space="0" w:color="auto"/>
            <w:bottom w:val="single" w:sz="8" w:space="0" w:color="000000"/>
            <w:right w:val="single" w:sz="8" w:space="0" w:color="auto"/>
          </w:tcBorders>
          <w:vAlign w:val="center"/>
          <w:hideMark/>
        </w:tcPr>
        <w:p w14:paraId="4CEC64E7" w14:textId="77777777" w:rsidR="005F3FCF" w:rsidRPr="0020194F" w:rsidRDefault="005F3FCF" w:rsidP="00816745">
          <w:pPr>
            <w:rPr>
              <w:rFonts w:ascii="Calibri" w:eastAsia="Times New Roman" w:hAnsi="Calibri"/>
              <w:color w:val="000000"/>
              <w:sz w:val="12"/>
              <w:szCs w:val="12"/>
            </w:rPr>
          </w:pPr>
        </w:p>
      </w:tc>
      <w:tc>
        <w:tcPr>
          <w:tcW w:w="698" w:type="dxa"/>
          <w:vMerge/>
          <w:tcBorders>
            <w:top w:val="nil"/>
            <w:left w:val="single" w:sz="8" w:space="0" w:color="auto"/>
            <w:bottom w:val="single" w:sz="8" w:space="0" w:color="000000"/>
            <w:right w:val="single" w:sz="8" w:space="0" w:color="auto"/>
          </w:tcBorders>
          <w:vAlign w:val="center"/>
          <w:hideMark/>
        </w:tcPr>
        <w:p w14:paraId="23E7CE75" w14:textId="77777777" w:rsidR="005F3FCF" w:rsidRPr="0020194F" w:rsidRDefault="005F3FCF" w:rsidP="00816745">
          <w:pPr>
            <w:rPr>
              <w:rFonts w:ascii="Calibri" w:eastAsia="Times New Roman" w:hAnsi="Calibri"/>
              <w:color w:val="000000"/>
              <w:sz w:val="12"/>
              <w:szCs w:val="12"/>
            </w:rPr>
          </w:pPr>
        </w:p>
      </w:tc>
      <w:tc>
        <w:tcPr>
          <w:tcW w:w="672" w:type="dxa"/>
          <w:vMerge/>
          <w:tcBorders>
            <w:top w:val="nil"/>
            <w:left w:val="single" w:sz="8" w:space="0" w:color="auto"/>
            <w:bottom w:val="single" w:sz="8" w:space="0" w:color="000000"/>
            <w:right w:val="single" w:sz="8" w:space="0" w:color="auto"/>
          </w:tcBorders>
          <w:vAlign w:val="center"/>
          <w:hideMark/>
        </w:tcPr>
        <w:p w14:paraId="0EE81E7F" w14:textId="77777777" w:rsidR="005F3FCF" w:rsidRPr="0020194F" w:rsidRDefault="005F3FCF" w:rsidP="00816745">
          <w:pPr>
            <w:rPr>
              <w:rFonts w:ascii="Calibri" w:eastAsia="Times New Roman" w:hAnsi="Calibri"/>
              <w:color w:val="000000"/>
              <w:sz w:val="12"/>
              <w:szCs w:val="12"/>
            </w:rPr>
          </w:pPr>
        </w:p>
      </w:tc>
      <w:tc>
        <w:tcPr>
          <w:tcW w:w="672" w:type="dxa"/>
          <w:vMerge/>
          <w:tcBorders>
            <w:top w:val="nil"/>
            <w:left w:val="single" w:sz="8" w:space="0" w:color="auto"/>
            <w:bottom w:val="single" w:sz="8" w:space="0" w:color="000000"/>
            <w:right w:val="single" w:sz="8" w:space="0" w:color="auto"/>
          </w:tcBorders>
          <w:vAlign w:val="center"/>
          <w:hideMark/>
        </w:tcPr>
        <w:p w14:paraId="79E6A641" w14:textId="77777777" w:rsidR="005F3FCF" w:rsidRPr="0020194F" w:rsidRDefault="005F3FCF" w:rsidP="00816745">
          <w:pPr>
            <w:rPr>
              <w:rFonts w:ascii="Calibri" w:eastAsia="Times New Roman" w:hAnsi="Calibri"/>
              <w:color w:val="000000"/>
              <w:sz w:val="12"/>
              <w:szCs w:val="12"/>
            </w:rPr>
          </w:pPr>
        </w:p>
      </w:tc>
      <w:tc>
        <w:tcPr>
          <w:tcW w:w="698" w:type="dxa"/>
          <w:vMerge/>
          <w:tcBorders>
            <w:top w:val="nil"/>
            <w:left w:val="single" w:sz="8" w:space="0" w:color="auto"/>
            <w:bottom w:val="single" w:sz="8" w:space="0" w:color="000000"/>
            <w:right w:val="single" w:sz="8" w:space="0" w:color="auto"/>
          </w:tcBorders>
          <w:vAlign w:val="center"/>
          <w:hideMark/>
        </w:tcPr>
        <w:p w14:paraId="20850DB1" w14:textId="77777777" w:rsidR="005F3FCF" w:rsidRPr="0020194F" w:rsidRDefault="005F3FCF" w:rsidP="00816745">
          <w:pPr>
            <w:rPr>
              <w:rFonts w:ascii="Calibri" w:eastAsia="Times New Roman" w:hAnsi="Calibri"/>
              <w:color w:val="000000"/>
              <w:sz w:val="12"/>
              <w:szCs w:val="12"/>
            </w:rPr>
          </w:pPr>
        </w:p>
      </w:tc>
    </w:tr>
    <w:tr w:rsidR="005F3FCF" w:rsidRPr="0020194F" w14:paraId="15491CC0" w14:textId="77777777" w:rsidTr="005F3FCF">
      <w:tc>
        <w:tcPr>
          <w:tcW w:w="6608" w:type="dxa"/>
          <w:vMerge/>
          <w:vAlign w:val="center"/>
          <w:hideMark/>
        </w:tcPr>
        <w:p w14:paraId="42D3783D" w14:textId="77777777" w:rsidR="005F3FCF" w:rsidRPr="005F3FCF" w:rsidRDefault="005F3FCF" w:rsidP="005F3FCF">
          <w:pPr>
            <w:pStyle w:val="Title"/>
            <w:spacing w:after="120"/>
            <w:ind w:right="360"/>
            <w:jc w:val="left"/>
            <w:rPr>
              <w:rFonts w:ascii="Gotham Book" w:hAnsi="Gotham Book"/>
              <w:b/>
              <w:color w:val="404040"/>
              <w:sz w:val="22"/>
              <w:szCs w:val="22"/>
            </w:rPr>
          </w:pPr>
        </w:p>
      </w:tc>
      <w:tc>
        <w:tcPr>
          <w:tcW w:w="3328" w:type="dxa"/>
          <w:vAlign w:val="center"/>
          <w:hideMark/>
        </w:tcPr>
        <w:p w14:paraId="45B893C0"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NHSN</w:t>
          </w:r>
        </w:p>
      </w:tc>
      <w:tc>
        <w:tcPr>
          <w:tcW w:w="621" w:type="dxa"/>
          <w:vMerge/>
          <w:tcBorders>
            <w:top w:val="nil"/>
            <w:left w:val="single" w:sz="8" w:space="0" w:color="auto"/>
            <w:bottom w:val="single" w:sz="8" w:space="0" w:color="000000"/>
            <w:right w:val="single" w:sz="8" w:space="0" w:color="auto"/>
          </w:tcBorders>
          <w:vAlign w:val="center"/>
          <w:hideMark/>
        </w:tcPr>
        <w:p w14:paraId="5509138D" w14:textId="77777777" w:rsidR="005F3FCF" w:rsidRPr="0020194F" w:rsidRDefault="005F3FCF" w:rsidP="00816745">
          <w:pPr>
            <w:rPr>
              <w:rFonts w:ascii="Calibri" w:eastAsia="Times New Roman" w:hAnsi="Calibri"/>
              <w:color w:val="000000"/>
              <w:sz w:val="12"/>
              <w:szCs w:val="12"/>
            </w:rPr>
          </w:pPr>
        </w:p>
      </w:tc>
      <w:tc>
        <w:tcPr>
          <w:tcW w:w="2074" w:type="dxa"/>
          <w:vMerge/>
          <w:tcBorders>
            <w:top w:val="nil"/>
            <w:left w:val="single" w:sz="8" w:space="0" w:color="auto"/>
            <w:bottom w:val="single" w:sz="8" w:space="0" w:color="000000"/>
            <w:right w:val="single" w:sz="8" w:space="0" w:color="auto"/>
          </w:tcBorders>
          <w:vAlign w:val="center"/>
          <w:hideMark/>
        </w:tcPr>
        <w:p w14:paraId="583FEA27" w14:textId="77777777" w:rsidR="005F3FCF" w:rsidRPr="0020194F" w:rsidRDefault="005F3FCF" w:rsidP="00816745">
          <w:pPr>
            <w:rPr>
              <w:rFonts w:ascii="Calibri" w:eastAsia="Times New Roman" w:hAnsi="Calibri"/>
              <w:color w:val="000000"/>
              <w:sz w:val="12"/>
              <w:szCs w:val="12"/>
            </w:rPr>
          </w:pPr>
        </w:p>
      </w:tc>
      <w:tc>
        <w:tcPr>
          <w:tcW w:w="788" w:type="dxa"/>
          <w:vMerge/>
          <w:tcBorders>
            <w:top w:val="nil"/>
            <w:left w:val="single" w:sz="8" w:space="0" w:color="auto"/>
            <w:bottom w:val="single" w:sz="8" w:space="0" w:color="000000"/>
            <w:right w:val="single" w:sz="8" w:space="0" w:color="auto"/>
          </w:tcBorders>
          <w:vAlign w:val="center"/>
          <w:hideMark/>
        </w:tcPr>
        <w:p w14:paraId="2706C385" w14:textId="77777777" w:rsidR="005F3FCF" w:rsidRPr="0020194F" w:rsidRDefault="005F3FCF" w:rsidP="00816745">
          <w:pPr>
            <w:rPr>
              <w:rFonts w:ascii="Calibri" w:eastAsia="Times New Roman" w:hAnsi="Calibri"/>
              <w:color w:val="000000"/>
              <w:sz w:val="12"/>
              <w:szCs w:val="12"/>
            </w:rPr>
          </w:pPr>
        </w:p>
      </w:tc>
      <w:tc>
        <w:tcPr>
          <w:tcW w:w="763" w:type="dxa"/>
          <w:vMerge/>
          <w:tcBorders>
            <w:top w:val="nil"/>
            <w:left w:val="single" w:sz="8" w:space="0" w:color="auto"/>
            <w:bottom w:val="single" w:sz="8" w:space="0" w:color="000000"/>
            <w:right w:val="single" w:sz="8" w:space="0" w:color="auto"/>
          </w:tcBorders>
          <w:vAlign w:val="center"/>
          <w:hideMark/>
        </w:tcPr>
        <w:p w14:paraId="498787A1" w14:textId="77777777" w:rsidR="005F3FCF" w:rsidRPr="0020194F" w:rsidRDefault="005F3FCF" w:rsidP="00816745">
          <w:pPr>
            <w:rPr>
              <w:rFonts w:ascii="Calibri" w:eastAsia="Times New Roman" w:hAnsi="Calibri"/>
              <w:color w:val="000000"/>
              <w:sz w:val="12"/>
              <w:szCs w:val="12"/>
            </w:rPr>
          </w:pPr>
        </w:p>
      </w:tc>
      <w:tc>
        <w:tcPr>
          <w:tcW w:w="763" w:type="dxa"/>
          <w:vMerge/>
          <w:tcBorders>
            <w:top w:val="nil"/>
            <w:left w:val="single" w:sz="8" w:space="0" w:color="auto"/>
            <w:bottom w:val="single" w:sz="8" w:space="0" w:color="000000"/>
            <w:right w:val="single" w:sz="8" w:space="0" w:color="auto"/>
          </w:tcBorders>
          <w:vAlign w:val="center"/>
          <w:hideMark/>
        </w:tcPr>
        <w:p w14:paraId="6F6AFBCF" w14:textId="77777777" w:rsidR="005F3FCF" w:rsidRPr="0020194F" w:rsidRDefault="005F3FCF" w:rsidP="00816745">
          <w:pPr>
            <w:rPr>
              <w:rFonts w:ascii="Calibri" w:eastAsia="Times New Roman" w:hAnsi="Calibri"/>
              <w:color w:val="000000"/>
              <w:sz w:val="12"/>
              <w:szCs w:val="12"/>
            </w:rPr>
          </w:pPr>
        </w:p>
      </w:tc>
      <w:tc>
        <w:tcPr>
          <w:tcW w:w="698" w:type="dxa"/>
          <w:vMerge/>
          <w:tcBorders>
            <w:top w:val="nil"/>
            <w:left w:val="single" w:sz="8" w:space="0" w:color="auto"/>
            <w:bottom w:val="single" w:sz="8" w:space="0" w:color="000000"/>
            <w:right w:val="single" w:sz="8" w:space="0" w:color="auto"/>
          </w:tcBorders>
          <w:vAlign w:val="center"/>
          <w:hideMark/>
        </w:tcPr>
        <w:p w14:paraId="764B299C" w14:textId="77777777" w:rsidR="005F3FCF" w:rsidRPr="0020194F" w:rsidRDefault="005F3FCF" w:rsidP="00816745">
          <w:pPr>
            <w:rPr>
              <w:rFonts w:ascii="Calibri" w:eastAsia="Times New Roman" w:hAnsi="Calibri"/>
              <w:color w:val="000000"/>
              <w:sz w:val="12"/>
              <w:szCs w:val="12"/>
            </w:rPr>
          </w:pPr>
        </w:p>
      </w:tc>
      <w:tc>
        <w:tcPr>
          <w:tcW w:w="672" w:type="dxa"/>
          <w:vMerge/>
          <w:tcBorders>
            <w:top w:val="nil"/>
            <w:left w:val="single" w:sz="8" w:space="0" w:color="auto"/>
            <w:bottom w:val="single" w:sz="8" w:space="0" w:color="000000"/>
            <w:right w:val="single" w:sz="8" w:space="0" w:color="auto"/>
          </w:tcBorders>
          <w:vAlign w:val="center"/>
          <w:hideMark/>
        </w:tcPr>
        <w:p w14:paraId="3C8837CA" w14:textId="77777777" w:rsidR="005F3FCF" w:rsidRPr="0020194F" w:rsidRDefault="005F3FCF" w:rsidP="00816745">
          <w:pPr>
            <w:rPr>
              <w:rFonts w:ascii="Calibri" w:eastAsia="Times New Roman" w:hAnsi="Calibri"/>
              <w:color w:val="000000"/>
              <w:sz w:val="12"/>
              <w:szCs w:val="12"/>
            </w:rPr>
          </w:pPr>
        </w:p>
      </w:tc>
      <w:tc>
        <w:tcPr>
          <w:tcW w:w="672" w:type="dxa"/>
          <w:vMerge/>
          <w:tcBorders>
            <w:top w:val="nil"/>
            <w:left w:val="single" w:sz="8" w:space="0" w:color="auto"/>
            <w:bottom w:val="single" w:sz="8" w:space="0" w:color="000000"/>
            <w:right w:val="single" w:sz="8" w:space="0" w:color="auto"/>
          </w:tcBorders>
          <w:vAlign w:val="center"/>
          <w:hideMark/>
        </w:tcPr>
        <w:p w14:paraId="50D10C6F" w14:textId="77777777" w:rsidR="005F3FCF" w:rsidRPr="0020194F" w:rsidRDefault="005F3FCF" w:rsidP="00816745">
          <w:pPr>
            <w:rPr>
              <w:rFonts w:ascii="Calibri" w:eastAsia="Times New Roman" w:hAnsi="Calibri"/>
              <w:color w:val="000000"/>
              <w:sz w:val="12"/>
              <w:szCs w:val="12"/>
            </w:rPr>
          </w:pPr>
        </w:p>
      </w:tc>
      <w:tc>
        <w:tcPr>
          <w:tcW w:w="698" w:type="dxa"/>
          <w:vMerge/>
          <w:tcBorders>
            <w:top w:val="nil"/>
            <w:left w:val="single" w:sz="8" w:space="0" w:color="auto"/>
            <w:bottom w:val="single" w:sz="8" w:space="0" w:color="000000"/>
            <w:right w:val="single" w:sz="8" w:space="0" w:color="auto"/>
          </w:tcBorders>
          <w:vAlign w:val="center"/>
          <w:hideMark/>
        </w:tcPr>
        <w:p w14:paraId="7ED6E62C" w14:textId="77777777" w:rsidR="005F3FCF" w:rsidRPr="0020194F" w:rsidRDefault="005F3FCF" w:rsidP="00816745">
          <w:pPr>
            <w:rPr>
              <w:rFonts w:ascii="Calibri" w:eastAsia="Times New Roman" w:hAnsi="Calibri"/>
              <w:color w:val="000000"/>
              <w:sz w:val="12"/>
              <w:szCs w:val="12"/>
            </w:rPr>
          </w:pPr>
        </w:p>
      </w:tc>
    </w:tr>
    <w:tr w:rsidR="005F3FCF" w:rsidRPr="0020194F" w14:paraId="29B311F5" w14:textId="77777777" w:rsidTr="005F3FCF">
      <w:tc>
        <w:tcPr>
          <w:tcW w:w="6608" w:type="dxa"/>
          <w:vAlign w:val="center"/>
          <w:hideMark/>
        </w:tcPr>
        <w:p w14:paraId="30E0A17B" w14:textId="77777777" w:rsidR="005F3FCF" w:rsidRPr="0020194F" w:rsidRDefault="005F3FCF" w:rsidP="005F3FCF">
          <w:pPr>
            <w:pStyle w:val="Title"/>
            <w:spacing w:after="120"/>
            <w:ind w:right="360"/>
            <w:jc w:val="left"/>
            <w:rPr>
              <w:rFonts w:ascii="Calibri" w:eastAsia="Times New Roman" w:hAnsi="Calibri"/>
              <w:color w:val="000000"/>
              <w:sz w:val="12"/>
              <w:szCs w:val="12"/>
            </w:rPr>
          </w:pPr>
          <w:r w:rsidRPr="005F3FCF">
            <w:rPr>
              <w:rFonts w:ascii="Gotham Book" w:hAnsi="Gotham Book"/>
              <w:b/>
              <w:color w:val="404040"/>
              <w:sz w:val="22"/>
              <w:szCs w:val="22"/>
            </w:rPr>
            <w:t xml:space="preserve">Provide </w:t>
          </w:r>
          <w:r w:rsidRPr="0020194F">
            <w:rPr>
              <w:rFonts w:ascii="Calibri" w:eastAsia="Times New Roman" w:hAnsi="Calibri"/>
              <w:color w:val="000000"/>
              <w:sz w:val="12"/>
              <w:szCs w:val="12"/>
            </w:rPr>
            <w:t>Housing for Homeless/at Risk of Homeless</w:t>
          </w:r>
        </w:p>
      </w:tc>
      <w:tc>
        <w:tcPr>
          <w:tcW w:w="3328" w:type="dxa"/>
          <w:vAlign w:val="center"/>
          <w:hideMark/>
        </w:tcPr>
        <w:p w14:paraId="349FBA36"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H</w:t>
          </w:r>
        </w:p>
      </w:tc>
      <w:tc>
        <w:tcPr>
          <w:tcW w:w="621" w:type="dxa"/>
          <w:tcBorders>
            <w:top w:val="nil"/>
            <w:left w:val="nil"/>
            <w:bottom w:val="single" w:sz="8" w:space="0" w:color="auto"/>
            <w:right w:val="single" w:sz="8" w:space="0" w:color="auto"/>
          </w:tcBorders>
          <w:shd w:val="clear" w:color="auto" w:fill="auto"/>
          <w:vAlign w:val="center"/>
          <w:hideMark/>
        </w:tcPr>
        <w:p w14:paraId="6EB76AE1" w14:textId="77777777" w:rsidR="005F3FCF" w:rsidRPr="0020194F" w:rsidRDefault="005F3FCF" w:rsidP="00816745">
          <w:pPr>
            <w:rPr>
              <w:rFonts w:ascii="Calibri" w:eastAsia="Times New Roman" w:hAnsi="Calibri"/>
              <w:color w:val="000000"/>
              <w:sz w:val="12"/>
              <w:szCs w:val="12"/>
            </w:rPr>
          </w:pPr>
          <w:r w:rsidRPr="0020194F">
            <w:rPr>
              <w:rFonts w:ascii="Calibri" w:eastAsia="Times New Roman" w:hAnsi="Calibri"/>
              <w:color w:val="000000"/>
              <w:sz w:val="12"/>
              <w:szCs w:val="12"/>
            </w:rPr>
            <w:t xml:space="preserve">HOME </w:t>
          </w:r>
          <w:r w:rsidRPr="0020194F">
            <w:rPr>
              <w:rFonts w:ascii="Calibri" w:eastAsia="Times New Roman" w:hAnsi="Calibri"/>
              <w:color w:val="000000"/>
              <w:sz w:val="12"/>
              <w:szCs w:val="12"/>
            </w:rPr>
            <w:br/>
            <w:t>ESG</w:t>
          </w:r>
        </w:p>
      </w:tc>
      <w:tc>
        <w:tcPr>
          <w:tcW w:w="2074" w:type="dxa"/>
          <w:tcBorders>
            <w:top w:val="nil"/>
            <w:left w:val="nil"/>
            <w:bottom w:val="single" w:sz="8" w:space="0" w:color="auto"/>
            <w:right w:val="single" w:sz="8" w:space="0" w:color="auto"/>
          </w:tcBorders>
          <w:shd w:val="clear" w:color="auto" w:fill="auto"/>
          <w:vAlign w:val="center"/>
          <w:hideMark/>
        </w:tcPr>
        <w:p w14:paraId="0D8C1B99" w14:textId="77777777" w:rsidR="005F3FCF" w:rsidRPr="0020194F" w:rsidRDefault="005F3FCF" w:rsidP="00816745">
          <w:pPr>
            <w:rPr>
              <w:rFonts w:ascii="Calibri" w:eastAsia="Times New Roman" w:hAnsi="Calibri"/>
              <w:color w:val="000000"/>
              <w:sz w:val="12"/>
              <w:szCs w:val="12"/>
            </w:rPr>
          </w:pPr>
          <w:r w:rsidRPr="0020194F">
            <w:rPr>
              <w:rFonts w:ascii="Calibri" w:eastAsia="Times New Roman" w:hAnsi="Calibri"/>
              <w:color w:val="000000"/>
              <w:sz w:val="12"/>
              <w:szCs w:val="12"/>
            </w:rPr>
            <w:t>Tenant-based rental assistance / Rapid Rehousing</w:t>
          </w:r>
        </w:p>
      </w:tc>
      <w:tc>
        <w:tcPr>
          <w:tcW w:w="788" w:type="dxa"/>
          <w:tcBorders>
            <w:top w:val="nil"/>
            <w:left w:val="nil"/>
            <w:bottom w:val="single" w:sz="8" w:space="0" w:color="auto"/>
            <w:right w:val="single" w:sz="8" w:space="0" w:color="auto"/>
          </w:tcBorders>
          <w:shd w:val="clear" w:color="auto" w:fill="auto"/>
          <w:vAlign w:val="center"/>
          <w:hideMark/>
        </w:tcPr>
        <w:p w14:paraId="530B78C0"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Households Assisted</w:t>
          </w:r>
        </w:p>
      </w:tc>
      <w:tc>
        <w:tcPr>
          <w:tcW w:w="763" w:type="dxa"/>
          <w:tcBorders>
            <w:top w:val="nil"/>
            <w:left w:val="nil"/>
            <w:bottom w:val="single" w:sz="8" w:space="0" w:color="auto"/>
            <w:right w:val="single" w:sz="8" w:space="0" w:color="auto"/>
          </w:tcBorders>
          <w:shd w:val="clear" w:color="auto" w:fill="auto"/>
          <w:vAlign w:val="center"/>
          <w:hideMark/>
        </w:tcPr>
        <w:p w14:paraId="7A24321E"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665</w:t>
          </w:r>
        </w:p>
      </w:tc>
      <w:tc>
        <w:tcPr>
          <w:tcW w:w="763" w:type="dxa"/>
          <w:tcBorders>
            <w:top w:val="nil"/>
            <w:left w:val="nil"/>
            <w:bottom w:val="single" w:sz="8" w:space="0" w:color="auto"/>
            <w:right w:val="single" w:sz="8" w:space="0" w:color="auto"/>
          </w:tcBorders>
          <w:shd w:val="clear" w:color="auto" w:fill="auto"/>
          <w:vAlign w:val="center"/>
          <w:hideMark/>
        </w:tcPr>
        <w:p w14:paraId="59A396F8"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662</w:t>
          </w:r>
        </w:p>
      </w:tc>
      <w:tc>
        <w:tcPr>
          <w:tcW w:w="698" w:type="dxa"/>
          <w:tcBorders>
            <w:top w:val="nil"/>
            <w:left w:val="nil"/>
            <w:bottom w:val="single" w:sz="8" w:space="0" w:color="auto"/>
            <w:right w:val="single" w:sz="8" w:space="0" w:color="auto"/>
          </w:tcBorders>
          <w:shd w:val="clear" w:color="auto" w:fill="auto"/>
          <w:vAlign w:val="center"/>
          <w:hideMark/>
        </w:tcPr>
        <w:p w14:paraId="73E37B7C"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99%</w:t>
          </w:r>
        </w:p>
      </w:tc>
      <w:tc>
        <w:tcPr>
          <w:tcW w:w="672" w:type="dxa"/>
          <w:tcBorders>
            <w:top w:val="nil"/>
            <w:left w:val="nil"/>
            <w:bottom w:val="single" w:sz="8" w:space="0" w:color="auto"/>
            <w:right w:val="single" w:sz="8" w:space="0" w:color="auto"/>
          </w:tcBorders>
          <w:shd w:val="clear" w:color="auto" w:fill="auto"/>
          <w:vAlign w:val="center"/>
          <w:hideMark/>
        </w:tcPr>
        <w:p w14:paraId="79054A9D"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133</w:t>
          </w:r>
        </w:p>
      </w:tc>
      <w:tc>
        <w:tcPr>
          <w:tcW w:w="672" w:type="dxa"/>
          <w:tcBorders>
            <w:top w:val="nil"/>
            <w:left w:val="nil"/>
            <w:bottom w:val="single" w:sz="8" w:space="0" w:color="auto"/>
            <w:right w:val="single" w:sz="8" w:space="0" w:color="auto"/>
          </w:tcBorders>
          <w:shd w:val="clear" w:color="auto" w:fill="auto"/>
          <w:vAlign w:val="center"/>
          <w:hideMark/>
        </w:tcPr>
        <w:p w14:paraId="5B0C71EE"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175</w:t>
          </w:r>
        </w:p>
      </w:tc>
      <w:tc>
        <w:tcPr>
          <w:tcW w:w="698" w:type="dxa"/>
          <w:tcBorders>
            <w:top w:val="nil"/>
            <w:left w:val="nil"/>
            <w:bottom w:val="single" w:sz="8" w:space="0" w:color="auto"/>
            <w:right w:val="single" w:sz="8" w:space="0" w:color="auto"/>
          </w:tcBorders>
          <w:shd w:val="clear" w:color="auto" w:fill="auto"/>
          <w:vAlign w:val="center"/>
          <w:hideMark/>
        </w:tcPr>
        <w:p w14:paraId="077B8BE9"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132%</w:t>
          </w:r>
        </w:p>
      </w:tc>
    </w:tr>
    <w:tr w:rsidR="005F3FCF" w:rsidRPr="0020194F" w14:paraId="4EF396A0" w14:textId="77777777" w:rsidTr="005F3FCF">
      <w:tc>
        <w:tcPr>
          <w:tcW w:w="6608" w:type="dxa"/>
          <w:vAlign w:val="center"/>
          <w:hideMark/>
        </w:tcPr>
        <w:p w14:paraId="55C4B334" w14:textId="77777777" w:rsidR="005F3FCF" w:rsidRPr="0020194F" w:rsidRDefault="005F3FCF" w:rsidP="005F3FCF">
          <w:pPr>
            <w:pStyle w:val="Title"/>
            <w:spacing w:after="120"/>
            <w:ind w:right="360"/>
            <w:jc w:val="left"/>
            <w:rPr>
              <w:rFonts w:ascii="Calibri" w:eastAsia="Times New Roman" w:hAnsi="Calibri"/>
              <w:color w:val="000000"/>
              <w:sz w:val="12"/>
              <w:szCs w:val="12"/>
            </w:rPr>
          </w:pPr>
          <w:r w:rsidRPr="005F3FCF">
            <w:rPr>
              <w:rFonts w:ascii="Gotham Book" w:hAnsi="Gotham Book"/>
              <w:b/>
              <w:color w:val="404040"/>
              <w:sz w:val="22"/>
              <w:szCs w:val="22"/>
            </w:rPr>
            <w:t xml:space="preserve">Provide </w:t>
          </w:r>
          <w:r w:rsidRPr="0020194F">
            <w:rPr>
              <w:rFonts w:ascii="Calibri" w:eastAsia="Times New Roman" w:hAnsi="Calibri"/>
              <w:color w:val="000000"/>
              <w:sz w:val="12"/>
              <w:szCs w:val="12"/>
            </w:rPr>
            <w:t>Housing for Homeless/at Risk of Homeless</w:t>
          </w:r>
        </w:p>
      </w:tc>
      <w:tc>
        <w:tcPr>
          <w:tcW w:w="3328" w:type="dxa"/>
          <w:vAlign w:val="center"/>
          <w:hideMark/>
        </w:tcPr>
        <w:p w14:paraId="761BAB80"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H</w:t>
          </w:r>
        </w:p>
      </w:tc>
      <w:tc>
        <w:tcPr>
          <w:tcW w:w="621" w:type="dxa"/>
          <w:tcBorders>
            <w:top w:val="nil"/>
            <w:left w:val="nil"/>
            <w:bottom w:val="single" w:sz="8" w:space="0" w:color="auto"/>
            <w:right w:val="single" w:sz="8" w:space="0" w:color="auto"/>
          </w:tcBorders>
          <w:shd w:val="clear" w:color="auto" w:fill="auto"/>
          <w:vAlign w:val="center"/>
          <w:hideMark/>
        </w:tcPr>
        <w:p w14:paraId="1E8F56FF" w14:textId="77777777" w:rsidR="005F3FCF" w:rsidRPr="0020194F" w:rsidRDefault="005F3FCF" w:rsidP="00816745">
          <w:pPr>
            <w:rPr>
              <w:rFonts w:ascii="Calibri" w:eastAsia="Times New Roman" w:hAnsi="Calibri"/>
              <w:color w:val="000000"/>
              <w:sz w:val="12"/>
              <w:szCs w:val="12"/>
            </w:rPr>
          </w:pPr>
          <w:r w:rsidRPr="0020194F">
            <w:rPr>
              <w:rFonts w:ascii="Calibri" w:eastAsia="Times New Roman" w:hAnsi="Calibri"/>
              <w:color w:val="000000"/>
              <w:sz w:val="12"/>
              <w:szCs w:val="12"/>
            </w:rPr>
            <w:t xml:space="preserve">HOME </w:t>
          </w:r>
          <w:r w:rsidRPr="0020194F">
            <w:rPr>
              <w:rFonts w:ascii="Calibri" w:eastAsia="Times New Roman" w:hAnsi="Calibri"/>
              <w:color w:val="000000"/>
              <w:sz w:val="12"/>
              <w:szCs w:val="12"/>
            </w:rPr>
            <w:br/>
            <w:t>ESG</w:t>
          </w:r>
        </w:p>
      </w:tc>
      <w:tc>
        <w:tcPr>
          <w:tcW w:w="2074" w:type="dxa"/>
          <w:tcBorders>
            <w:top w:val="nil"/>
            <w:left w:val="nil"/>
            <w:bottom w:val="single" w:sz="8" w:space="0" w:color="auto"/>
            <w:right w:val="single" w:sz="8" w:space="0" w:color="auto"/>
          </w:tcBorders>
          <w:shd w:val="clear" w:color="auto" w:fill="auto"/>
          <w:vAlign w:val="center"/>
          <w:hideMark/>
        </w:tcPr>
        <w:p w14:paraId="7C093419" w14:textId="77777777" w:rsidR="005F3FCF" w:rsidRPr="0020194F" w:rsidRDefault="005F3FCF" w:rsidP="00816745">
          <w:pPr>
            <w:rPr>
              <w:rFonts w:ascii="Calibri" w:eastAsia="Times New Roman" w:hAnsi="Calibri"/>
              <w:color w:val="000000"/>
              <w:sz w:val="12"/>
              <w:szCs w:val="12"/>
            </w:rPr>
          </w:pPr>
          <w:r w:rsidRPr="0020194F">
            <w:rPr>
              <w:rFonts w:ascii="Calibri" w:eastAsia="Times New Roman" w:hAnsi="Calibri"/>
              <w:color w:val="000000"/>
              <w:sz w:val="12"/>
              <w:szCs w:val="12"/>
            </w:rPr>
            <w:t>Homelessness Prevention</w:t>
          </w:r>
        </w:p>
      </w:tc>
      <w:tc>
        <w:tcPr>
          <w:tcW w:w="788" w:type="dxa"/>
          <w:tcBorders>
            <w:top w:val="nil"/>
            <w:left w:val="nil"/>
            <w:bottom w:val="single" w:sz="8" w:space="0" w:color="auto"/>
            <w:right w:val="single" w:sz="8" w:space="0" w:color="auto"/>
          </w:tcBorders>
          <w:shd w:val="clear" w:color="auto" w:fill="auto"/>
          <w:vAlign w:val="center"/>
          <w:hideMark/>
        </w:tcPr>
        <w:p w14:paraId="08209D85"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Persons Assisted</w:t>
          </w:r>
        </w:p>
      </w:tc>
      <w:tc>
        <w:tcPr>
          <w:tcW w:w="763" w:type="dxa"/>
          <w:tcBorders>
            <w:top w:val="nil"/>
            <w:left w:val="nil"/>
            <w:bottom w:val="single" w:sz="8" w:space="0" w:color="auto"/>
            <w:right w:val="single" w:sz="8" w:space="0" w:color="auto"/>
          </w:tcBorders>
          <w:shd w:val="clear" w:color="auto" w:fill="auto"/>
          <w:vAlign w:val="center"/>
          <w:hideMark/>
        </w:tcPr>
        <w:p w14:paraId="6647A34C"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300</w:t>
          </w:r>
        </w:p>
      </w:tc>
      <w:tc>
        <w:tcPr>
          <w:tcW w:w="763" w:type="dxa"/>
          <w:tcBorders>
            <w:top w:val="nil"/>
            <w:left w:val="nil"/>
            <w:bottom w:val="single" w:sz="8" w:space="0" w:color="auto"/>
            <w:right w:val="single" w:sz="8" w:space="0" w:color="auto"/>
          </w:tcBorders>
          <w:shd w:val="clear" w:color="auto" w:fill="auto"/>
          <w:vAlign w:val="center"/>
          <w:hideMark/>
        </w:tcPr>
        <w:p w14:paraId="65508C59"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113</w:t>
          </w:r>
        </w:p>
      </w:tc>
      <w:tc>
        <w:tcPr>
          <w:tcW w:w="698" w:type="dxa"/>
          <w:tcBorders>
            <w:top w:val="nil"/>
            <w:left w:val="nil"/>
            <w:bottom w:val="single" w:sz="8" w:space="0" w:color="auto"/>
            <w:right w:val="single" w:sz="8" w:space="0" w:color="auto"/>
          </w:tcBorders>
          <w:shd w:val="clear" w:color="auto" w:fill="auto"/>
          <w:vAlign w:val="center"/>
          <w:hideMark/>
        </w:tcPr>
        <w:p w14:paraId="5E252831"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38%</w:t>
          </w:r>
        </w:p>
      </w:tc>
      <w:tc>
        <w:tcPr>
          <w:tcW w:w="672" w:type="dxa"/>
          <w:tcBorders>
            <w:top w:val="nil"/>
            <w:left w:val="nil"/>
            <w:bottom w:val="single" w:sz="8" w:space="0" w:color="auto"/>
            <w:right w:val="single" w:sz="8" w:space="0" w:color="auto"/>
          </w:tcBorders>
          <w:shd w:val="clear" w:color="auto" w:fill="auto"/>
          <w:vAlign w:val="center"/>
          <w:hideMark/>
        </w:tcPr>
        <w:p w14:paraId="5283D54A"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60</w:t>
          </w:r>
        </w:p>
      </w:tc>
      <w:tc>
        <w:tcPr>
          <w:tcW w:w="672" w:type="dxa"/>
          <w:tcBorders>
            <w:top w:val="nil"/>
            <w:left w:val="nil"/>
            <w:bottom w:val="single" w:sz="8" w:space="0" w:color="auto"/>
            <w:right w:val="single" w:sz="8" w:space="0" w:color="auto"/>
          </w:tcBorders>
          <w:shd w:val="clear" w:color="auto" w:fill="auto"/>
          <w:vAlign w:val="center"/>
          <w:hideMark/>
        </w:tcPr>
        <w:p w14:paraId="269A4A88"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49</w:t>
          </w:r>
        </w:p>
      </w:tc>
      <w:tc>
        <w:tcPr>
          <w:tcW w:w="698" w:type="dxa"/>
          <w:tcBorders>
            <w:top w:val="nil"/>
            <w:left w:val="nil"/>
            <w:bottom w:val="single" w:sz="8" w:space="0" w:color="auto"/>
            <w:right w:val="single" w:sz="8" w:space="0" w:color="auto"/>
          </w:tcBorders>
          <w:shd w:val="clear" w:color="auto" w:fill="auto"/>
          <w:vAlign w:val="center"/>
          <w:hideMark/>
        </w:tcPr>
        <w:p w14:paraId="082A044C"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82%</w:t>
          </w:r>
        </w:p>
      </w:tc>
    </w:tr>
    <w:tr w:rsidR="005F3FCF" w:rsidRPr="0020194F" w14:paraId="15DF8B81" w14:textId="77777777" w:rsidTr="005F3FCF">
      <w:tc>
        <w:tcPr>
          <w:tcW w:w="6608" w:type="dxa"/>
          <w:vAlign w:val="center"/>
          <w:hideMark/>
        </w:tcPr>
        <w:p w14:paraId="71E648BF" w14:textId="77777777" w:rsidR="005F3FCF" w:rsidRPr="0020194F" w:rsidRDefault="005F3FCF" w:rsidP="005F3FCF">
          <w:pPr>
            <w:pStyle w:val="Title"/>
            <w:spacing w:after="120"/>
            <w:ind w:right="360"/>
            <w:jc w:val="left"/>
            <w:rPr>
              <w:rFonts w:ascii="Calibri" w:eastAsia="Times New Roman" w:hAnsi="Calibri"/>
              <w:color w:val="000000"/>
              <w:sz w:val="12"/>
              <w:szCs w:val="12"/>
            </w:rPr>
          </w:pPr>
          <w:r w:rsidRPr="005F3FCF">
            <w:rPr>
              <w:rFonts w:ascii="Gotham Book" w:hAnsi="Gotham Book"/>
              <w:b/>
              <w:color w:val="404040"/>
              <w:sz w:val="22"/>
              <w:szCs w:val="22"/>
            </w:rPr>
            <w:t xml:space="preserve">Provide </w:t>
          </w:r>
          <w:r w:rsidRPr="0020194F">
            <w:rPr>
              <w:rFonts w:ascii="Calibri" w:eastAsia="Times New Roman" w:hAnsi="Calibri"/>
              <w:color w:val="000000"/>
              <w:sz w:val="12"/>
              <w:szCs w:val="12"/>
            </w:rPr>
            <w:t>Services to Expand Opportunity/Sufficiency</w:t>
          </w:r>
        </w:p>
      </w:tc>
      <w:tc>
        <w:tcPr>
          <w:tcW w:w="3328" w:type="dxa"/>
          <w:vAlign w:val="center"/>
          <w:hideMark/>
        </w:tcPr>
        <w:p w14:paraId="2A81B250"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NHSN</w:t>
          </w:r>
        </w:p>
      </w:tc>
      <w:tc>
        <w:tcPr>
          <w:tcW w:w="621" w:type="dxa"/>
          <w:tcBorders>
            <w:top w:val="nil"/>
            <w:left w:val="nil"/>
            <w:bottom w:val="single" w:sz="8" w:space="0" w:color="auto"/>
            <w:right w:val="single" w:sz="8" w:space="0" w:color="auto"/>
          </w:tcBorders>
          <w:shd w:val="clear" w:color="auto" w:fill="auto"/>
          <w:vAlign w:val="center"/>
          <w:hideMark/>
        </w:tcPr>
        <w:p w14:paraId="4CA26255" w14:textId="77777777" w:rsidR="005F3FCF" w:rsidRPr="0020194F" w:rsidRDefault="005F3FCF" w:rsidP="00816745">
          <w:pPr>
            <w:rPr>
              <w:rFonts w:ascii="Calibri" w:eastAsia="Times New Roman" w:hAnsi="Calibri"/>
              <w:color w:val="000000"/>
              <w:sz w:val="12"/>
              <w:szCs w:val="12"/>
            </w:rPr>
          </w:pPr>
          <w:r w:rsidRPr="0020194F">
            <w:rPr>
              <w:rFonts w:ascii="Calibri" w:eastAsia="Times New Roman" w:hAnsi="Calibri"/>
              <w:color w:val="000000"/>
              <w:sz w:val="12"/>
              <w:szCs w:val="12"/>
            </w:rPr>
            <w:t>CDBG</w:t>
          </w:r>
        </w:p>
      </w:tc>
      <w:tc>
        <w:tcPr>
          <w:tcW w:w="2074" w:type="dxa"/>
          <w:tcBorders>
            <w:top w:val="nil"/>
            <w:left w:val="nil"/>
            <w:bottom w:val="single" w:sz="8" w:space="0" w:color="auto"/>
            <w:right w:val="single" w:sz="8" w:space="0" w:color="auto"/>
          </w:tcBorders>
          <w:shd w:val="clear" w:color="auto" w:fill="auto"/>
          <w:vAlign w:val="center"/>
          <w:hideMark/>
        </w:tcPr>
        <w:p w14:paraId="0CA3245C" w14:textId="77777777" w:rsidR="005F3FCF" w:rsidRPr="0020194F" w:rsidRDefault="005F3FCF" w:rsidP="00816745">
          <w:pPr>
            <w:rPr>
              <w:rFonts w:ascii="Calibri" w:eastAsia="Times New Roman" w:hAnsi="Calibri"/>
              <w:color w:val="000000"/>
              <w:sz w:val="12"/>
              <w:szCs w:val="12"/>
            </w:rPr>
          </w:pPr>
          <w:r w:rsidRPr="0020194F">
            <w:rPr>
              <w:rFonts w:ascii="Calibri" w:eastAsia="Times New Roman" w:hAnsi="Calibri"/>
              <w:color w:val="000000"/>
              <w:sz w:val="12"/>
              <w:szCs w:val="12"/>
            </w:rPr>
            <w:t>Public service activities other than Low/Moderate Income Housing Benefit</w:t>
          </w:r>
        </w:p>
      </w:tc>
      <w:tc>
        <w:tcPr>
          <w:tcW w:w="788" w:type="dxa"/>
          <w:tcBorders>
            <w:top w:val="nil"/>
            <w:left w:val="nil"/>
            <w:bottom w:val="single" w:sz="8" w:space="0" w:color="auto"/>
            <w:right w:val="single" w:sz="8" w:space="0" w:color="auto"/>
          </w:tcBorders>
          <w:shd w:val="clear" w:color="auto" w:fill="auto"/>
          <w:vAlign w:val="center"/>
          <w:hideMark/>
        </w:tcPr>
        <w:p w14:paraId="69B689DA"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Persons Assisted</w:t>
          </w:r>
        </w:p>
      </w:tc>
      <w:tc>
        <w:tcPr>
          <w:tcW w:w="763" w:type="dxa"/>
          <w:tcBorders>
            <w:top w:val="nil"/>
            <w:left w:val="nil"/>
            <w:bottom w:val="single" w:sz="8" w:space="0" w:color="auto"/>
            <w:right w:val="single" w:sz="8" w:space="0" w:color="auto"/>
          </w:tcBorders>
          <w:shd w:val="clear" w:color="auto" w:fill="auto"/>
          <w:vAlign w:val="center"/>
          <w:hideMark/>
        </w:tcPr>
        <w:p w14:paraId="1AD36563"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35000</w:t>
          </w:r>
        </w:p>
      </w:tc>
      <w:tc>
        <w:tcPr>
          <w:tcW w:w="763" w:type="dxa"/>
          <w:tcBorders>
            <w:top w:val="nil"/>
            <w:left w:val="nil"/>
            <w:bottom w:val="single" w:sz="8" w:space="0" w:color="auto"/>
            <w:right w:val="single" w:sz="8" w:space="0" w:color="auto"/>
          </w:tcBorders>
          <w:shd w:val="clear" w:color="auto" w:fill="auto"/>
          <w:vAlign w:val="center"/>
          <w:hideMark/>
        </w:tcPr>
        <w:p w14:paraId="3AE53DBD"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19409</w:t>
          </w:r>
        </w:p>
      </w:tc>
      <w:tc>
        <w:tcPr>
          <w:tcW w:w="698" w:type="dxa"/>
          <w:tcBorders>
            <w:top w:val="nil"/>
            <w:left w:val="nil"/>
            <w:bottom w:val="single" w:sz="8" w:space="0" w:color="auto"/>
            <w:right w:val="single" w:sz="8" w:space="0" w:color="auto"/>
          </w:tcBorders>
          <w:shd w:val="clear" w:color="auto" w:fill="auto"/>
          <w:vAlign w:val="center"/>
          <w:hideMark/>
        </w:tcPr>
        <w:p w14:paraId="077E4D09"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55%</w:t>
          </w:r>
        </w:p>
      </w:tc>
      <w:tc>
        <w:tcPr>
          <w:tcW w:w="672" w:type="dxa"/>
          <w:tcBorders>
            <w:top w:val="nil"/>
            <w:left w:val="nil"/>
            <w:bottom w:val="single" w:sz="8" w:space="0" w:color="auto"/>
            <w:right w:val="single" w:sz="8" w:space="0" w:color="auto"/>
          </w:tcBorders>
          <w:shd w:val="clear" w:color="auto" w:fill="auto"/>
          <w:vAlign w:val="center"/>
          <w:hideMark/>
        </w:tcPr>
        <w:p w14:paraId="135E0FCA"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7000</w:t>
          </w:r>
        </w:p>
      </w:tc>
      <w:tc>
        <w:tcPr>
          <w:tcW w:w="672" w:type="dxa"/>
          <w:tcBorders>
            <w:top w:val="nil"/>
            <w:left w:val="nil"/>
            <w:bottom w:val="single" w:sz="8" w:space="0" w:color="auto"/>
            <w:right w:val="single" w:sz="8" w:space="0" w:color="auto"/>
          </w:tcBorders>
          <w:shd w:val="clear" w:color="auto" w:fill="auto"/>
          <w:vAlign w:val="center"/>
          <w:hideMark/>
        </w:tcPr>
        <w:p w14:paraId="1A9070BB"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1907</w:t>
          </w:r>
        </w:p>
      </w:tc>
      <w:tc>
        <w:tcPr>
          <w:tcW w:w="698" w:type="dxa"/>
          <w:tcBorders>
            <w:top w:val="nil"/>
            <w:left w:val="nil"/>
            <w:bottom w:val="single" w:sz="8" w:space="0" w:color="auto"/>
            <w:right w:val="single" w:sz="8" w:space="0" w:color="auto"/>
          </w:tcBorders>
          <w:shd w:val="clear" w:color="auto" w:fill="auto"/>
          <w:vAlign w:val="center"/>
          <w:hideMark/>
        </w:tcPr>
        <w:p w14:paraId="32418030"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27%</w:t>
          </w:r>
        </w:p>
      </w:tc>
    </w:tr>
    <w:tr w:rsidR="005F3FCF" w:rsidRPr="0020194F" w14:paraId="0077E7F1" w14:textId="77777777" w:rsidTr="005F3FCF">
      <w:tc>
        <w:tcPr>
          <w:tcW w:w="6608" w:type="dxa"/>
          <w:vAlign w:val="center"/>
          <w:hideMark/>
        </w:tcPr>
        <w:p w14:paraId="3BF79414" w14:textId="77777777" w:rsidR="005F3FCF" w:rsidRPr="0020194F" w:rsidRDefault="005F3FCF" w:rsidP="005F3FCF">
          <w:pPr>
            <w:pStyle w:val="Title"/>
            <w:spacing w:after="120"/>
            <w:ind w:right="360"/>
            <w:jc w:val="left"/>
            <w:rPr>
              <w:rFonts w:ascii="Calibri" w:eastAsia="Times New Roman" w:hAnsi="Calibri"/>
              <w:color w:val="000000"/>
              <w:sz w:val="12"/>
              <w:szCs w:val="12"/>
            </w:rPr>
          </w:pPr>
          <w:r w:rsidRPr="005F3FCF">
            <w:rPr>
              <w:rFonts w:ascii="Gotham Book" w:hAnsi="Gotham Book"/>
              <w:b/>
              <w:color w:val="404040"/>
              <w:sz w:val="22"/>
              <w:szCs w:val="22"/>
            </w:rPr>
            <w:t xml:space="preserve">Provide </w:t>
          </w:r>
          <w:r w:rsidRPr="0020194F">
            <w:rPr>
              <w:rFonts w:ascii="Calibri" w:eastAsia="Times New Roman" w:hAnsi="Calibri"/>
              <w:color w:val="000000"/>
              <w:sz w:val="12"/>
              <w:szCs w:val="12"/>
            </w:rPr>
            <w:t>Services to Expand Opportunity/Sufficiency</w:t>
          </w:r>
        </w:p>
      </w:tc>
      <w:tc>
        <w:tcPr>
          <w:tcW w:w="3328" w:type="dxa"/>
          <w:vAlign w:val="center"/>
          <w:hideMark/>
        </w:tcPr>
        <w:p w14:paraId="23F8904B"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NHSN</w:t>
          </w:r>
        </w:p>
      </w:tc>
      <w:tc>
        <w:tcPr>
          <w:tcW w:w="621" w:type="dxa"/>
          <w:tcBorders>
            <w:top w:val="nil"/>
            <w:left w:val="nil"/>
            <w:bottom w:val="single" w:sz="8" w:space="0" w:color="auto"/>
            <w:right w:val="single" w:sz="8" w:space="0" w:color="auto"/>
          </w:tcBorders>
          <w:shd w:val="clear" w:color="auto" w:fill="auto"/>
          <w:vAlign w:val="center"/>
          <w:hideMark/>
        </w:tcPr>
        <w:p w14:paraId="11C45C99" w14:textId="77777777" w:rsidR="005F3FCF" w:rsidRPr="0020194F" w:rsidRDefault="005F3FCF" w:rsidP="00816745">
          <w:pPr>
            <w:rPr>
              <w:rFonts w:ascii="Calibri" w:eastAsia="Times New Roman" w:hAnsi="Calibri"/>
              <w:color w:val="000000"/>
              <w:sz w:val="12"/>
              <w:szCs w:val="12"/>
            </w:rPr>
          </w:pPr>
          <w:r w:rsidRPr="0020194F">
            <w:rPr>
              <w:rFonts w:ascii="Calibri" w:eastAsia="Times New Roman" w:hAnsi="Calibri"/>
              <w:color w:val="000000"/>
              <w:sz w:val="12"/>
              <w:szCs w:val="12"/>
            </w:rPr>
            <w:t>CDBG</w:t>
          </w:r>
        </w:p>
      </w:tc>
      <w:tc>
        <w:tcPr>
          <w:tcW w:w="2074" w:type="dxa"/>
          <w:tcBorders>
            <w:top w:val="nil"/>
            <w:left w:val="nil"/>
            <w:bottom w:val="single" w:sz="8" w:space="0" w:color="auto"/>
            <w:right w:val="single" w:sz="8" w:space="0" w:color="auto"/>
          </w:tcBorders>
          <w:shd w:val="clear" w:color="auto" w:fill="auto"/>
          <w:vAlign w:val="center"/>
          <w:hideMark/>
        </w:tcPr>
        <w:p w14:paraId="35211AC5" w14:textId="77777777" w:rsidR="005F3FCF" w:rsidRPr="0020194F" w:rsidRDefault="005F3FCF" w:rsidP="00816745">
          <w:pPr>
            <w:rPr>
              <w:rFonts w:ascii="Calibri" w:eastAsia="Times New Roman" w:hAnsi="Calibri"/>
              <w:color w:val="000000"/>
              <w:sz w:val="12"/>
              <w:szCs w:val="12"/>
            </w:rPr>
          </w:pPr>
          <w:r w:rsidRPr="0020194F">
            <w:rPr>
              <w:rFonts w:ascii="Calibri" w:eastAsia="Times New Roman" w:hAnsi="Calibri"/>
              <w:color w:val="000000"/>
              <w:sz w:val="12"/>
              <w:szCs w:val="12"/>
            </w:rPr>
            <w:t>Homeless Person Overnight Shelter</w:t>
          </w:r>
        </w:p>
      </w:tc>
      <w:tc>
        <w:tcPr>
          <w:tcW w:w="788" w:type="dxa"/>
          <w:tcBorders>
            <w:top w:val="nil"/>
            <w:left w:val="nil"/>
            <w:bottom w:val="single" w:sz="8" w:space="0" w:color="auto"/>
            <w:right w:val="single" w:sz="8" w:space="0" w:color="auto"/>
          </w:tcBorders>
          <w:shd w:val="clear" w:color="auto" w:fill="auto"/>
          <w:vAlign w:val="center"/>
          <w:hideMark/>
        </w:tcPr>
        <w:p w14:paraId="520CD274"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Persons Assisted</w:t>
          </w:r>
        </w:p>
      </w:tc>
      <w:tc>
        <w:tcPr>
          <w:tcW w:w="763" w:type="dxa"/>
          <w:tcBorders>
            <w:top w:val="nil"/>
            <w:left w:val="nil"/>
            <w:bottom w:val="single" w:sz="8" w:space="0" w:color="auto"/>
            <w:right w:val="single" w:sz="8" w:space="0" w:color="auto"/>
          </w:tcBorders>
          <w:shd w:val="clear" w:color="auto" w:fill="auto"/>
          <w:vAlign w:val="center"/>
          <w:hideMark/>
        </w:tcPr>
        <w:p w14:paraId="50F292A4"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0</w:t>
          </w:r>
        </w:p>
      </w:tc>
      <w:tc>
        <w:tcPr>
          <w:tcW w:w="763" w:type="dxa"/>
          <w:tcBorders>
            <w:top w:val="nil"/>
            <w:left w:val="nil"/>
            <w:bottom w:val="single" w:sz="8" w:space="0" w:color="auto"/>
            <w:right w:val="single" w:sz="8" w:space="0" w:color="auto"/>
          </w:tcBorders>
          <w:shd w:val="clear" w:color="auto" w:fill="auto"/>
          <w:vAlign w:val="center"/>
          <w:hideMark/>
        </w:tcPr>
        <w:p w14:paraId="04F08A01"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98" w:type="dxa"/>
          <w:tcBorders>
            <w:top w:val="nil"/>
            <w:left w:val="nil"/>
            <w:bottom w:val="single" w:sz="8" w:space="0" w:color="auto"/>
            <w:right w:val="single" w:sz="8" w:space="0" w:color="auto"/>
          </w:tcBorders>
          <w:shd w:val="clear" w:color="auto" w:fill="auto"/>
          <w:vAlign w:val="center"/>
          <w:hideMark/>
        </w:tcPr>
        <w:p w14:paraId="1AEAF579"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72" w:type="dxa"/>
          <w:tcBorders>
            <w:top w:val="nil"/>
            <w:left w:val="nil"/>
            <w:bottom w:val="single" w:sz="8" w:space="0" w:color="auto"/>
            <w:right w:val="single" w:sz="8" w:space="0" w:color="auto"/>
          </w:tcBorders>
          <w:shd w:val="clear" w:color="auto" w:fill="auto"/>
          <w:vAlign w:val="center"/>
          <w:hideMark/>
        </w:tcPr>
        <w:p w14:paraId="42D7E3C5"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0</w:t>
          </w:r>
        </w:p>
      </w:tc>
      <w:tc>
        <w:tcPr>
          <w:tcW w:w="672" w:type="dxa"/>
          <w:tcBorders>
            <w:top w:val="nil"/>
            <w:left w:val="nil"/>
            <w:bottom w:val="single" w:sz="8" w:space="0" w:color="auto"/>
            <w:right w:val="single" w:sz="8" w:space="0" w:color="auto"/>
          </w:tcBorders>
          <w:shd w:val="clear" w:color="auto" w:fill="auto"/>
          <w:vAlign w:val="center"/>
          <w:hideMark/>
        </w:tcPr>
        <w:p w14:paraId="6F49DAF9"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c>
        <w:tcPr>
          <w:tcW w:w="698" w:type="dxa"/>
          <w:tcBorders>
            <w:top w:val="nil"/>
            <w:left w:val="nil"/>
            <w:bottom w:val="single" w:sz="8" w:space="0" w:color="auto"/>
            <w:right w:val="single" w:sz="8" w:space="0" w:color="auto"/>
          </w:tcBorders>
          <w:shd w:val="clear" w:color="auto" w:fill="auto"/>
          <w:vAlign w:val="center"/>
          <w:hideMark/>
        </w:tcPr>
        <w:p w14:paraId="7F627D90"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N/A</w:t>
          </w:r>
        </w:p>
      </w:tc>
    </w:tr>
    <w:tr w:rsidR="005F3FCF" w:rsidRPr="009605B2" w14:paraId="4A2D7ED2" w14:textId="77777777" w:rsidTr="005F3FCF">
      <w:tc>
        <w:tcPr>
          <w:tcW w:w="6608" w:type="dxa"/>
          <w:vAlign w:val="center"/>
          <w:hideMark/>
        </w:tcPr>
        <w:p w14:paraId="1309A7F3" w14:textId="77777777" w:rsidR="005F3FCF" w:rsidRPr="0020194F" w:rsidRDefault="005F3FCF" w:rsidP="005F3FCF">
          <w:pPr>
            <w:pStyle w:val="Title"/>
            <w:spacing w:after="120"/>
            <w:ind w:right="360"/>
            <w:jc w:val="left"/>
            <w:rPr>
              <w:rFonts w:ascii="Calibri" w:eastAsia="Times New Roman" w:hAnsi="Calibri"/>
              <w:color w:val="000000"/>
              <w:sz w:val="12"/>
              <w:szCs w:val="12"/>
            </w:rPr>
          </w:pPr>
          <w:r w:rsidRPr="005F3FCF">
            <w:rPr>
              <w:rFonts w:ascii="Gotham Book" w:hAnsi="Gotham Book"/>
              <w:b/>
              <w:color w:val="404040"/>
              <w:sz w:val="22"/>
              <w:szCs w:val="22"/>
            </w:rPr>
            <w:t xml:space="preserve">Revitalize </w:t>
          </w:r>
          <w:r w:rsidRPr="0020194F">
            <w:rPr>
              <w:rFonts w:ascii="Calibri" w:eastAsia="Times New Roman" w:hAnsi="Calibri"/>
              <w:color w:val="000000"/>
              <w:sz w:val="12"/>
              <w:szCs w:val="12"/>
            </w:rPr>
            <w:t>Business Nodes in Target Areas</w:t>
          </w:r>
        </w:p>
      </w:tc>
      <w:tc>
        <w:tcPr>
          <w:tcW w:w="3328" w:type="dxa"/>
          <w:vAlign w:val="center"/>
          <w:hideMark/>
        </w:tcPr>
        <w:p w14:paraId="747CCCDF"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NHCD</w:t>
          </w:r>
        </w:p>
      </w:tc>
      <w:tc>
        <w:tcPr>
          <w:tcW w:w="621" w:type="dxa"/>
          <w:tcBorders>
            <w:top w:val="nil"/>
            <w:left w:val="nil"/>
            <w:bottom w:val="single" w:sz="8" w:space="0" w:color="auto"/>
            <w:right w:val="single" w:sz="8" w:space="0" w:color="auto"/>
          </w:tcBorders>
          <w:shd w:val="clear" w:color="auto" w:fill="auto"/>
          <w:vAlign w:val="center"/>
          <w:hideMark/>
        </w:tcPr>
        <w:p w14:paraId="72CC8A2C" w14:textId="77777777" w:rsidR="005F3FCF" w:rsidRPr="0020194F" w:rsidRDefault="005F3FCF" w:rsidP="00816745">
          <w:pPr>
            <w:rPr>
              <w:rFonts w:ascii="Calibri" w:eastAsia="Times New Roman" w:hAnsi="Calibri"/>
              <w:color w:val="000000"/>
              <w:sz w:val="12"/>
              <w:szCs w:val="12"/>
            </w:rPr>
          </w:pPr>
          <w:r w:rsidRPr="0020194F">
            <w:rPr>
              <w:rFonts w:ascii="Calibri" w:eastAsia="Times New Roman" w:hAnsi="Calibri"/>
              <w:color w:val="000000"/>
              <w:sz w:val="12"/>
              <w:szCs w:val="12"/>
            </w:rPr>
            <w:t>CDBG</w:t>
          </w:r>
        </w:p>
      </w:tc>
      <w:tc>
        <w:tcPr>
          <w:tcW w:w="2074" w:type="dxa"/>
          <w:tcBorders>
            <w:top w:val="nil"/>
            <w:left w:val="nil"/>
            <w:bottom w:val="single" w:sz="8" w:space="0" w:color="auto"/>
            <w:right w:val="single" w:sz="8" w:space="0" w:color="auto"/>
          </w:tcBorders>
          <w:shd w:val="clear" w:color="auto" w:fill="auto"/>
          <w:vAlign w:val="center"/>
          <w:hideMark/>
        </w:tcPr>
        <w:p w14:paraId="2BDDA5A8" w14:textId="77777777" w:rsidR="005F3FCF" w:rsidRPr="0020194F" w:rsidRDefault="005F3FCF" w:rsidP="00816745">
          <w:pPr>
            <w:rPr>
              <w:rFonts w:ascii="Calibri" w:eastAsia="Times New Roman" w:hAnsi="Calibri"/>
              <w:color w:val="000000"/>
              <w:sz w:val="12"/>
              <w:szCs w:val="12"/>
            </w:rPr>
          </w:pPr>
          <w:r w:rsidRPr="0020194F">
            <w:rPr>
              <w:rFonts w:ascii="Calibri" w:eastAsia="Times New Roman" w:hAnsi="Calibri"/>
              <w:color w:val="000000"/>
              <w:sz w:val="12"/>
              <w:szCs w:val="12"/>
            </w:rPr>
            <w:t>Facade treatment/business building rehabilitation</w:t>
          </w:r>
        </w:p>
      </w:tc>
      <w:tc>
        <w:tcPr>
          <w:tcW w:w="788" w:type="dxa"/>
          <w:tcBorders>
            <w:top w:val="nil"/>
            <w:left w:val="nil"/>
            <w:bottom w:val="single" w:sz="8" w:space="0" w:color="auto"/>
            <w:right w:val="single" w:sz="8" w:space="0" w:color="auto"/>
          </w:tcBorders>
          <w:shd w:val="clear" w:color="auto" w:fill="auto"/>
          <w:vAlign w:val="center"/>
          <w:hideMark/>
        </w:tcPr>
        <w:p w14:paraId="7128F89E"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Business</w:t>
          </w:r>
        </w:p>
      </w:tc>
      <w:tc>
        <w:tcPr>
          <w:tcW w:w="763" w:type="dxa"/>
          <w:tcBorders>
            <w:top w:val="nil"/>
            <w:left w:val="nil"/>
            <w:bottom w:val="single" w:sz="8" w:space="0" w:color="auto"/>
            <w:right w:val="single" w:sz="8" w:space="0" w:color="auto"/>
          </w:tcBorders>
          <w:shd w:val="clear" w:color="auto" w:fill="auto"/>
          <w:vAlign w:val="center"/>
          <w:hideMark/>
        </w:tcPr>
        <w:p w14:paraId="4BD6B664"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75</w:t>
          </w:r>
        </w:p>
      </w:tc>
      <w:tc>
        <w:tcPr>
          <w:tcW w:w="763" w:type="dxa"/>
          <w:tcBorders>
            <w:top w:val="nil"/>
            <w:left w:val="nil"/>
            <w:bottom w:val="single" w:sz="8" w:space="0" w:color="auto"/>
            <w:right w:val="single" w:sz="8" w:space="0" w:color="auto"/>
          </w:tcBorders>
          <w:shd w:val="clear" w:color="auto" w:fill="auto"/>
          <w:vAlign w:val="center"/>
          <w:hideMark/>
        </w:tcPr>
        <w:p w14:paraId="071FF0E0"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28</w:t>
          </w:r>
        </w:p>
      </w:tc>
      <w:tc>
        <w:tcPr>
          <w:tcW w:w="698" w:type="dxa"/>
          <w:tcBorders>
            <w:top w:val="nil"/>
            <w:left w:val="nil"/>
            <w:bottom w:val="single" w:sz="8" w:space="0" w:color="auto"/>
            <w:right w:val="single" w:sz="8" w:space="0" w:color="auto"/>
          </w:tcBorders>
          <w:shd w:val="clear" w:color="auto" w:fill="auto"/>
          <w:vAlign w:val="center"/>
          <w:hideMark/>
        </w:tcPr>
        <w:p w14:paraId="6F686CFB"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37%</w:t>
          </w:r>
        </w:p>
      </w:tc>
      <w:tc>
        <w:tcPr>
          <w:tcW w:w="672" w:type="dxa"/>
          <w:tcBorders>
            <w:top w:val="nil"/>
            <w:left w:val="nil"/>
            <w:bottom w:val="single" w:sz="8" w:space="0" w:color="auto"/>
            <w:right w:val="single" w:sz="8" w:space="0" w:color="auto"/>
          </w:tcBorders>
          <w:shd w:val="clear" w:color="auto" w:fill="auto"/>
          <w:vAlign w:val="center"/>
          <w:hideMark/>
        </w:tcPr>
        <w:p w14:paraId="1429CE73"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15</w:t>
          </w:r>
        </w:p>
      </w:tc>
      <w:tc>
        <w:tcPr>
          <w:tcW w:w="672" w:type="dxa"/>
          <w:tcBorders>
            <w:top w:val="nil"/>
            <w:left w:val="nil"/>
            <w:bottom w:val="single" w:sz="8" w:space="0" w:color="auto"/>
            <w:right w:val="single" w:sz="8" w:space="0" w:color="auto"/>
          </w:tcBorders>
          <w:shd w:val="clear" w:color="auto" w:fill="auto"/>
          <w:vAlign w:val="center"/>
          <w:hideMark/>
        </w:tcPr>
        <w:p w14:paraId="22E1CF98" w14:textId="77777777" w:rsidR="005F3FCF" w:rsidRPr="0020194F"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8</w:t>
          </w:r>
        </w:p>
      </w:tc>
      <w:tc>
        <w:tcPr>
          <w:tcW w:w="698" w:type="dxa"/>
          <w:tcBorders>
            <w:top w:val="nil"/>
            <w:left w:val="nil"/>
            <w:bottom w:val="single" w:sz="8" w:space="0" w:color="auto"/>
            <w:right w:val="single" w:sz="8" w:space="0" w:color="auto"/>
          </w:tcBorders>
          <w:shd w:val="clear" w:color="auto" w:fill="auto"/>
          <w:vAlign w:val="center"/>
          <w:hideMark/>
        </w:tcPr>
        <w:p w14:paraId="4BE5CE70" w14:textId="77777777" w:rsidR="005F3FCF" w:rsidRPr="009605B2" w:rsidRDefault="005F3FCF" w:rsidP="00816745">
          <w:pPr>
            <w:jc w:val="center"/>
            <w:rPr>
              <w:rFonts w:ascii="Calibri" w:eastAsia="Times New Roman" w:hAnsi="Calibri"/>
              <w:color w:val="000000"/>
              <w:sz w:val="12"/>
              <w:szCs w:val="12"/>
            </w:rPr>
          </w:pPr>
          <w:r w:rsidRPr="0020194F">
            <w:rPr>
              <w:rFonts w:ascii="Calibri" w:eastAsia="Times New Roman" w:hAnsi="Calibri"/>
              <w:color w:val="000000"/>
              <w:sz w:val="12"/>
              <w:szCs w:val="12"/>
            </w:rPr>
            <w:t>53%</w:t>
          </w:r>
        </w:p>
      </w:tc>
    </w:tr>
  </w:tbl>
  <w:p w14:paraId="4E6719DA" w14:textId="77777777" w:rsidR="005F3FCF" w:rsidRPr="005F3FCF" w:rsidRDefault="005F3FCF" w:rsidP="005F3FCF">
    <w:pPr>
      <w:pStyle w:val="Title"/>
      <w:spacing w:after="120"/>
      <w:ind w:left="360"/>
      <w:rPr>
        <w:rFonts w:ascii="Gotham Book" w:hAnsi="Gotham Book"/>
        <w:color w:val="404040"/>
        <w:sz w:val="22"/>
        <w:szCs w:val="22"/>
      </w:rPr>
    </w:pPr>
  </w:p>
  <w:p w14:paraId="645798AF" w14:textId="77777777" w:rsidR="005F3FCF" w:rsidRPr="005F3FCF" w:rsidRDefault="005F3FCF" w:rsidP="005F3FCF">
    <w:pPr>
      <w:pStyle w:val="Title"/>
      <w:spacing w:after="120"/>
      <w:ind w:left="360"/>
      <w:rPr>
        <w:rFonts w:ascii="Gotham Book" w:hAnsi="Gotham Book"/>
        <w:color w:val="404040"/>
        <w:sz w:val="22"/>
        <w:szCs w:val="22"/>
      </w:rPr>
    </w:pPr>
  </w:p>
  <w:tbl>
    <w:tblPr>
      <w:tblW w:w="0" w:type="auto"/>
      <w:tblInd w:w="360" w:type="dxa"/>
      <w:tblLook w:val="04A0" w:firstRow="1" w:lastRow="0" w:firstColumn="1" w:lastColumn="0" w:noHBand="0" w:noVBand="1"/>
    </w:tblPr>
    <w:tblGrid>
      <w:gridCol w:w="6608"/>
      <w:gridCol w:w="3328"/>
    </w:tblGrid>
    <w:tr w:rsidR="005F3FCF" w:rsidRPr="004E77EA" w14:paraId="2418B0E9" w14:textId="77777777" w:rsidTr="005F3FCF">
      <w:trPr>
        <w:gridAfter w:val="1"/>
        <w:wAfter w:w="3328" w:type="dxa"/>
      </w:trPr>
      <w:tc>
        <w:tcPr>
          <w:tcW w:w="6608" w:type="dxa"/>
          <w:vAlign w:val="bottom"/>
          <w:hideMark/>
        </w:tcPr>
        <w:p w14:paraId="0F895F46" w14:textId="77777777" w:rsidR="005F3FCF" w:rsidRPr="005F3FCF" w:rsidRDefault="005F3FCF" w:rsidP="005F3FCF">
          <w:pPr>
            <w:pStyle w:val="Title"/>
            <w:spacing w:after="120"/>
            <w:ind w:right="360"/>
            <w:jc w:val="left"/>
            <w:rPr>
              <w:rFonts w:ascii="Gotham Book" w:hAnsi="Gotham Book"/>
              <w:b/>
              <w:color w:val="404040"/>
              <w:sz w:val="22"/>
              <w:szCs w:val="22"/>
            </w:rPr>
          </w:pPr>
          <w:r w:rsidRPr="005F3FCF">
            <w:rPr>
              <w:rFonts w:ascii="Gotham Book" w:hAnsi="Gotham Book"/>
              <w:b/>
              <w:color w:val="404040"/>
              <w:sz w:val="22"/>
              <w:szCs w:val="22"/>
            </w:rPr>
            <w:t>Key</w:t>
          </w:r>
        </w:p>
      </w:tc>
    </w:tr>
    <w:tr w:rsidR="005F3FCF" w:rsidRPr="004E77EA" w14:paraId="7B817704" w14:textId="77777777" w:rsidTr="005F3FCF">
      <w:tc>
        <w:tcPr>
          <w:tcW w:w="6608" w:type="dxa"/>
          <w:vAlign w:val="bottom"/>
          <w:hideMark/>
        </w:tcPr>
        <w:p w14:paraId="6247A220" w14:textId="77777777" w:rsidR="005F3FCF" w:rsidRPr="004E77EA" w:rsidRDefault="005F3FCF" w:rsidP="005F3FCF">
          <w:pPr>
            <w:pStyle w:val="Title"/>
            <w:spacing w:after="120"/>
            <w:ind w:right="360"/>
            <w:jc w:val="left"/>
            <w:rPr>
              <w:rFonts w:ascii="Calibri" w:eastAsia="Times New Roman" w:hAnsi="Calibri"/>
              <w:color w:val="404040" w:themeColor="text1" w:themeTint="BF"/>
              <w:sz w:val="16"/>
              <w:szCs w:val="16"/>
            </w:rPr>
          </w:pPr>
          <w:r w:rsidRPr="005F3FCF">
            <w:rPr>
              <w:rFonts w:ascii="Gotham Book" w:hAnsi="Gotham Book"/>
              <w:b/>
              <w:color w:val="404040"/>
              <w:sz w:val="22"/>
              <w:szCs w:val="22"/>
            </w:rPr>
            <w:t xml:space="preserve">Category </w:t>
          </w:r>
        </w:p>
      </w:tc>
      <w:tc>
        <w:tcPr>
          <w:tcW w:w="3328" w:type="dxa"/>
          <w:vAlign w:val="bottom"/>
          <w:hideMark/>
        </w:tcPr>
        <w:p w14:paraId="71238A67" w14:textId="77777777" w:rsidR="005F3FCF" w:rsidRPr="004E77EA" w:rsidRDefault="005F3FCF" w:rsidP="005F3FCF">
          <w:pPr>
            <w:pStyle w:val="Title"/>
            <w:spacing w:after="120"/>
            <w:ind w:right="360"/>
            <w:rPr>
              <w:rFonts w:ascii="Calibri" w:eastAsia="Times New Roman" w:hAnsi="Calibri"/>
              <w:color w:val="404040" w:themeColor="text1" w:themeTint="BF"/>
              <w:sz w:val="16"/>
              <w:szCs w:val="16"/>
            </w:rPr>
          </w:pPr>
          <w:r w:rsidRPr="005F3FCF">
            <w:rPr>
              <w:rFonts w:ascii="Gotham Book" w:hAnsi="Gotham Book"/>
              <w:b/>
              <w:color w:val="404040"/>
              <w:sz w:val="22"/>
              <w:szCs w:val="22"/>
            </w:rPr>
            <w:t>Category Explanation</w:t>
          </w:r>
        </w:p>
      </w:tc>
    </w:tr>
    <w:tr w:rsidR="005F3FCF" w:rsidRPr="004E77EA" w14:paraId="60B5F398" w14:textId="77777777" w:rsidTr="005F3FCF">
      <w:tc>
        <w:tcPr>
          <w:tcW w:w="6608" w:type="dxa"/>
          <w:vAlign w:val="bottom"/>
          <w:hideMark/>
        </w:tcPr>
        <w:p w14:paraId="30BFE058" w14:textId="77777777" w:rsidR="005F3FCF" w:rsidRPr="004E77EA" w:rsidRDefault="005F3FCF" w:rsidP="005F3FCF">
          <w:pPr>
            <w:pStyle w:val="Title"/>
            <w:spacing w:after="120"/>
            <w:ind w:right="360"/>
            <w:jc w:val="left"/>
            <w:rPr>
              <w:rFonts w:ascii="Calibri" w:eastAsia="Times New Roman" w:hAnsi="Calibri"/>
              <w:color w:val="404040" w:themeColor="text1" w:themeTint="BF"/>
              <w:sz w:val="16"/>
              <w:szCs w:val="16"/>
            </w:rPr>
          </w:pPr>
          <w:r w:rsidRPr="005F3FCF">
            <w:rPr>
              <w:rFonts w:ascii="Gotham Book" w:hAnsi="Gotham Book"/>
              <w:b/>
              <w:color w:val="404040"/>
              <w:sz w:val="22"/>
              <w:szCs w:val="22"/>
            </w:rPr>
            <w:t xml:space="preserve">Admin </w:t>
          </w:r>
        </w:p>
      </w:tc>
      <w:tc>
        <w:tcPr>
          <w:tcW w:w="3328" w:type="dxa"/>
          <w:vAlign w:val="bottom"/>
          <w:hideMark/>
        </w:tcPr>
        <w:p w14:paraId="4C0E6E9A"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Administration</w:t>
          </w:r>
        </w:p>
      </w:tc>
    </w:tr>
    <w:tr w:rsidR="005F3FCF" w:rsidRPr="004E77EA" w14:paraId="3640D150" w14:textId="77777777" w:rsidTr="005F3FCF">
      <w:tc>
        <w:tcPr>
          <w:tcW w:w="6608" w:type="dxa"/>
          <w:vAlign w:val="bottom"/>
          <w:hideMark/>
        </w:tcPr>
        <w:p w14:paraId="3F4EEC67" w14:textId="77777777" w:rsidR="005F3FCF" w:rsidRPr="005F3FCF" w:rsidRDefault="005F3FCF" w:rsidP="005F3FCF">
          <w:pPr>
            <w:pStyle w:val="Title"/>
            <w:spacing w:after="120"/>
            <w:ind w:right="360"/>
            <w:jc w:val="left"/>
            <w:rPr>
              <w:rFonts w:ascii="Gotham Book" w:hAnsi="Gotham Book"/>
              <w:b/>
              <w:color w:val="404040"/>
              <w:sz w:val="22"/>
              <w:szCs w:val="22"/>
            </w:rPr>
          </w:pPr>
          <w:r w:rsidRPr="005F3FCF">
            <w:rPr>
              <w:rFonts w:ascii="Gotham Book" w:hAnsi="Gotham Book"/>
              <w:b/>
              <w:color w:val="404040"/>
              <w:sz w:val="22"/>
              <w:szCs w:val="22"/>
            </w:rPr>
            <w:t>AH</w:t>
          </w:r>
        </w:p>
      </w:tc>
      <w:tc>
        <w:tcPr>
          <w:tcW w:w="3328" w:type="dxa"/>
          <w:vAlign w:val="bottom"/>
          <w:hideMark/>
        </w:tcPr>
        <w:p w14:paraId="51D0119F" w14:textId="77777777" w:rsidR="005F3FCF" w:rsidRPr="004E77EA" w:rsidRDefault="005F3FCF" w:rsidP="005F3FCF">
          <w:pPr>
            <w:pStyle w:val="Title"/>
            <w:spacing w:after="120"/>
            <w:ind w:right="360"/>
            <w:rPr>
              <w:rFonts w:ascii="Calibri" w:eastAsia="Times New Roman" w:hAnsi="Calibri"/>
              <w:color w:val="404040" w:themeColor="text1" w:themeTint="BF"/>
              <w:sz w:val="16"/>
              <w:szCs w:val="16"/>
            </w:rPr>
          </w:pPr>
          <w:r w:rsidRPr="005F3FCF">
            <w:rPr>
              <w:rFonts w:ascii="Gotham Book" w:hAnsi="Gotham Book"/>
              <w:b/>
              <w:color w:val="404040"/>
              <w:sz w:val="22"/>
              <w:szCs w:val="22"/>
            </w:rPr>
            <w:t>Affordable Housing</w:t>
          </w:r>
        </w:p>
      </w:tc>
    </w:tr>
    <w:tr w:rsidR="005F3FCF" w:rsidRPr="004E77EA" w14:paraId="5C30F78A" w14:textId="77777777" w:rsidTr="005F3FCF">
      <w:tc>
        <w:tcPr>
          <w:tcW w:w="6608" w:type="dxa"/>
          <w:vAlign w:val="bottom"/>
          <w:hideMark/>
        </w:tcPr>
        <w:p w14:paraId="6FAAA7A7" w14:textId="77777777" w:rsidR="005F3FCF" w:rsidRPr="005F3FCF" w:rsidRDefault="005F3FCF" w:rsidP="005F3FCF">
          <w:pPr>
            <w:pStyle w:val="Title"/>
            <w:spacing w:after="120"/>
            <w:ind w:right="360"/>
            <w:jc w:val="left"/>
            <w:rPr>
              <w:rFonts w:ascii="Gotham Book" w:hAnsi="Gotham Book"/>
              <w:b/>
              <w:color w:val="404040"/>
              <w:sz w:val="22"/>
              <w:szCs w:val="22"/>
            </w:rPr>
          </w:pPr>
          <w:r w:rsidRPr="005F3FCF">
            <w:rPr>
              <w:rFonts w:ascii="Gotham Book" w:hAnsi="Gotham Book"/>
              <w:b/>
              <w:color w:val="404040"/>
              <w:sz w:val="22"/>
              <w:szCs w:val="22"/>
            </w:rPr>
            <w:t>NHCD</w:t>
          </w:r>
        </w:p>
      </w:tc>
      <w:tc>
        <w:tcPr>
          <w:tcW w:w="3328" w:type="dxa"/>
          <w:vAlign w:val="bottom"/>
          <w:hideMark/>
        </w:tcPr>
        <w:p w14:paraId="00EE975A" w14:textId="77777777" w:rsidR="005F3FCF" w:rsidRPr="004E77EA" w:rsidRDefault="005F3FCF" w:rsidP="005F3FCF">
          <w:pPr>
            <w:pStyle w:val="Title"/>
            <w:spacing w:after="120"/>
            <w:ind w:right="360"/>
            <w:rPr>
              <w:rFonts w:ascii="Calibri" w:eastAsia="Times New Roman" w:hAnsi="Calibri"/>
              <w:color w:val="404040" w:themeColor="text1" w:themeTint="BF"/>
              <w:sz w:val="16"/>
              <w:szCs w:val="16"/>
            </w:rPr>
          </w:pPr>
          <w:r w:rsidRPr="005F3FCF">
            <w:rPr>
              <w:rFonts w:ascii="Gotham Book" w:hAnsi="Gotham Book"/>
              <w:b/>
              <w:color w:val="404040"/>
              <w:sz w:val="22"/>
              <w:szCs w:val="22"/>
            </w:rPr>
            <w:t>Non-Housing Community</w:t>
          </w:r>
          <w:r w:rsidRPr="004E77EA">
            <w:rPr>
              <w:rFonts w:ascii="Calibri" w:eastAsia="Times New Roman" w:hAnsi="Calibri"/>
              <w:color w:val="404040" w:themeColor="text1" w:themeTint="BF"/>
              <w:sz w:val="16"/>
              <w:szCs w:val="16"/>
            </w:rPr>
            <w:t xml:space="preserve"> Development</w:t>
          </w:r>
        </w:p>
      </w:tc>
    </w:tr>
    <w:tr w:rsidR="005F3FCF" w:rsidRPr="004E77EA" w14:paraId="5ABE8A8C" w14:textId="77777777" w:rsidTr="005F3FCF">
      <w:tc>
        <w:tcPr>
          <w:tcW w:w="6608" w:type="dxa"/>
          <w:vAlign w:val="bottom"/>
          <w:hideMark/>
        </w:tcPr>
        <w:p w14:paraId="5D954A8A" w14:textId="77777777" w:rsidR="005F3FCF" w:rsidRPr="005F3FCF" w:rsidRDefault="005F3FCF" w:rsidP="005F3FCF">
          <w:pPr>
            <w:pStyle w:val="Title"/>
            <w:spacing w:after="120"/>
            <w:ind w:right="360"/>
            <w:jc w:val="left"/>
            <w:rPr>
              <w:rFonts w:ascii="Gotham Book" w:hAnsi="Gotham Book"/>
              <w:b/>
              <w:color w:val="404040"/>
              <w:sz w:val="22"/>
              <w:szCs w:val="22"/>
            </w:rPr>
          </w:pPr>
          <w:r w:rsidRPr="005F3FCF">
            <w:rPr>
              <w:rFonts w:ascii="Gotham Book" w:hAnsi="Gotham Book"/>
              <w:b/>
              <w:color w:val="404040"/>
              <w:sz w:val="22"/>
              <w:szCs w:val="22"/>
            </w:rPr>
            <w:t>NHSN</w:t>
          </w:r>
        </w:p>
      </w:tc>
      <w:tc>
        <w:tcPr>
          <w:tcW w:w="3328" w:type="dxa"/>
          <w:vAlign w:val="bottom"/>
          <w:hideMark/>
        </w:tcPr>
        <w:p w14:paraId="43597A88" w14:textId="77777777" w:rsidR="005F3FCF" w:rsidRPr="004E77EA" w:rsidRDefault="005F3FCF" w:rsidP="005F3FCF">
          <w:pPr>
            <w:pStyle w:val="Title"/>
            <w:spacing w:after="120"/>
            <w:ind w:right="360"/>
            <w:rPr>
              <w:rFonts w:ascii="Calibri" w:eastAsia="Times New Roman" w:hAnsi="Calibri"/>
              <w:color w:val="404040" w:themeColor="text1" w:themeTint="BF"/>
              <w:sz w:val="16"/>
              <w:szCs w:val="16"/>
            </w:rPr>
          </w:pPr>
          <w:r w:rsidRPr="005F3FCF">
            <w:rPr>
              <w:rFonts w:ascii="Gotham Book" w:hAnsi="Gotham Book"/>
              <w:b/>
              <w:color w:val="404040"/>
              <w:sz w:val="22"/>
              <w:szCs w:val="22"/>
            </w:rPr>
            <w:t>Non-Homeless Special</w:t>
          </w:r>
          <w:r w:rsidRPr="004E77EA">
            <w:rPr>
              <w:rFonts w:ascii="Calibri" w:eastAsia="Times New Roman" w:hAnsi="Calibri"/>
              <w:color w:val="404040" w:themeColor="text1" w:themeTint="BF"/>
              <w:sz w:val="16"/>
              <w:szCs w:val="16"/>
            </w:rPr>
            <w:t xml:space="preserve"> Needs</w:t>
          </w:r>
        </w:p>
      </w:tc>
    </w:tr>
    <w:tr w:rsidR="005F3FCF" w:rsidRPr="004E77EA" w14:paraId="6270EE87" w14:textId="77777777" w:rsidTr="005F3FCF">
      <w:tc>
        <w:tcPr>
          <w:tcW w:w="6608" w:type="dxa"/>
          <w:vAlign w:val="bottom"/>
          <w:hideMark/>
        </w:tcPr>
        <w:p w14:paraId="5AD60037" w14:textId="77777777" w:rsidR="005F3FCF" w:rsidRPr="005F3FCF" w:rsidRDefault="005F3FCF" w:rsidP="005F3FCF">
          <w:pPr>
            <w:pStyle w:val="Title"/>
            <w:spacing w:after="120"/>
            <w:ind w:right="360"/>
            <w:jc w:val="left"/>
            <w:rPr>
              <w:rFonts w:ascii="Gotham Book" w:hAnsi="Gotham Book"/>
              <w:b/>
              <w:color w:val="404040"/>
              <w:sz w:val="22"/>
              <w:szCs w:val="22"/>
            </w:rPr>
          </w:pPr>
          <w:r w:rsidRPr="005F3FCF">
            <w:rPr>
              <w:rFonts w:ascii="Gotham Book" w:hAnsi="Gotham Book"/>
              <w:b/>
              <w:color w:val="404040"/>
              <w:sz w:val="22"/>
              <w:szCs w:val="22"/>
            </w:rPr>
            <w:t>H</w:t>
          </w:r>
        </w:p>
      </w:tc>
      <w:tc>
        <w:tcPr>
          <w:tcW w:w="3328" w:type="dxa"/>
          <w:vAlign w:val="bottom"/>
          <w:hideMark/>
        </w:tcPr>
        <w:p w14:paraId="5ED31246"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Homeless</w:t>
          </w:r>
        </w:p>
      </w:tc>
    </w:tr>
  </w:tbl>
  <w:p w14:paraId="217BAEDA" w14:textId="77777777" w:rsidR="005F3FCF" w:rsidRPr="005F3FCF" w:rsidRDefault="005F3FCF" w:rsidP="005F3FCF">
    <w:pPr>
      <w:pStyle w:val="Title"/>
      <w:spacing w:after="120"/>
      <w:ind w:left="360"/>
      <w:rPr>
        <w:rFonts w:ascii="Gotham Book" w:hAnsi="Gotham Book"/>
        <w:color w:val="404040"/>
        <w:sz w:val="22"/>
        <w:szCs w:val="22"/>
      </w:rPr>
    </w:pPr>
  </w:p>
  <w:p w14:paraId="20EF93B3" w14:textId="77777777" w:rsidR="005F3FCF" w:rsidRPr="005F3FCF" w:rsidRDefault="005F3FCF" w:rsidP="005F3FCF">
    <w:pPr>
      <w:pStyle w:val="Title"/>
      <w:spacing w:after="120"/>
      <w:ind w:left="360"/>
      <w:rPr>
        <w:rFonts w:ascii="Gotham Book" w:hAnsi="Gotham Book"/>
        <w:color w:val="404040"/>
        <w:sz w:val="22"/>
        <w:szCs w:val="22"/>
      </w:rPr>
    </w:pPr>
  </w:p>
  <w:p w14:paraId="2201FDD7" w14:textId="77777777" w:rsidR="005F3FCF" w:rsidRPr="00711E46" w:rsidRDefault="005F3FCF" w:rsidP="005F3FCF">
    <w:pPr>
      <w:pStyle w:val="Title"/>
      <w:spacing w:after="120"/>
      <w:rPr>
        <w:rFonts w:asciiTheme="minorHAnsi" w:hAnsiTheme="minorHAnsi" w:cstheme="minorHAnsi"/>
        <w:color w:val="404040" w:themeColor="text1" w:themeTint="BF"/>
        <w:szCs w:val="20"/>
      </w:rPr>
    </w:pPr>
    <w:r w:rsidRPr="005F3FCF">
      <w:rPr>
        <w:rFonts w:ascii="Gotham Book" w:hAnsi="Gotham Book"/>
        <w:b/>
        <w:color w:val="323E4F"/>
        <w:sz w:val="24"/>
      </w:rPr>
      <w:t>Salt</w:t>
    </w:r>
    <w:r w:rsidRPr="00711E46">
      <w:rPr>
        <w:rFonts w:asciiTheme="minorHAnsi" w:hAnsiTheme="minorHAnsi" w:cstheme="minorHAnsi"/>
        <w:color w:val="404040" w:themeColor="text1" w:themeTint="BF"/>
        <w:szCs w:val="20"/>
      </w:rPr>
      <w:t xml:space="preserve"> Lake City </w:t>
    </w:r>
    <w:r>
      <w:rPr>
        <w:rFonts w:asciiTheme="minorHAnsi" w:hAnsiTheme="minorHAnsi" w:cstheme="minorHAnsi"/>
        <w:color w:val="404040" w:themeColor="text1" w:themeTint="BF"/>
        <w:szCs w:val="20"/>
      </w:rPr>
      <w:t>continued to make progress on its strategic plan goals during year three of the plan.</w:t>
    </w:r>
    <w:r w:rsidRPr="00711E46">
      <w:rPr>
        <w:rFonts w:asciiTheme="minorHAnsi" w:hAnsiTheme="minorHAnsi" w:cstheme="minorHAnsi"/>
        <w:color w:val="404040" w:themeColor="text1" w:themeTint="BF"/>
        <w:szCs w:val="20"/>
      </w:rPr>
      <w:t xml:space="preserve"> </w:t>
    </w:r>
  </w:p>
  <w:p w14:paraId="4173E358" w14:textId="77777777" w:rsidR="005F3FCF" w:rsidRPr="005F3FCF" w:rsidRDefault="005F3FCF" w:rsidP="005F3FCF">
    <w:pPr>
      <w:pStyle w:val="Title"/>
      <w:spacing w:after="120"/>
      <w:ind w:left="360"/>
      <w:rPr>
        <w:rFonts w:ascii="Gotham Book" w:hAnsi="Gotham Book"/>
        <w:b/>
        <w:color w:val="323E4F"/>
        <w:sz w:val="24"/>
      </w:rPr>
    </w:pPr>
  </w:p>
  <w:p w14:paraId="15E57054" w14:textId="77777777" w:rsidR="005F3FCF" w:rsidRDefault="005F3FCF" w:rsidP="005F3FCF">
    <w:pPr>
      <w:pStyle w:val="Title"/>
      <w:spacing w:after="120"/>
      <w:ind w:left="360"/>
      <w:rPr>
        <w:rFonts w:asciiTheme="minorHAnsi" w:hAnsiTheme="minorHAnsi" w:cstheme="minorHAnsi"/>
        <w:color w:val="404040" w:themeColor="text1" w:themeTint="BF"/>
        <w:szCs w:val="20"/>
      </w:rPr>
    </w:pPr>
    <w:r w:rsidRPr="005F3FCF">
      <w:rPr>
        <w:rFonts w:ascii="Calibri" w:hAnsi="Calibri" w:cs="Calibri"/>
        <w:b/>
        <w:color w:val="44546A"/>
        <w:sz w:val="24"/>
      </w:rPr>
      <w:t>On the whole, the City has</w:t>
    </w:r>
    <w:r w:rsidRPr="005F3FCF">
      <w:rPr>
        <w:rFonts w:ascii="Calibri" w:hAnsi="Calibri" w:cs="Calibri"/>
        <w:i/>
        <w:color w:val="44546A"/>
        <w:sz w:val="18"/>
        <w:szCs w:val="18"/>
      </w:rPr>
      <w:t xml:space="preserve"> been using its HOPWA funding incredibly</w:t>
    </w:r>
    <w:r w:rsidRPr="005F3FCF">
      <w:rPr>
        <w:rFonts w:ascii="Calibri" w:hAnsi="Calibri" w:cs="Calibri"/>
        <w:i/>
        <w:color w:val="FF0000"/>
        <w:sz w:val="18"/>
        <w:szCs w:val="18"/>
      </w:rPr>
      <w:t xml:space="preserve"> </w:t>
    </w:r>
    <w:r>
      <w:rPr>
        <w:rFonts w:asciiTheme="minorHAnsi" w:hAnsiTheme="minorHAnsi" w:cstheme="minorHAnsi"/>
        <w:color w:val="404040" w:themeColor="text1" w:themeTint="BF"/>
        <w:szCs w:val="20"/>
      </w:rPr>
      <w:t xml:space="preserve">effectively, considerably outpacing expectations for annual performance, even as the public services category lags behind expectations. It is also helpful that HOPWA funding has increased as a result of the </w:t>
    </w:r>
    <w:r w:rsidRPr="0020194F">
      <w:rPr>
        <w:rFonts w:asciiTheme="minorHAnsi" w:hAnsiTheme="minorHAnsi" w:cstheme="minorHAnsi"/>
        <w:color w:val="404040" w:themeColor="text1" w:themeTint="BF"/>
        <w:szCs w:val="20"/>
      </w:rPr>
      <w:t>Housing Opportunity Through Modernization Act of 2016</w:t>
    </w:r>
  </w:p>
  <w:p w14:paraId="1E12F353" w14:textId="77777777" w:rsidR="005F3FCF" w:rsidRPr="005F3FCF" w:rsidRDefault="005F3FCF" w:rsidP="005F3FCF">
    <w:pPr>
      <w:pStyle w:val="Title"/>
      <w:spacing w:after="120"/>
      <w:ind w:left="360"/>
      <w:rPr>
        <w:rFonts w:ascii="Gotham Book" w:hAnsi="Gotham Book"/>
        <w:b/>
        <w:color w:val="323E4F"/>
        <w:sz w:val="24"/>
      </w:rPr>
    </w:pPr>
  </w:p>
  <w:p w14:paraId="580D8274" w14:textId="77777777" w:rsidR="005F3FCF" w:rsidRPr="00711E46" w:rsidRDefault="005F3FCF" w:rsidP="005F3FCF">
    <w:pPr>
      <w:pStyle w:val="Title"/>
      <w:spacing w:after="120"/>
      <w:ind w:left="360"/>
      <w:rPr>
        <w:rFonts w:asciiTheme="minorHAnsi" w:hAnsiTheme="minorHAnsi" w:cstheme="minorHAnsi"/>
        <w:color w:val="404040" w:themeColor="text1" w:themeTint="BF"/>
        <w:szCs w:val="20"/>
      </w:rPr>
    </w:pPr>
    <w:r w:rsidRPr="005F3FCF">
      <w:rPr>
        <w:rFonts w:ascii="Gotham Book" w:hAnsi="Gotham Book"/>
        <w:b/>
        <w:color w:val="323E4F"/>
        <w:sz w:val="24"/>
      </w:rPr>
      <w:t>Expanding</w:t>
    </w:r>
    <w:r w:rsidRPr="005F3FCF">
      <w:rPr>
        <w:rFonts w:ascii="Calibri" w:hAnsi="Calibri" w:cs="Calibri"/>
        <w:b/>
        <w:color w:val="FF0000"/>
        <w:szCs w:val="20"/>
      </w:rPr>
      <w:t xml:space="preserve"> homeownership continues to be a hurdle. This is largely in part to the housing market in Salt Lake</w:t>
    </w:r>
    <w:r>
      <w:rPr>
        <w:rFonts w:asciiTheme="minorHAnsi" w:hAnsiTheme="minorHAnsi" w:cstheme="minorHAnsi"/>
        <w:color w:val="404040" w:themeColor="text1" w:themeTint="BF"/>
        <w:szCs w:val="20"/>
      </w:rPr>
      <w:t xml:space="preserve"> City. Prices have risen significantly and this makes it difficult to find housing options for eligible clients. </w:t>
    </w:r>
  </w:p>
  <w:p w14:paraId="19528B0A" w14:textId="77777777" w:rsidR="005F3FCF" w:rsidRPr="005F3FCF" w:rsidRDefault="005F3FCF" w:rsidP="005F3FCF">
    <w:pPr>
      <w:pStyle w:val="Title"/>
      <w:spacing w:after="120"/>
      <w:ind w:left="360"/>
      <w:rPr>
        <w:rFonts w:ascii="Gotham Book" w:hAnsi="Gotham Book"/>
        <w:b/>
        <w:color w:val="323E4F"/>
        <w:sz w:val="24"/>
      </w:rPr>
    </w:pPr>
  </w:p>
  <w:p w14:paraId="0EACAB85" w14:textId="77777777" w:rsidR="005F3FCF" w:rsidRDefault="005F3FCF" w:rsidP="005F3FCF">
    <w:pPr>
      <w:pStyle w:val="Title"/>
      <w:spacing w:after="120"/>
      <w:ind w:left="360"/>
      <w:rPr>
        <w:rFonts w:asciiTheme="minorHAnsi" w:hAnsiTheme="minorHAnsi" w:cstheme="minorHAnsi"/>
        <w:color w:val="404040" w:themeColor="text1" w:themeTint="BF"/>
        <w:szCs w:val="20"/>
      </w:rPr>
    </w:pPr>
    <w:r w:rsidRPr="005F3FCF">
      <w:rPr>
        <w:rFonts w:ascii="Calibri" w:hAnsi="Calibri" w:cs="Calibri"/>
        <w:i/>
        <w:color w:val="404040"/>
        <w:sz w:val="18"/>
        <w:szCs w:val="18"/>
      </w:rPr>
      <w:t>The City’s efforts around housing rehabilitation have continued to be successful. Rehabilitation of existing housing stock continues to be an</w:t>
    </w:r>
    <w:r>
      <w:rPr>
        <w:rFonts w:asciiTheme="minorHAnsi" w:hAnsiTheme="minorHAnsi" w:cstheme="minorHAnsi"/>
        <w:color w:val="404040" w:themeColor="text1" w:themeTint="BF"/>
        <w:szCs w:val="20"/>
      </w:rPr>
      <w:t xml:space="preserve"> important goal for Salt Lake City.  </w:t>
    </w:r>
  </w:p>
  <w:p w14:paraId="113CB93A" w14:textId="77777777" w:rsidR="005F3FCF" w:rsidRPr="005F3FCF" w:rsidRDefault="005F3FCF" w:rsidP="005F3FCF">
    <w:pPr>
      <w:pStyle w:val="Title"/>
      <w:spacing w:after="120"/>
      <w:ind w:left="360"/>
      <w:rPr>
        <w:rFonts w:ascii="Gotham Book" w:hAnsi="Gotham Book"/>
        <w:b/>
        <w:color w:val="323E4F"/>
        <w:sz w:val="24"/>
      </w:rPr>
    </w:pPr>
  </w:p>
  <w:p w14:paraId="619AAA7A" w14:textId="77777777" w:rsidR="005F3FCF" w:rsidRPr="005F3FCF" w:rsidRDefault="005F3FCF" w:rsidP="005F3FCF">
    <w:pPr>
      <w:pStyle w:val="Title"/>
      <w:spacing w:after="120"/>
      <w:ind w:left="360"/>
      <w:rPr>
        <w:rFonts w:ascii="Calibri" w:hAnsi="Calibri" w:cs="Calibri"/>
        <w:color w:val="404040"/>
        <w:szCs w:val="20"/>
      </w:rPr>
    </w:pPr>
    <w:r w:rsidRPr="005F3FCF">
      <w:rPr>
        <w:rFonts w:ascii="Gotham Book" w:hAnsi="Gotham Book"/>
        <w:b/>
        <w:color w:val="323E4F"/>
        <w:sz w:val="24"/>
      </w:rPr>
      <w:t>The</w:t>
    </w:r>
    <w:r w:rsidRPr="005F3FCF">
      <w:rPr>
        <w:rFonts w:ascii="Calibri" w:hAnsi="Calibri" w:cs="Calibri"/>
        <w:color w:val="404040"/>
        <w:szCs w:val="20"/>
      </w:rPr>
      <w:t xml:space="preserve"> City is also providing an enormous amount of day-to-day services for the homeless, even though the total being served is lower than expectations. This is at least partially due to shifting more of the burden for funding these services to local, City resources, and away from federal funding. The City has been very successful in providing housing for those experiencing homelessness, particularly with TBRA and RRH. The number of clients served during the first three years of the strategic plan has nearly reached the five year goal. </w:t>
    </w:r>
  </w:p>
  <w:p w14:paraId="058B044F" w14:textId="77777777" w:rsidR="005F3FCF" w:rsidRPr="005F3FCF" w:rsidRDefault="005F3FCF" w:rsidP="005F3FCF">
    <w:pPr>
      <w:pStyle w:val="Title"/>
      <w:spacing w:after="120"/>
      <w:ind w:left="360"/>
      <w:rPr>
        <w:rFonts w:ascii="Calibri" w:hAnsi="Calibri" w:cs="Calibri"/>
        <w:color w:val="404040"/>
        <w:szCs w:val="20"/>
      </w:rPr>
    </w:pPr>
  </w:p>
  <w:p w14:paraId="4130F316" w14:textId="77777777" w:rsidR="005F3FCF" w:rsidRPr="005F3FCF" w:rsidRDefault="005F3FCF" w:rsidP="005F3FCF">
    <w:pPr>
      <w:pStyle w:val="Title"/>
      <w:spacing w:after="120"/>
      <w:ind w:left="360"/>
      <w:rPr>
        <w:rFonts w:ascii="Calibri" w:hAnsi="Calibri" w:cs="Calibri"/>
        <w:color w:val="404040"/>
        <w:szCs w:val="20"/>
      </w:rPr>
    </w:pPr>
    <w:r w:rsidRPr="005F3FCF">
      <w:rPr>
        <w:rFonts w:ascii="Calibri" w:hAnsi="Calibri" w:cs="Calibri"/>
        <w:color w:val="404040"/>
        <w:szCs w:val="20"/>
      </w:rPr>
      <w:t xml:space="preserve">Expanding opportunities for self-sufficiency to at-risk populations has decreased from previous years. This is largely due to the fact that two food pantries, which provided services to large numbers of clients, did not apply or did not receive funding for the 17-18 program year. </w:t>
    </w:r>
  </w:p>
  <w:p w14:paraId="0DEA692A" w14:textId="77777777" w:rsidR="005F3FCF" w:rsidRPr="005F3FCF" w:rsidRDefault="005F3FCF" w:rsidP="005F3FCF">
    <w:pPr>
      <w:pStyle w:val="Title"/>
      <w:spacing w:after="120"/>
      <w:ind w:left="360"/>
      <w:rPr>
        <w:rFonts w:ascii="Calibri" w:hAnsi="Calibri" w:cs="Calibri"/>
        <w:color w:val="404040"/>
        <w:szCs w:val="20"/>
      </w:rPr>
    </w:pPr>
  </w:p>
  <w:p w14:paraId="74D11F63" w14:textId="77777777" w:rsidR="005F3FCF" w:rsidRDefault="005F3FCF" w:rsidP="005F3FCF">
    <w:pPr>
      <w:pStyle w:val="Title"/>
      <w:spacing w:after="120"/>
      <w:ind w:left="360"/>
      <w:rPr>
        <w:rFonts w:asciiTheme="minorHAnsi" w:hAnsiTheme="minorHAnsi" w:cstheme="minorHAnsi"/>
        <w:color w:val="404040" w:themeColor="text1" w:themeTint="BF"/>
        <w:szCs w:val="20"/>
      </w:rPr>
    </w:pPr>
    <w:r w:rsidRPr="005F3FCF">
      <w:rPr>
        <w:rFonts w:ascii="Calibri" w:hAnsi="Calibri" w:cs="Calibri"/>
        <w:color w:val="404040"/>
        <w:szCs w:val="20"/>
      </w:rPr>
      <w:t>The City’s progress around revitalizing business nodes through the new Economic Development Façade Improvements Program was lower than anticipated. This was largely in part to an over-anticipation of the number of business that would be served at the onset of</w:t>
    </w:r>
    <w:r>
      <w:rPr>
        <w:rFonts w:asciiTheme="minorHAnsi" w:hAnsiTheme="minorHAnsi" w:cstheme="minorHAnsi"/>
        <w:color w:val="404040" w:themeColor="text1" w:themeTint="BF"/>
        <w:szCs w:val="20"/>
      </w:rPr>
      <w:t xml:space="preserve"> the program. It took some time to build recognition of the program. However, once the initial projects were seen in the community, awareness of the program grew significantly. The Façade Program now receives many applicants for the year. Additionally, the Façade Program has received a larger amount of funding for the 18-19 program year and this will help the program reduce the gap in year 4 of the Consolidated Plan. </w:t>
    </w:r>
  </w:p>
  <w:p w14:paraId="15ADFC79" w14:textId="77777777" w:rsidR="005F3FCF" w:rsidRPr="005F3FCF" w:rsidRDefault="005F3FCF" w:rsidP="005F3FCF">
    <w:pPr>
      <w:pStyle w:val="Title"/>
      <w:spacing w:after="120"/>
      <w:ind w:left="360"/>
      <w:rPr>
        <w:rFonts w:ascii="Gotham Book" w:hAnsi="Gotham Book"/>
        <w:b/>
        <w:color w:val="323E4F"/>
        <w:sz w:val="24"/>
      </w:rPr>
    </w:pPr>
  </w:p>
  <w:p w14:paraId="4EBB69D3" w14:textId="77777777" w:rsidR="005F3FCF" w:rsidRDefault="005F3FCF" w:rsidP="005F3FCF">
    <w:pPr>
      <w:pStyle w:val="Title"/>
      <w:spacing w:after="120"/>
      <w:ind w:left="360"/>
      <w:rPr>
        <w:rFonts w:asciiTheme="minorHAnsi" w:hAnsiTheme="minorHAnsi" w:cstheme="minorHAnsi"/>
        <w:color w:val="404040" w:themeColor="text1" w:themeTint="BF"/>
        <w:szCs w:val="20"/>
      </w:rPr>
    </w:pPr>
    <w:r w:rsidRPr="005F3FCF">
      <w:rPr>
        <w:rFonts w:ascii="Calibri" w:hAnsi="Calibri" w:cs="Calibri"/>
        <w:b/>
        <w:color w:val="FF0000"/>
        <w:szCs w:val="20"/>
      </w:rPr>
      <w:t xml:space="preserve">Salt Lake City has selected the location of two new homeless resource centers and has transferred ownership to Shelter the Homeless, a local nonprofit that in addition to being the property owners for the new </w:t>
    </w:r>
    <w:r w:rsidRPr="005F3FCF">
      <w:rPr>
        <w:rFonts w:ascii="Calibri" w:hAnsi="Calibri" w:cs="Calibri"/>
        <w:color w:val="404040"/>
        <w:szCs w:val="20"/>
      </w:rPr>
      <w:t>resource centers will provide high-level oversight and guidance for the homeless services system. In addition, to the two resource centers located in Salt Lake City, a third resource center is being constructed in the neighboring municipality of South Salt Lake. The Shelter the Homeless board consists of community leaders and representatives from the State of Utah, Salt Lake County, and</w:t>
    </w:r>
    <w:r>
      <w:rPr>
        <w:rFonts w:asciiTheme="minorHAnsi" w:hAnsiTheme="minorHAnsi" w:cstheme="minorHAnsi"/>
        <w:color w:val="404040" w:themeColor="text1" w:themeTint="BF"/>
        <w:szCs w:val="20"/>
      </w:rPr>
      <w:t xml:space="preserve"> the municipalities in which homeless services exist, including Salt Lake City. Salt Lake City will continue to collaborate with government and nonprofit agencies as well as community stakeholders as we continue to transform our homeless services delivery system.  </w:t>
    </w:r>
  </w:p>
  <w:p w14:paraId="06D7A284" w14:textId="77777777" w:rsidR="005F3FCF" w:rsidRPr="005F3FCF" w:rsidRDefault="005F3FCF" w:rsidP="005F3FCF">
    <w:pPr>
      <w:pStyle w:val="Title"/>
      <w:spacing w:after="120"/>
      <w:ind w:left="360"/>
      <w:rPr>
        <w:rFonts w:ascii="Calibri" w:hAnsi="Calibri" w:cs="Calibri"/>
        <w:b/>
        <w:color w:val="FF0000"/>
        <w:szCs w:val="20"/>
      </w:rPr>
    </w:pPr>
  </w:p>
  <w:p w14:paraId="198253C8" w14:textId="77777777" w:rsidR="005F3FCF" w:rsidRPr="005F3FCF" w:rsidRDefault="005F3FCF" w:rsidP="005F3FCF">
    <w:pPr>
      <w:pStyle w:val="Title"/>
      <w:spacing w:after="120"/>
      <w:ind w:left="360"/>
      <w:rPr>
        <w:rFonts w:ascii="Gotham Book" w:hAnsi="Gotham Book"/>
        <w:color w:val="404040"/>
        <w:sz w:val="18"/>
        <w:szCs w:val="18"/>
      </w:rPr>
    </w:pPr>
    <w:r w:rsidRPr="005F3FCF">
      <w:rPr>
        <w:rFonts w:ascii="Calibri" w:hAnsi="Calibri"/>
        <w:i/>
        <w:color w:val="404040"/>
        <w:sz w:val="18"/>
        <w:szCs w:val="18"/>
      </w:rPr>
      <w:t>Operation Rio Grande began in August 2017 and is ongoing. The first phase focused on law enforcement and on creating a safe environment in the Rio Grande neighborhood so that clients could safely seek homeless</w:t>
    </w:r>
    <w:r w:rsidRPr="005F3FCF">
      <w:rPr>
        <w:rFonts w:ascii="Gotham Book" w:hAnsi="Gotham Book"/>
        <w:color w:val="404040"/>
        <w:sz w:val="18"/>
        <w:szCs w:val="18"/>
      </w:rPr>
      <w:t xml:space="preserve"> services. The second and third phases are focused on connecting clients to mental health and substance use disorder services as well as job resources. To date, 132 individuals have received treatment for substance use disorders and 106 individuals have found employment.  </w:t>
    </w:r>
  </w:p>
  <w:p w14:paraId="37D4F17B" w14:textId="77777777" w:rsidR="005F3FCF" w:rsidRPr="005F3FCF" w:rsidRDefault="005F3FCF" w:rsidP="005F3FCF">
    <w:pPr>
      <w:pStyle w:val="Title"/>
      <w:spacing w:after="120"/>
      <w:ind w:left="360"/>
      <w:rPr>
        <w:rFonts w:ascii="Gotham Book" w:hAnsi="Gotham Book"/>
        <w:color w:val="404040"/>
        <w:sz w:val="18"/>
        <w:szCs w:val="18"/>
      </w:rPr>
    </w:pPr>
  </w:p>
  <w:p w14:paraId="7F40BCA5" w14:textId="77777777" w:rsidR="005F3FCF" w:rsidRPr="005945B3" w:rsidRDefault="005F3FCF" w:rsidP="005F3FCF">
    <w:pPr>
      <w:pStyle w:val="Title"/>
      <w:spacing w:after="120"/>
      <w:ind w:left="360"/>
      <w:rPr>
        <w:rFonts w:asciiTheme="minorHAnsi" w:hAnsiTheme="minorHAnsi" w:cstheme="minorHAnsi"/>
        <w:b/>
        <w:color w:val="404040" w:themeColor="text1" w:themeTint="BF"/>
        <w:szCs w:val="20"/>
      </w:rPr>
    </w:pPr>
    <w:r w:rsidRPr="005F3FCF">
      <w:rPr>
        <w:rFonts w:ascii="Gotham Book" w:hAnsi="Gotham Book"/>
        <w:color w:val="404040"/>
        <w:sz w:val="18"/>
        <w:szCs w:val="18"/>
      </w:rPr>
      <w:t xml:space="preserve">Assess how Salt </w:t>
    </w:r>
    <w:r w:rsidRPr="005945B3">
      <w:rPr>
        <w:rFonts w:asciiTheme="minorHAnsi" w:hAnsiTheme="minorHAnsi" w:cstheme="minorHAnsi"/>
        <w:b/>
        <w:color w:val="404040" w:themeColor="text1" w:themeTint="BF"/>
        <w:szCs w:val="20"/>
      </w:rPr>
      <w:t xml:space="preserve">Lake City’s use of funds, particularly CDBG, addresses the priorities and specific objectives outlined in the Plan, giving special attention to the highest priority activities identified. </w:t>
    </w:r>
  </w:p>
  <w:p w14:paraId="7191F249" w14:textId="77777777" w:rsidR="005F3FCF" w:rsidRDefault="005F3FCF" w:rsidP="005F3FCF">
    <w:pPr>
      <w:pStyle w:val="Title"/>
      <w:spacing w:after="120"/>
      <w:ind w:left="360"/>
      <w:rPr>
        <w:rFonts w:asciiTheme="minorHAnsi" w:hAnsiTheme="minorHAnsi" w:cstheme="minorHAnsi"/>
        <w:color w:val="404040" w:themeColor="text1" w:themeTint="BF"/>
        <w:szCs w:val="20"/>
      </w:rPr>
    </w:pPr>
    <w:r w:rsidRPr="005F3FCF">
      <w:rPr>
        <w:rFonts w:ascii="Gotham Book" w:hAnsi="Gotham Book"/>
        <w:color w:val="404040"/>
        <w:sz w:val="18"/>
        <w:szCs w:val="18"/>
      </w:rPr>
      <w:t>During</w:t>
    </w:r>
    <w:r>
      <w:rPr>
        <w:rFonts w:asciiTheme="minorHAnsi" w:hAnsiTheme="minorHAnsi" w:cstheme="minorHAnsi"/>
        <w:color w:val="404040" w:themeColor="text1" w:themeTint="BF"/>
        <w:szCs w:val="20"/>
      </w:rPr>
      <w:t xml:space="preserve"> the Consolidated Planning process, five (5) high priority needs were identified. They are as follows: Affordable housing development and preservation; Homeless: mitigation, preservation and public services; Public services to expand opportunity and self-sufficiency; Economic development to expand opportunity; and Public infrastructure improvements. In the 2017-18 program year, CDBG funds were used to address each of these needs. </w:t>
    </w:r>
  </w:p>
  <w:p w14:paraId="0708CD8A" w14:textId="77777777" w:rsidR="005F3FCF" w:rsidRPr="005F3FCF" w:rsidRDefault="005F3FCF" w:rsidP="005F3FCF">
    <w:pPr>
      <w:pStyle w:val="Title"/>
      <w:spacing w:after="120"/>
      <w:ind w:left="360"/>
      <w:rPr>
        <w:rFonts w:ascii="Gotham Book" w:hAnsi="Gotham Book"/>
        <w:color w:val="404040"/>
        <w:sz w:val="18"/>
        <w:szCs w:val="18"/>
      </w:rPr>
    </w:pPr>
  </w:p>
  <w:p w14:paraId="77C1D3B6" w14:textId="77777777" w:rsidR="005F3FCF" w:rsidRPr="005F3FCF" w:rsidRDefault="005F3FCF" w:rsidP="005F3FCF">
    <w:pPr>
      <w:pStyle w:val="Title"/>
      <w:spacing w:after="120"/>
      <w:ind w:left="360"/>
      <w:rPr>
        <w:rFonts w:ascii="Calibri" w:hAnsi="Calibri" w:cs="Calibri"/>
        <w:color w:val="404040"/>
        <w:szCs w:val="20"/>
      </w:rPr>
    </w:pPr>
    <w:r w:rsidRPr="005F3FCF">
      <w:rPr>
        <w:rFonts w:ascii="Gotham Book" w:hAnsi="Gotham Book"/>
        <w:color w:val="404040"/>
        <w:sz w:val="18"/>
        <w:szCs w:val="18"/>
      </w:rPr>
      <w:t xml:space="preserve">Affordable housing needs were addressed by improving and preserving the existing housing stock and expanding the affordable housing stock. As with many communities, providing </w:t>
    </w:r>
    <w:r w:rsidRPr="005F3FCF">
      <w:rPr>
        <w:rFonts w:ascii="Calibri" w:hAnsi="Calibri" w:cs="Calibri"/>
        <w:color w:val="404040"/>
        <w:szCs w:val="20"/>
      </w:rPr>
      <w:t xml:space="preserve">for the unique needs of our homeless population continues to be a top need and a high priority. CDBG funds assisted by providing for day-to-day services for the homeless community as well as funding emergency shelter. </w:t>
    </w:r>
  </w:p>
  <w:p w14:paraId="61E3F03D" w14:textId="77777777" w:rsidR="005F3FCF" w:rsidRPr="005F3FCF" w:rsidRDefault="005F3FCF" w:rsidP="005F3FCF">
    <w:pPr>
      <w:pStyle w:val="Title"/>
      <w:spacing w:after="120"/>
      <w:ind w:left="360"/>
      <w:rPr>
        <w:rFonts w:ascii="Calibri" w:hAnsi="Calibri" w:cs="Calibri"/>
        <w:color w:val="404040"/>
        <w:szCs w:val="20"/>
      </w:rPr>
    </w:pPr>
  </w:p>
  <w:p w14:paraId="00844F92" w14:textId="77777777" w:rsidR="005F3FCF" w:rsidRPr="005F3FCF" w:rsidRDefault="005F3FCF" w:rsidP="005F3FCF">
    <w:pPr>
      <w:pStyle w:val="Title"/>
      <w:spacing w:after="120"/>
      <w:ind w:left="360"/>
      <w:rPr>
        <w:rFonts w:ascii="Calibri" w:hAnsi="Calibri" w:cs="Calibri"/>
        <w:color w:val="404040"/>
        <w:szCs w:val="20"/>
      </w:rPr>
    </w:pPr>
    <w:r w:rsidRPr="005F3FCF">
      <w:rPr>
        <w:rFonts w:ascii="Calibri" w:hAnsi="Calibri" w:cs="Calibri"/>
        <w:color w:val="404040"/>
        <w:szCs w:val="20"/>
      </w:rPr>
      <w:t xml:space="preserve">The City continued its investment from the previous program year by funding job training programs as a way to promote self-sufficiency. The City was also able to see the Economic Development Façade Program continue to bring opportunity to economically disadvantaged areas. </w:t>
    </w:r>
  </w:p>
  <w:p w14:paraId="6EED4DBB" w14:textId="77777777" w:rsidR="005F3FCF" w:rsidRPr="005F3FCF" w:rsidRDefault="005F3FCF" w:rsidP="005F3FCF">
    <w:pPr>
      <w:pStyle w:val="Title"/>
      <w:spacing w:after="120"/>
      <w:ind w:left="360"/>
      <w:rPr>
        <w:rFonts w:ascii="Calibri" w:hAnsi="Calibri" w:cs="Calibri"/>
        <w:color w:val="404040"/>
        <w:szCs w:val="20"/>
      </w:rPr>
    </w:pPr>
  </w:p>
  <w:p w14:paraId="20CBF9E5" w14:textId="77777777" w:rsidR="005F3FCF" w:rsidRDefault="005F3FCF" w:rsidP="005F3FCF">
    <w:pPr>
      <w:pStyle w:val="Title"/>
      <w:spacing w:after="120"/>
      <w:ind w:left="360"/>
      <w:rPr>
        <w:rFonts w:asciiTheme="minorHAnsi" w:hAnsiTheme="minorHAnsi" w:cstheme="minorHAnsi"/>
        <w:color w:val="404040" w:themeColor="text1" w:themeTint="BF"/>
        <w:szCs w:val="20"/>
      </w:rPr>
    </w:pPr>
    <w:r w:rsidRPr="005F3FCF">
      <w:rPr>
        <w:rFonts w:ascii="Calibri" w:hAnsi="Calibri" w:cs="Calibri"/>
        <w:color w:val="404040"/>
        <w:szCs w:val="20"/>
      </w:rPr>
      <w:t>CDBG funding was</w:t>
    </w:r>
    <w:r w:rsidRPr="002053D6">
      <w:rPr>
        <w:rFonts w:asciiTheme="minorHAnsi" w:hAnsiTheme="minorHAnsi" w:cstheme="minorHAnsi"/>
        <w:color w:val="404040" w:themeColor="text1" w:themeTint="BF"/>
        <w:szCs w:val="20"/>
      </w:rPr>
      <w:t xml:space="preserve"> allocated to support infrastructure needs in a specific geographical area of the City. While these projects take multiple years to complete, these efforts </w:t>
    </w:r>
    <w:r>
      <w:rPr>
        <w:rFonts w:asciiTheme="minorHAnsi" w:hAnsiTheme="minorHAnsi" w:cstheme="minorHAnsi"/>
        <w:color w:val="404040" w:themeColor="text1" w:themeTint="BF"/>
        <w:szCs w:val="20"/>
      </w:rPr>
      <w:t>include</w:t>
    </w:r>
    <w:r w:rsidRPr="002053D6">
      <w:rPr>
        <w:rFonts w:asciiTheme="minorHAnsi" w:hAnsiTheme="minorHAnsi" w:cstheme="minorHAnsi"/>
        <w:color w:val="404040" w:themeColor="text1" w:themeTint="BF"/>
        <w:szCs w:val="20"/>
      </w:rPr>
      <w:t xml:space="preserve"> AD</w:t>
    </w:r>
    <w:r>
      <w:rPr>
        <w:rFonts w:asciiTheme="minorHAnsi" w:hAnsiTheme="minorHAnsi" w:cstheme="minorHAnsi"/>
        <w:color w:val="404040" w:themeColor="text1" w:themeTint="BF"/>
        <w:szCs w:val="20"/>
      </w:rPr>
      <w:t>A compliant sidewalks and ramps,</w:t>
    </w:r>
    <w:r w:rsidRPr="002053D6">
      <w:rPr>
        <w:rFonts w:asciiTheme="minorHAnsi" w:hAnsiTheme="minorHAnsi" w:cstheme="minorHAnsi"/>
        <w:color w:val="404040" w:themeColor="text1" w:themeTint="BF"/>
        <w:szCs w:val="20"/>
      </w:rPr>
      <w:t xml:space="preserve"> a</w:t>
    </w:r>
    <w:r>
      <w:rPr>
        <w:rFonts w:asciiTheme="minorHAnsi" w:hAnsiTheme="minorHAnsi" w:cstheme="minorHAnsi"/>
        <w:color w:val="404040" w:themeColor="text1" w:themeTint="BF"/>
        <w:szCs w:val="20"/>
      </w:rPr>
      <w:t xml:space="preserve">nd improved streets and parks. </w:t>
    </w:r>
    <w:r w:rsidRPr="002053D6">
      <w:rPr>
        <w:rFonts w:asciiTheme="minorHAnsi" w:hAnsiTheme="minorHAnsi" w:cstheme="minorHAnsi"/>
        <w:color w:val="404040" w:themeColor="text1" w:themeTint="BF"/>
        <w:szCs w:val="20"/>
      </w:rPr>
      <w:t xml:space="preserve"> </w:t>
    </w:r>
  </w:p>
  <w:p w14:paraId="4C3E880E" w14:textId="77777777" w:rsidR="005F3FCF" w:rsidRPr="005F3FCF" w:rsidRDefault="005F3FCF" w:rsidP="005F3FCF">
    <w:pPr>
      <w:pStyle w:val="Footer"/>
      <w:rPr>
        <w:rFonts w:ascii="Arial" w:hAnsi="Arial" w:cs="Arial"/>
        <w:sz w:val="22"/>
        <w:szCs w:val="22"/>
        <w:u w:val="single"/>
      </w:rPr>
    </w:pPr>
  </w:p>
  <w:p w14:paraId="15F64DF7" w14:textId="77777777" w:rsidR="005F3FCF" w:rsidRDefault="005F3FCF" w:rsidP="005F3FCF">
    <w:pPr>
      <w:pStyle w:val="Footer"/>
      <w:rPr>
        <w:rFonts w:asciiTheme="minorHAnsi" w:hAnsiTheme="minorHAnsi" w:cstheme="minorHAnsi"/>
        <w:b/>
        <w:color w:val="FF0000"/>
        <w:szCs w:val="20"/>
      </w:rPr>
    </w:pPr>
    <w:r w:rsidRPr="005F3FCF">
      <w:rPr>
        <w:rFonts w:ascii="Calibri" w:hAnsi="Calibri"/>
        <w:i/>
        <w:color w:val="404040"/>
        <w:sz w:val="18"/>
        <w:szCs w:val="18"/>
      </w:rPr>
      <w:t xml:space="preserve">The City has also placed </w:t>
    </w:r>
    <w:r w:rsidRPr="005F3FCF">
      <w:rPr>
        <w:rFonts w:ascii="Gotham Book" w:hAnsi="Gotham Book"/>
        <w:color w:val="404040"/>
        <w:sz w:val="18"/>
        <w:szCs w:val="18"/>
      </w:rPr>
      <w:t xml:space="preserve">greater focus on improving nodes, significant intersections, and pedestrian infrastructure in target neighborhoods by rolling out projects </w:t>
    </w:r>
    <w:r>
      <w:rPr>
        <w:rFonts w:asciiTheme="minorHAnsi" w:hAnsiTheme="minorHAnsi" w:cstheme="minorHAnsi"/>
        <w:color w:val="404040" w:themeColor="text1" w:themeTint="BF"/>
        <w:szCs w:val="20"/>
      </w:rPr>
      <w:t xml:space="preserve">detailed in the Westside Master Plan under HAND’s direction.  </w:t>
    </w:r>
  </w:p>
  <w:p w14:paraId="2519BE25" w14:textId="77777777" w:rsidR="005F3FCF" w:rsidRPr="00C83460" w:rsidRDefault="005F3FCF" w:rsidP="005F3FCF">
    <w:pPr>
      <w:pStyle w:val="Footer"/>
      <w:rPr>
        <w:rFonts w:asciiTheme="minorHAnsi" w:hAnsiTheme="minorHAnsi" w:cstheme="minorHAnsi"/>
        <w:i/>
        <w:color w:val="FF0000"/>
        <w:sz w:val="18"/>
        <w:szCs w:val="18"/>
      </w:rPr>
    </w:pPr>
    <w:r w:rsidRPr="005F3FCF">
      <w:rPr>
        <w:rFonts w:ascii="Calibri" w:hAnsi="Calibri"/>
        <w:i/>
        <w:color w:val="404040"/>
        <w:sz w:val="18"/>
        <w:szCs w:val="18"/>
      </w:rPr>
      <w:br w:type="page"/>
      <w:t xml:space="preserve">CR-10 RACIAL AND </w:t>
    </w:r>
    <w:r w:rsidRPr="005F3FCF">
      <w:rPr>
        <w:rFonts w:ascii="Gotham Book" w:hAnsi="Gotham Book"/>
        <w:color w:val="404040"/>
        <w:sz w:val="18"/>
        <w:szCs w:val="18"/>
      </w:rPr>
      <w:t>ETHNIC COMPOSITION OF FAMILIES ASSISTED – 91.520(a)</w:t>
    </w:r>
  </w:p>
  <w:p w14:paraId="67A05ADE" w14:textId="77777777" w:rsidR="005F3FCF" w:rsidRPr="005F3FCF" w:rsidRDefault="005F3FCF" w:rsidP="005F3FCF">
    <w:pPr>
      <w:pStyle w:val="Title"/>
      <w:tabs>
        <w:tab w:val="center" w:pos="4320"/>
        <w:tab w:val="right" w:pos="8640"/>
      </w:tabs>
      <w:rPr>
        <w:rFonts w:ascii="Gotham Book" w:hAnsi="Gotham Book"/>
        <w:color w:val="404040"/>
        <w:sz w:val="18"/>
        <w:szCs w:val="18"/>
      </w:rPr>
    </w:pPr>
  </w:p>
  <w:p w14:paraId="0DCAF727" w14:textId="77777777" w:rsidR="005F3FCF" w:rsidRPr="005F3FCF" w:rsidRDefault="005F3FCF" w:rsidP="005F3FCF">
    <w:pPr>
      <w:pStyle w:val="Title"/>
      <w:tabs>
        <w:tab w:val="center" w:pos="4320"/>
        <w:tab w:val="right" w:pos="8640"/>
      </w:tabs>
      <w:rPr>
        <w:rFonts w:ascii="Gotham Book" w:hAnsi="Gotham Book"/>
        <w:color w:val="404040"/>
        <w:sz w:val="18"/>
        <w:szCs w:val="18"/>
      </w:rPr>
    </w:pPr>
    <w:r w:rsidRPr="005F3FCF">
      <w:rPr>
        <w:rFonts w:ascii="Gotham Book" w:hAnsi="Gotham Book"/>
        <w:color w:val="404040"/>
        <w:sz w:val="18"/>
        <w:szCs w:val="18"/>
      </w:rPr>
      <w:t xml:space="preserve">Describe the families assisted with grant funds </w:t>
    </w:r>
  </w:p>
  <w:p w14:paraId="3E785A5A" w14:textId="77777777" w:rsidR="005F3FCF" w:rsidRPr="006723EF" w:rsidRDefault="005F3FCF" w:rsidP="005F3FCF">
    <w:pPr>
      <w:pStyle w:val="Title"/>
      <w:tabs>
        <w:tab w:val="center" w:pos="4320"/>
        <w:tab w:val="right" w:pos="8640"/>
      </w:tabs>
      <w:rPr>
        <w:rFonts w:asciiTheme="minorHAnsi" w:hAnsiTheme="minorHAnsi" w:cstheme="minorHAnsi"/>
        <w:i/>
        <w:color w:val="404040" w:themeColor="text1" w:themeTint="BF"/>
        <w:sz w:val="18"/>
        <w:szCs w:val="18"/>
      </w:rPr>
    </w:pPr>
    <w:r w:rsidRPr="005F3FCF">
      <w:rPr>
        <w:rFonts w:ascii="Gotham Book" w:hAnsi="Gotham Book"/>
        <w:color w:val="404040"/>
        <w:sz w:val="18"/>
        <w:szCs w:val="18"/>
      </w:rPr>
      <w:t xml:space="preserve">Include the racial and ethnic status </w:t>
    </w:r>
    <w:r w:rsidRPr="006723EF">
      <w:rPr>
        <w:rFonts w:asciiTheme="minorHAnsi" w:hAnsiTheme="minorHAnsi" w:cstheme="minorHAnsi"/>
        <w:i/>
        <w:color w:val="404040" w:themeColor="text1" w:themeTint="BF"/>
        <w:sz w:val="18"/>
        <w:szCs w:val="18"/>
      </w:rPr>
      <w:t>of families assisted</w:t>
    </w:r>
  </w:p>
  <w:p w14:paraId="2A2EF79A" w14:textId="77777777" w:rsidR="005F3FCF" w:rsidRPr="005F3FCF" w:rsidRDefault="005F3FCF" w:rsidP="005F3FCF">
    <w:pPr>
      <w:pStyle w:val="ListParagraph"/>
      <w:numPr>
        <w:ilvl w:val="0"/>
        <w:numId w:val="28"/>
      </w:numPr>
      <w:spacing w:line="360" w:lineRule="auto"/>
      <w:rPr>
        <w:rFonts w:ascii="Gotham Book" w:hAnsi="Gotham Book"/>
        <w:color w:val="404040"/>
        <w:sz w:val="18"/>
        <w:szCs w:val="18"/>
      </w:rPr>
    </w:pPr>
  </w:p>
  <w:p w14:paraId="66DD9EAB" w14:textId="77777777" w:rsidR="005F3FCF" w:rsidRPr="006723EF" w:rsidRDefault="005F3FCF" w:rsidP="005F3FCF">
    <w:pPr>
      <w:pStyle w:val="ListParagraph"/>
      <w:numPr>
        <w:ilvl w:val="0"/>
        <w:numId w:val="28"/>
      </w:numPr>
      <w:spacing w:line="360" w:lineRule="auto"/>
      <w:rPr>
        <w:rFonts w:asciiTheme="minorHAnsi" w:hAnsiTheme="minorHAnsi" w:cstheme="minorHAnsi"/>
        <w:b/>
        <w:color w:val="404040" w:themeColor="text1" w:themeTint="BF"/>
        <w:szCs w:val="20"/>
      </w:rPr>
    </w:pPr>
    <w:r w:rsidRPr="005F3FCF">
      <w:rPr>
        <w:rFonts w:ascii="Gotham Book" w:hAnsi="Gotham Book"/>
        <w:color w:val="404040"/>
        <w:sz w:val="18"/>
        <w:szCs w:val="18"/>
      </w:rPr>
      <w:t xml:space="preserve">Table 2: Table of Assistance to Racial and </w:t>
    </w:r>
    <w:r w:rsidRPr="006723EF">
      <w:rPr>
        <w:rFonts w:asciiTheme="minorHAnsi" w:hAnsiTheme="minorHAnsi" w:cstheme="minorHAnsi"/>
        <w:b/>
        <w:color w:val="404040" w:themeColor="text1" w:themeTint="BF"/>
        <w:szCs w:val="20"/>
      </w:rPr>
      <w:t xml:space="preserve">Ethnic Populations by Source of Funds </w:t>
    </w:r>
  </w:p>
  <w:tbl>
    <w:tblPr>
      <w:tblW w:w="0" w:type="auto"/>
      <w:tblInd w:w="360" w:type="dxa"/>
      <w:tblLook w:val="04A0" w:firstRow="1" w:lastRow="0" w:firstColumn="1" w:lastColumn="0" w:noHBand="0" w:noVBand="1"/>
    </w:tblPr>
    <w:tblGrid>
      <w:gridCol w:w="6608"/>
      <w:gridCol w:w="3328"/>
      <w:gridCol w:w="1000"/>
      <w:gridCol w:w="1000"/>
      <w:gridCol w:w="1000"/>
    </w:tblGrid>
    <w:tr w:rsidR="005F3FCF" w:rsidRPr="006723EF" w14:paraId="335DE8EA" w14:textId="77777777" w:rsidTr="005F3FCF">
      <w:tc>
        <w:tcPr>
          <w:tcW w:w="6608" w:type="dxa"/>
          <w:noWrap/>
          <w:vAlign w:val="bottom"/>
          <w:hideMark/>
        </w:tcPr>
        <w:p w14:paraId="5F1CEA26"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 Race</w:t>
          </w:r>
        </w:p>
      </w:tc>
      <w:tc>
        <w:tcPr>
          <w:tcW w:w="3328" w:type="dxa"/>
          <w:noWrap/>
          <w:vAlign w:val="bottom"/>
          <w:hideMark/>
        </w:tcPr>
        <w:p w14:paraId="734FA073"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CDBG</w:t>
          </w:r>
        </w:p>
      </w:tc>
      <w:tc>
        <w:tcPr>
          <w:tcW w:w="1000"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50CB4427" w14:textId="77777777" w:rsidR="005F3FCF" w:rsidRPr="00613A40" w:rsidRDefault="005F3FCF" w:rsidP="00816745">
          <w:pPr>
            <w:jc w:val="center"/>
            <w:rPr>
              <w:rFonts w:asciiTheme="minorHAnsi" w:eastAsia="Times New Roman" w:hAnsiTheme="minorHAnsi"/>
              <w:b/>
              <w:color w:val="404040" w:themeColor="text1" w:themeTint="BF"/>
              <w:szCs w:val="20"/>
            </w:rPr>
          </w:pPr>
          <w:r w:rsidRPr="00613A40">
            <w:rPr>
              <w:rFonts w:asciiTheme="minorHAnsi" w:eastAsia="Times New Roman" w:hAnsiTheme="minorHAnsi"/>
              <w:b/>
              <w:color w:val="404040" w:themeColor="text1" w:themeTint="BF"/>
              <w:szCs w:val="20"/>
            </w:rPr>
            <w:t>HOME</w:t>
          </w:r>
        </w:p>
      </w:tc>
      <w:tc>
        <w:tcPr>
          <w:tcW w:w="1000"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2102670F" w14:textId="77777777" w:rsidR="005F3FCF" w:rsidRPr="00613A40" w:rsidRDefault="005F3FCF" w:rsidP="00816745">
          <w:pPr>
            <w:jc w:val="center"/>
            <w:rPr>
              <w:rFonts w:asciiTheme="minorHAnsi" w:eastAsia="Times New Roman" w:hAnsiTheme="minorHAnsi"/>
              <w:b/>
              <w:color w:val="404040" w:themeColor="text1" w:themeTint="BF"/>
              <w:szCs w:val="20"/>
            </w:rPr>
          </w:pPr>
          <w:r w:rsidRPr="00613A40">
            <w:rPr>
              <w:rFonts w:asciiTheme="minorHAnsi" w:eastAsia="Times New Roman" w:hAnsiTheme="minorHAnsi"/>
              <w:b/>
              <w:color w:val="404040" w:themeColor="text1" w:themeTint="BF"/>
              <w:szCs w:val="20"/>
            </w:rPr>
            <w:t>HOPWA</w:t>
          </w:r>
        </w:p>
      </w:tc>
      <w:tc>
        <w:tcPr>
          <w:tcW w:w="1000"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74386A96" w14:textId="77777777" w:rsidR="005F3FCF" w:rsidRPr="00613A40" w:rsidRDefault="005F3FCF" w:rsidP="00816745">
          <w:pPr>
            <w:jc w:val="center"/>
            <w:rPr>
              <w:rFonts w:asciiTheme="minorHAnsi" w:eastAsia="Times New Roman" w:hAnsiTheme="minorHAnsi"/>
              <w:b/>
              <w:color w:val="404040" w:themeColor="text1" w:themeTint="BF"/>
              <w:szCs w:val="20"/>
            </w:rPr>
          </w:pPr>
          <w:r w:rsidRPr="00613A40">
            <w:rPr>
              <w:rFonts w:asciiTheme="minorHAnsi" w:eastAsia="Times New Roman" w:hAnsiTheme="minorHAnsi"/>
              <w:b/>
              <w:color w:val="404040" w:themeColor="text1" w:themeTint="BF"/>
              <w:szCs w:val="20"/>
            </w:rPr>
            <w:t>ESG</w:t>
          </w:r>
        </w:p>
      </w:tc>
    </w:tr>
    <w:tr w:rsidR="005F3FCF" w:rsidRPr="006723EF" w14:paraId="08CB6FC3" w14:textId="77777777" w:rsidTr="005F3FCF">
      <w:tc>
        <w:tcPr>
          <w:tcW w:w="6608" w:type="dxa"/>
          <w:noWrap/>
          <w:vAlign w:val="bottom"/>
          <w:hideMark/>
        </w:tcPr>
        <w:p w14:paraId="34BD2C8E" w14:textId="77777777" w:rsidR="005F3FCF" w:rsidRPr="005F3FCF" w:rsidRDefault="005F3FCF" w:rsidP="005F3FCF">
          <w:pPr>
            <w:pStyle w:val="Title"/>
            <w:spacing w:after="120"/>
            <w:ind w:right="360"/>
            <w:jc w:val="left"/>
            <w:rPr>
              <w:rFonts w:ascii="Gotham Book" w:hAnsi="Gotham Book"/>
              <w:b/>
              <w:color w:val="404040"/>
              <w:sz w:val="22"/>
              <w:szCs w:val="22"/>
            </w:rPr>
          </w:pPr>
          <w:r w:rsidRPr="005F3FCF">
            <w:rPr>
              <w:rFonts w:ascii="Gotham Book" w:hAnsi="Gotham Book"/>
              <w:b/>
              <w:color w:val="404040"/>
              <w:sz w:val="22"/>
              <w:szCs w:val="22"/>
            </w:rPr>
            <w:t>White</w:t>
          </w:r>
        </w:p>
      </w:tc>
      <w:tc>
        <w:tcPr>
          <w:tcW w:w="3328" w:type="dxa"/>
          <w:noWrap/>
          <w:vAlign w:val="bottom"/>
          <w:hideMark/>
        </w:tcPr>
        <w:p w14:paraId="58630B5E"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1,955</w:t>
          </w:r>
        </w:p>
      </w:tc>
      <w:tc>
        <w:tcPr>
          <w:tcW w:w="1000" w:type="dxa"/>
          <w:tcBorders>
            <w:top w:val="nil"/>
            <w:left w:val="nil"/>
            <w:bottom w:val="single" w:sz="4" w:space="0" w:color="auto"/>
            <w:right w:val="single" w:sz="4" w:space="0" w:color="auto"/>
          </w:tcBorders>
          <w:shd w:val="clear" w:color="auto" w:fill="auto"/>
          <w:noWrap/>
          <w:vAlign w:val="bottom"/>
          <w:hideMark/>
        </w:tcPr>
        <w:p w14:paraId="6AB7EF6F" w14:textId="77777777" w:rsidR="005F3FCF" w:rsidRPr="00613A40" w:rsidRDefault="005F3FCF" w:rsidP="00816745">
          <w:pPr>
            <w:jc w:val="center"/>
            <w:rPr>
              <w:rFonts w:asciiTheme="minorHAnsi" w:eastAsia="Times New Roman" w:hAnsiTheme="minorHAnsi"/>
              <w:color w:val="404040" w:themeColor="text1" w:themeTint="BF"/>
              <w:szCs w:val="20"/>
            </w:rPr>
          </w:pPr>
          <w:r>
            <w:rPr>
              <w:rFonts w:asciiTheme="minorHAnsi" w:eastAsia="Times New Roman" w:hAnsiTheme="minorHAnsi"/>
              <w:color w:val="404040" w:themeColor="text1" w:themeTint="BF"/>
              <w:szCs w:val="20"/>
            </w:rPr>
            <w:t>320</w:t>
          </w:r>
        </w:p>
      </w:tc>
      <w:tc>
        <w:tcPr>
          <w:tcW w:w="1000" w:type="dxa"/>
          <w:tcBorders>
            <w:top w:val="nil"/>
            <w:left w:val="nil"/>
            <w:bottom w:val="single" w:sz="4" w:space="0" w:color="auto"/>
            <w:right w:val="single" w:sz="4" w:space="0" w:color="auto"/>
          </w:tcBorders>
          <w:shd w:val="clear" w:color="auto" w:fill="auto"/>
          <w:noWrap/>
          <w:vAlign w:val="bottom"/>
          <w:hideMark/>
        </w:tcPr>
        <w:p w14:paraId="2D6970CF" w14:textId="77777777" w:rsidR="005F3FCF" w:rsidRPr="00C00622" w:rsidRDefault="005F3FCF" w:rsidP="00816745">
          <w:pPr>
            <w:jc w:val="center"/>
            <w:rPr>
              <w:rFonts w:asciiTheme="minorHAnsi" w:eastAsia="Times New Roman" w:hAnsiTheme="minorHAnsi"/>
              <w:color w:val="404040" w:themeColor="text1" w:themeTint="BF"/>
              <w:szCs w:val="20"/>
            </w:rPr>
          </w:pPr>
          <w:r w:rsidRPr="00C00622">
            <w:rPr>
              <w:rFonts w:asciiTheme="minorHAnsi" w:eastAsia="Times New Roman" w:hAnsiTheme="minorHAnsi"/>
              <w:color w:val="404040" w:themeColor="text1" w:themeTint="BF"/>
              <w:szCs w:val="20"/>
            </w:rPr>
            <w:t>80</w:t>
          </w:r>
        </w:p>
      </w:tc>
      <w:tc>
        <w:tcPr>
          <w:tcW w:w="1000" w:type="dxa"/>
          <w:tcBorders>
            <w:top w:val="nil"/>
            <w:left w:val="nil"/>
            <w:bottom w:val="single" w:sz="4" w:space="0" w:color="auto"/>
            <w:right w:val="single" w:sz="4" w:space="0" w:color="auto"/>
          </w:tcBorders>
          <w:shd w:val="clear" w:color="auto" w:fill="auto"/>
          <w:noWrap/>
          <w:vAlign w:val="bottom"/>
          <w:hideMark/>
        </w:tcPr>
        <w:p w14:paraId="411975DD" w14:textId="77777777" w:rsidR="005F3FCF" w:rsidRPr="004B2462" w:rsidRDefault="005F3FCF" w:rsidP="00816745">
          <w:pPr>
            <w:jc w:val="center"/>
            <w:rPr>
              <w:rFonts w:asciiTheme="minorHAnsi" w:eastAsia="Times New Roman" w:hAnsiTheme="minorHAnsi"/>
              <w:color w:val="404040" w:themeColor="text1" w:themeTint="BF"/>
              <w:szCs w:val="20"/>
              <w:highlight w:val="yellow"/>
            </w:rPr>
          </w:pPr>
          <w:r>
            <w:rPr>
              <w:rFonts w:ascii="Calibri" w:eastAsia="Times New Roman" w:hAnsi="Calibri"/>
              <w:color w:val="404040"/>
              <w:szCs w:val="20"/>
            </w:rPr>
            <w:t>412</w:t>
          </w:r>
        </w:p>
      </w:tc>
    </w:tr>
    <w:tr w:rsidR="005F3FCF" w:rsidRPr="006723EF" w14:paraId="2E9A0911" w14:textId="77777777" w:rsidTr="005F3FCF">
      <w:tc>
        <w:tcPr>
          <w:tcW w:w="6608" w:type="dxa"/>
          <w:noWrap/>
          <w:vAlign w:val="bottom"/>
          <w:hideMark/>
        </w:tcPr>
        <w:p w14:paraId="7F8B4276" w14:textId="77777777" w:rsidR="005F3FCF" w:rsidRPr="00613A40" w:rsidRDefault="005F3FCF" w:rsidP="005F3FCF">
          <w:pPr>
            <w:pStyle w:val="Title"/>
            <w:spacing w:after="120"/>
            <w:ind w:right="360"/>
            <w:jc w:val="left"/>
            <w:rPr>
              <w:rFonts w:asciiTheme="minorHAnsi" w:eastAsia="Times New Roman" w:hAnsiTheme="minorHAnsi"/>
              <w:color w:val="404040" w:themeColor="text1" w:themeTint="BF"/>
              <w:szCs w:val="20"/>
            </w:rPr>
          </w:pPr>
          <w:r w:rsidRPr="005F3FCF">
            <w:rPr>
              <w:rFonts w:ascii="Gotham Book" w:hAnsi="Gotham Book"/>
              <w:b/>
              <w:color w:val="404040"/>
              <w:sz w:val="22"/>
              <w:szCs w:val="22"/>
            </w:rPr>
            <w:t xml:space="preserve">Black </w:t>
          </w:r>
          <w:r w:rsidRPr="00613A40">
            <w:rPr>
              <w:rFonts w:asciiTheme="minorHAnsi" w:eastAsia="Times New Roman" w:hAnsiTheme="minorHAnsi"/>
              <w:color w:val="404040" w:themeColor="text1" w:themeTint="BF"/>
              <w:szCs w:val="20"/>
            </w:rPr>
            <w:t>or African American</w:t>
          </w:r>
        </w:p>
      </w:tc>
      <w:tc>
        <w:tcPr>
          <w:tcW w:w="3328" w:type="dxa"/>
          <w:noWrap/>
          <w:vAlign w:val="bottom"/>
          <w:hideMark/>
        </w:tcPr>
        <w:p w14:paraId="1C8192AB"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204</w:t>
          </w:r>
        </w:p>
      </w:tc>
      <w:tc>
        <w:tcPr>
          <w:tcW w:w="1000" w:type="dxa"/>
          <w:tcBorders>
            <w:top w:val="nil"/>
            <w:left w:val="nil"/>
            <w:bottom w:val="single" w:sz="4" w:space="0" w:color="auto"/>
            <w:right w:val="single" w:sz="4" w:space="0" w:color="auto"/>
          </w:tcBorders>
          <w:shd w:val="clear" w:color="auto" w:fill="auto"/>
          <w:noWrap/>
          <w:vAlign w:val="bottom"/>
          <w:hideMark/>
        </w:tcPr>
        <w:p w14:paraId="31E46FE1" w14:textId="77777777" w:rsidR="005F3FCF" w:rsidRPr="00613A40" w:rsidRDefault="005F3FCF" w:rsidP="00816745">
          <w:pPr>
            <w:jc w:val="center"/>
            <w:rPr>
              <w:rFonts w:asciiTheme="minorHAnsi" w:eastAsia="Times New Roman" w:hAnsiTheme="minorHAnsi"/>
              <w:color w:val="404040" w:themeColor="text1" w:themeTint="BF"/>
              <w:szCs w:val="20"/>
            </w:rPr>
          </w:pPr>
          <w:r>
            <w:rPr>
              <w:rFonts w:asciiTheme="minorHAnsi" w:eastAsia="Times New Roman" w:hAnsiTheme="minorHAnsi"/>
              <w:color w:val="404040" w:themeColor="text1" w:themeTint="BF"/>
              <w:szCs w:val="20"/>
            </w:rPr>
            <w:t>37</w:t>
          </w:r>
        </w:p>
      </w:tc>
      <w:tc>
        <w:tcPr>
          <w:tcW w:w="1000" w:type="dxa"/>
          <w:tcBorders>
            <w:top w:val="nil"/>
            <w:left w:val="nil"/>
            <w:bottom w:val="single" w:sz="4" w:space="0" w:color="auto"/>
            <w:right w:val="single" w:sz="4" w:space="0" w:color="auto"/>
          </w:tcBorders>
          <w:shd w:val="clear" w:color="auto" w:fill="auto"/>
          <w:noWrap/>
          <w:vAlign w:val="bottom"/>
          <w:hideMark/>
        </w:tcPr>
        <w:p w14:paraId="23A4E8B3" w14:textId="77777777" w:rsidR="005F3FCF" w:rsidRPr="00C00622" w:rsidRDefault="005F3FCF" w:rsidP="00816745">
          <w:pPr>
            <w:jc w:val="center"/>
            <w:rPr>
              <w:rFonts w:asciiTheme="minorHAnsi" w:eastAsia="Times New Roman" w:hAnsiTheme="minorHAnsi"/>
              <w:color w:val="404040" w:themeColor="text1" w:themeTint="BF"/>
              <w:szCs w:val="20"/>
            </w:rPr>
          </w:pPr>
          <w:r w:rsidRPr="00C00622">
            <w:rPr>
              <w:rFonts w:asciiTheme="minorHAnsi" w:eastAsia="Times New Roman" w:hAnsiTheme="minorHAnsi"/>
              <w:color w:val="404040" w:themeColor="text1" w:themeTint="BF"/>
              <w:szCs w:val="20"/>
            </w:rPr>
            <w:t>28</w:t>
          </w:r>
        </w:p>
      </w:tc>
      <w:tc>
        <w:tcPr>
          <w:tcW w:w="1000" w:type="dxa"/>
          <w:tcBorders>
            <w:top w:val="nil"/>
            <w:left w:val="nil"/>
            <w:bottom w:val="single" w:sz="4" w:space="0" w:color="auto"/>
            <w:right w:val="single" w:sz="4" w:space="0" w:color="auto"/>
          </w:tcBorders>
          <w:shd w:val="clear" w:color="auto" w:fill="auto"/>
          <w:noWrap/>
          <w:vAlign w:val="bottom"/>
          <w:hideMark/>
        </w:tcPr>
        <w:p w14:paraId="087FEC54" w14:textId="77777777" w:rsidR="005F3FCF" w:rsidRPr="004B2462" w:rsidRDefault="005F3FCF" w:rsidP="00816745">
          <w:pPr>
            <w:jc w:val="center"/>
            <w:rPr>
              <w:rFonts w:asciiTheme="minorHAnsi" w:eastAsia="Times New Roman" w:hAnsiTheme="minorHAnsi"/>
              <w:color w:val="404040" w:themeColor="text1" w:themeTint="BF"/>
              <w:szCs w:val="20"/>
              <w:highlight w:val="yellow"/>
            </w:rPr>
          </w:pPr>
          <w:r>
            <w:rPr>
              <w:rFonts w:ascii="Calibri" w:eastAsia="Times New Roman" w:hAnsi="Calibri"/>
              <w:color w:val="404040"/>
              <w:szCs w:val="20"/>
            </w:rPr>
            <w:t>81</w:t>
          </w:r>
        </w:p>
      </w:tc>
    </w:tr>
    <w:tr w:rsidR="005F3FCF" w:rsidRPr="006723EF" w14:paraId="1904C463" w14:textId="77777777" w:rsidTr="005F3FCF">
      <w:tc>
        <w:tcPr>
          <w:tcW w:w="6608" w:type="dxa"/>
          <w:noWrap/>
          <w:vAlign w:val="bottom"/>
          <w:hideMark/>
        </w:tcPr>
        <w:p w14:paraId="665A8DA4" w14:textId="77777777" w:rsidR="005F3FCF" w:rsidRPr="005F3FCF" w:rsidRDefault="005F3FCF" w:rsidP="005F3FCF">
          <w:pPr>
            <w:pStyle w:val="Title"/>
            <w:spacing w:after="120"/>
            <w:ind w:right="360"/>
            <w:jc w:val="left"/>
            <w:rPr>
              <w:rFonts w:ascii="Gotham Book" w:hAnsi="Gotham Book"/>
              <w:b/>
              <w:color w:val="404040"/>
              <w:sz w:val="22"/>
              <w:szCs w:val="22"/>
            </w:rPr>
          </w:pPr>
          <w:r w:rsidRPr="005F3FCF">
            <w:rPr>
              <w:rFonts w:ascii="Gotham Book" w:hAnsi="Gotham Book"/>
              <w:b/>
              <w:color w:val="404040"/>
              <w:sz w:val="22"/>
              <w:szCs w:val="22"/>
            </w:rPr>
            <w:t>Asian</w:t>
          </w:r>
        </w:p>
      </w:tc>
      <w:tc>
        <w:tcPr>
          <w:tcW w:w="3328" w:type="dxa"/>
          <w:noWrap/>
          <w:vAlign w:val="bottom"/>
          <w:hideMark/>
        </w:tcPr>
        <w:p w14:paraId="3AF8BCD2"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40</w:t>
          </w:r>
        </w:p>
      </w:tc>
      <w:tc>
        <w:tcPr>
          <w:tcW w:w="1000" w:type="dxa"/>
          <w:tcBorders>
            <w:top w:val="nil"/>
            <w:left w:val="nil"/>
            <w:bottom w:val="single" w:sz="4" w:space="0" w:color="auto"/>
            <w:right w:val="single" w:sz="4" w:space="0" w:color="auto"/>
          </w:tcBorders>
          <w:shd w:val="clear" w:color="auto" w:fill="auto"/>
          <w:noWrap/>
          <w:vAlign w:val="bottom"/>
          <w:hideMark/>
        </w:tcPr>
        <w:p w14:paraId="7370A1DF" w14:textId="77777777" w:rsidR="005F3FCF" w:rsidRPr="00613A40" w:rsidRDefault="005F3FCF" w:rsidP="00816745">
          <w:pPr>
            <w:jc w:val="center"/>
            <w:rPr>
              <w:rFonts w:asciiTheme="minorHAnsi" w:eastAsia="Times New Roman" w:hAnsiTheme="minorHAnsi"/>
              <w:color w:val="404040" w:themeColor="text1" w:themeTint="BF"/>
              <w:szCs w:val="20"/>
            </w:rPr>
          </w:pPr>
          <w:r>
            <w:rPr>
              <w:rFonts w:asciiTheme="minorHAnsi" w:eastAsia="Times New Roman" w:hAnsiTheme="minorHAnsi"/>
              <w:color w:val="404040" w:themeColor="text1" w:themeTint="BF"/>
              <w:szCs w:val="20"/>
            </w:rPr>
            <w:t>7</w:t>
          </w:r>
        </w:p>
      </w:tc>
      <w:tc>
        <w:tcPr>
          <w:tcW w:w="1000" w:type="dxa"/>
          <w:tcBorders>
            <w:top w:val="nil"/>
            <w:left w:val="nil"/>
            <w:bottom w:val="single" w:sz="4" w:space="0" w:color="auto"/>
            <w:right w:val="single" w:sz="4" w:space="0" w:color="auto"/>
          </w:tcBorders>
          <w:shd w:val="clear" w:color="auto" w:fill="auto"/>
          <w:noWrap/>
          <w:vAlign w:val="bottom"/>
          <w:hideMark/>
        </w:tcPr>
        <w:p w14:paraId="42FEE332" w14:textId="77777777" w:rsidR="005F3FCF" w:rsidRPr="00C00622" w:rsidRDefault="005F3FCF" w:rsidP="00816745">
          <w:pPr>
            <w:jc w:val="center"/>
            <w:rPr>
              <w:rFonts w:asciiTheme="minorHAnsi" w:eastAsia="Times New Roman" w:hAnsiTheme="minorHAnsi"/>
              <w:color w:val="404040" w:themeColor="text1" w:themeTint="BF"/>
              <w:szCs w:val="20"/>
            </w:rPr>
          </w:pPr>
          <w:r w:rsidRPr="00C00622">
            <w:rPr>
              <w:rFonts w:asciiTheme="minorHAnsi" w:eastAsia="Times New Roman" w:hAnsiTheme="minorHAnsi"/>
              <w:color w:val="404040" w:themeColor="text1" w:themeTint="BF"/>
              <w:szCs w:val="20"/>
            </w:rPr>
            <w:t>7</w:t>
          </w:r>
        </w:p>
      </w:tc>
      <w:tc>
        <w:tcPr>
          <w:tcW w:w="1000" w:type="dxa"/>
          <w:tcBorders>
            <w:top w:val="nil"/>
            <w:left w:val="nil"/>
            <w:bottom w:val="single" w:sz="4" w:space="0" w:color="auto"/>
            <w:right w:val="single" w:sz="4" w:space="0" w:color="auto"/>
          </w:tcBorders>
          <w:shd w:val="clear" w:color="auto" w:fill="auto"/>
          <w:noWrap/>
          <w:vAlign w:val="bottom"/>
          <w:hideMark/>
        </w:tcPr>
        <w:p w14:paraId="475EC051" w14:textId="77777777" w:rsidR="005F3FCF" w:rsidRPr="004B2462" w:rsidRDefault="005F3FCF" w:rsidP="00816745">
          <w:pPr>
            <w:jc w:val="center"/>
            <w:rPr>
              <w:rFonts w:asciiTheme="minorHAnsi" w:eastAsia="Times New Roman" w:hAnsiTheme="minorHAnsi"/>
              <w:color w:val="404040" w:themeColor="text1" w:themeTint="BF"/>
              <w:szCs w:val="20"/>
              <w:highlight w:val="yellow"/>
            </w:rPr>
          </w:pPr>
          <w:r>
            <w:rPr>
              <w:rFonts w:ascii="Calibri" w:eastAsia="Times New Roman" w:hAnsi="Calibri"/>
              <w:color w:val="404040"/>
              <w:szCs w:val="20"/>
            </w:rPr>
            <w:t>13</w:t>
          </w:r>
        </w:p>
      </w:tc>
    </w:tr>
    <w:tr w:rsidR="005F3FCF" w:rsidRPr="006723EF" w14:paraId="16615C53" w14:textId="77777777" w:rsidTr="005F3FCF">
      <w:tc>
        <w:tcPr>
          <w:tcW w:w="6608" w:type="dxa"/>
          <w:noWrap/>
          <w:vAlign w:val="bottom"/>
          <w:hideMark/>
        </w:tcPr>
        <w:p w14:paraId="66EEBF16" w14:textId="77777777" w:rsidR="005F3FCF" w:rsidRPr="00613A40" w:rsidRDefault="005F3FCF" w:rsidP="005F3FCF">
          <w:pPr>
            <w:pStyle w:val="Title"/>
            <w:spacing w:after="120"/>
            <w:ind w:right="360"/>
            <w:jc w:val="left"/>
            <w:rPr>
              <w:rFonts w:asciiTheme="minorHAnsi" w:eastAsia="Times New Roman" w:hAnsiTheme="minorHAnsi"/>
              <w:color w:val="404040" w:themeColor="text1" w:themeTint="BF"/>
              <w:szCs w:val="20"/>
            </w:rPr>
          </w:pPr>
          <w:r w:rsidRPr="005F3FCF">
            <w:rPr>
              <w:rFonts w:ascii="Gotham Book" w:hAnsi="Gotham Book"/>
              <w:b/>
              <w:color w:val="404040"/>
              <w:sz w:val="22"/>
              <w:szCs w:val="22"/>
            </w:rPr>
            <w:t xml:space="preserve">American </w:t>
          </w:r>
          <w:r w:rsidRPr="00613A40">
            <w:rPr>
              <w:rFonts w:asciiTheme="minorHAnsi" w:eastAsia="Times New Roman" w:hAnsiTheme="minorHAnsi"/>
              <w:color w:val="404040" w:themeColor="text1" w:themeTint="BF"/>
              <w:szCs w:val="20"/>
            </w:rPr>
            <w:t>Indian or American Native</w:t>
          </w:r>
        </w:p>
      </w:tc>
      <w:tc>
        <w:tcPr>
          <w:tcW w:w="3328" w:type="dxa"/>
          <w:noWrap/>
          <w:vAlign w:val="bottom"/>
          <w:hideMark/>
        </w:tcPr>
        <w:p w14:paraId="7025A6E0"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102</w:t>
          </w:r>
        </w:p>
      </w:tc>
      <w:tc>
        <w:tcPr>
          <w:tcW w:w="1000" w:type="dxa"/>
          <w:tcBorders>
            <w:top w:val="nil"/>
            <w:left w:val="nil"/>
            <w:bottom w:val="single" w:sz="4" w:space="0" w:color="auto"/>
            <w:right w:val="single" w:sz="4" w:space="0" w:color="auto"/>
          </w:tcBorders>
          <w:shd w:val="clear" w:color="auto" w:fill="auto"/>
          <w:noWrap/>
          <w:vAlign w:val="bottom"/>
          <w:hideMark/>
        </w:tcPr>
        <w:p w14:paraId="6F7FD130" w14:textId="77777777" w:rsidR="005F3FCF" w:rsidRPr="00613A40" w:rsidRDefault="005F3FCF" w:rsidP="00816745">
          <w:pPr>
            <w:jc w:val="center"/>
            <w:rPr>
              <w:rFonts w:asciiTheme="minorHAnsi" w:eastAsia="Times New Roman" w:hAnsiTheme="minorHAnsi"/>
              <w:color w:val="404040" w:themeColor="text1" w:themeTint="BF"/>
              <w:szCs w:val="20"/>
            </w:rPr>
          </w:pPr>
          <w:r>
            <w:rPr>
              <w:rFonts w:asciiTheme="minorHAnsi" w:eastAsia="Times New Roman" w:hAnsiTheme="minorHAnsi"/>
              <w:color w:val="404040" w:themeColor="text1" w:themeTint="BF"/>
              <w:szCs w:val="20"/>
            </w:rPr>
            <w:t>21</w:t>
          </w:r>
        </w:p>
      </w:tc>
      <w:tc>
        <w:tcPr>
          <w:tcW w:w="1000" w:type="dxa"/>
          <w:tcBorders>
            <w:top w:val="nil"/>
            <w:left w:val="nil"/>
            <w:bottom w:val="single" w:sz="4" w:space="0" w:color="auto"/>
            <w:right w:val="single" w:sz="4" w:space="0" w:color="auto"/>
          </w:tcBorders>
          <w:shd w:val="clear" w:color="auto" w:fill="auto"/>
          <w:noWrap/>
          <w:vAlign w:val="bottom"/>
          <w:hideMark/>
        </w:tcPr>
        <w:p w14:paraId="15891B59" w14:textId="77777777" w:rsidR="005F3FCF" w:rsidRPr="00C00622" w:rsidRDefault="005F3FCF" w:rsidP="00816745">
          <w:pPr>
            <w:jc w:val="center"/>
            <w:rPr>
              <w:rFonts w:asciiTheme="minorHAnsi" w:eastAsia="Times New Roman" w:hAnsiTheme="minorHAnsi"/>
              <w:color w:val="404040" w:themeColor="text1" w:themeTint="BF"/>
              <w:szCs w:val="20"/>
            </w:rPr>
          </w:pPr>
          <w:r w:rsidRPr="00C00622">
            <w:rPr>
              <w:rFonts w:asciiTheme="minorHAnsi" w:eastAsia="Times New Roman" w:hAnsiTheme="minorHAnsi"/>
              <w:color w:val="404040" w:themeColor="text1" w:themeTint="BF"/>
              <w:szCs w:val="20"/>
            </w:rPr>
            <w:t>2</w:t>
          </w:r>
        </w:p>
      </w:tc>
      <w:tc>
        <w:tcPr>
          <w:tcW w:w="1000" w:type="dxa"/>
          <w:tcBorders>
            <w:top w:val="nil"/>
            <w:left w:val="nil"/>
            <w:bottom w:val="single" w:sz="4" w:space="0" w:color="auto"/>
            <w:right w:val="single" w:sz="4" w:space="0" w:color="auto"/>
          </w:tcBorders>
          <w:shd w:val="clear" w:color="auto" w:fill="auto"/>
          <w:noWrap/>
          <w:vAlign w:val="bottom"/>
          <w:hideMark/>
        </w:tcPr>
        <w:p w14:paraId="47EAD104" w14:textId="77777777" w:rsidR="005F3FCF" w:rsidRPr="004B2462" w:rsidRDefault="005F3FCF" w:rsidP="00816745">
          <w:pPr>
            <w:jc w:val="center"/>
            <w:rPr>
              <w:rFonts w:asciiTheme="minorHAnsi" w:eastAsia="Times New Roman" w:hAnsiTheme="minorHAnsi"/>
              <w:color w:val="404040" w:themeColor="text1" w:themeTint="BF"/>
              <w:szCs w:val="20"/>
              <w:highlight w:val="yellow"/>
            </w:rPr>
          </w:pPr>
          <w:r>
            <w:rPr>
              <w:rFonts w:ascii="Calibri" w:eastAsia="Times New Roman" w:hAnsi="Calibri"/>
              <w:color w:val="404040"/>
              <w:szCs w:val="20"/>
            </w:rPr>
            <w:t>46</w:t>
          </w:r>
        </w:p>
      </w:tc>
    </w:tr>
    <w:tr w:rsidR="005F3FCF" w:rsidRPr="006723EF" w14:paraId="493D9775" w14:textId="77777777" w:rsidTr="005F3FCF">
      <w:tc>
        <w:tcPr>
          <w:tcW w:w="6608" w:type="dxa"/>
          <w:noWrap/>
          <w:vAlign w:val="bottom"/>
          <w:hideMark/>
        </w:tcPr>
        <w:p w14:paraId="301F95C6" w14:textId="77777777" w:rsidR="005F3FCF" w:rsidRPr="00613A40" w:rsidRDefault="005F3FCF" w:rsidP="005F3FCF">
          <w:pPr>
            <w:pStyle w:val="Title"/>
            <w:spacing w:after="120"/>
            <w:ind w:right="360"/>
            <w:jc w:val="left"/>
            <w:rPr>
              <w:rFonts w:asciiTheme="minorHAnsi" w:eastAsia="Times New Roman" w:hAnsiTheme="minorHAnsi"/>
              <w:color w:val="404040" w:themeColor="text1" w:themeTint="BF"/>
              <w:szCs w:val="20"/>
            </w:rPr>
          </w:pPr>
          <w:r w:rsidRPr="005F3FCF">
            <w:rPr>
              <w:rFonts w:ascii="Gotham Book" w:hAnsi="Gotham Book"/>
              <w:b/>
              <w:color w:val="404040"/>
              <w:sz w:val="22"/>
              <w:szCs w:val="22"/>
            </w:rPr>
            <w:t xml:space="preserve">Native </w:t>
          </w:r>
          <w:r w:rsidRPr="00613A40">
            <w:rPr>
              <w:rFonts w:asciiTheme="minorHAnsi" w:eastAsia="Times New Roman" w:hAnsiTheme="minorHAnsi"/>
              <w:color w:val="404040" w:themeColor="text1" w:themeTint="BF"/>
              <w:szCs w:val="20"/>
            </w:rPr>
            <w:t>Hawaiian or Other Pacific Islander</w:t>
          </w:r>
        </w:p>
      </w:tc>
      <w:tc>
        <w:tcPr>
          <w:tcW w:w="3328" w:type="dxa"/>
          <w:noWrap/>
          <w:vAlign w:val="bottom"/>
          <w:hideMark/>
        </w:tcPr>
        <w:p w14:paraId="46C19A8E"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67</w:t>
          </w:r>
        </w:p>
      </w:tc>
      <w:tc>
        <w:tcPr>
          <w:tcW w:w="1000" w:type="dxa"/>
          <w:tcBorders>
            <w:top w:val="nil"/>
            <w:left w:val="nil"/>
            <w:bottom w:val="single" w:sz="4" w:space="0" w:color="auto"/>
            <w:right w:val="single" w:sz="4" w:space="0" w:color="auto"/>
          </w:tcBorders>
          <w:shd w:val="clear" w:color="auto" w:fill="auto"/>
          <w:noWrap/>
          <w:vAlign w:val="bottom"/>
          <w:hideMark/>
        </w:tcPr>
        <w:p w14:paraId="0C531A52" w14:textId="77777777" w:rsidR="005F3FCF" w:rsidRPr="00613A40" w:rsidRDefault="005F3FCF" w:rsidP="00816745">
          <w:pPr>
            <w:jc w:val="center"/>
            <w:rPr>
              <w:rFonts w:asciiTheme="minorHAnsi" w:eastAsia="Times New Roman" w:hAnsiTheme="minorHAnsi"/>
              <w:color w:val="404040" w:themeColor="text1" w:themeTint="BF"/>
              <w:szCs w:val="20"/>
            </w:rPr>
          </w:pPr>
          <w:r>
            <w:rPr>
              <w:rFonts w:asciiTheme="minorHAnsi" w:eastAsia="Times New Roman" w:hAnsiTheme="minorHAnsi"/>
              <w:color w:val="404040" w:themeColor="text1" w:themeTint="BF"/>
              <w:szCs w:val="20"/>
            </w:rPr>
            <w:t>25</w:t>
          </w:r>
        </w:p>
      </w:tc>
      <w:tc>
        <w:tcPr>
          <w:tcW w:w="1000" w:type="dxa"/>
          <w:tcBorders>
            <w:top w:val="nil"/>
            <w:left w:val="nil"/>
            <w:bottom w:val="single" w:sz="4" w:space="0" w:color="auto"/>
            <w:right w:val="single" w:sz="4" w:space="0" w:color="auto"/>
          </w:tcBorders>
          <w:shd w:val="clear" w:color="auto" w:fill="auto"/>
          <w:noWrap/>
          <w:vAlign w:val="bottom"/>
          <w:hideMark/>
        </w:tcPr>
        <w:p w14:paraId="6B25825F" w14:textId="77777777" w:rsidR="005F3FCF" w:rsidRPr="00C00622" w:rsidRDefault="005F3FCF" w:rsidP="00816745">
          <w:pPr>
            <w:jc w:val="center"/>
            <w:rPr>
              <w:rFonts w:asciiTheme="minorHAnsi" w:eastAsia="Times New Roman" w:hAnsiTheme="minorHAnsi"/>
              <w:color w:val="404040" w:themeColor="text1" w:themeTint="BF"/>
              <w:szCs w:val="20"/>
            </w:rPr>
          </w:pPr>
          <w:r w:rsidRPr="00C00622">
            <w:rPr>
              <w:rFonts w:asciiTheme="minorHAnsi" w:eastAsia="Times New Roman" w:hAnsiTheme="minorHAnsi"/>
              <w:color w:val="404040" w:themeColor="text1" w:themeTint="BF"/>
              <w:szCs w:val="20"/>
            </w:rPr>
            <w:t>0</w:t>
          </w:r>
        </w:p>
      </w:tc>
      <w:tc>
        <w:tcPr>
          <w:tcW w:w="1000" w:type="dxa"/>
          <w:tcBorders>
            <w:top w:val="nil"/>
            <w:left w:val="nil"/>
            <w:bottom w:val="single" w:sz="4" w:space="0" w:color="auto"/>
            <w:right w:val="single" w:sz="4" w:space="0" w:color="auto"/>
          </w:tcBorders>
          <w:shd w:val="clear" w:color="auto" w:fill="auto"/>
          <w:noWrap/>
          <w:vAlign w:val="bottom"/>
          <w:hideMark/>
        </w:tcPr>
        <w:p w14:paraId="19075466" w14:textId="77777777" w:rsidR="005F3FCF" w:rsidRPr="004B2462" w:rsidRDefault="005F3FCF" w:rsidP="00816745">
          <w:pPr>
            <w:jc w:val="center"/>
            <w:rPr>
              <w:rFonts w:asciiTheme="minorHAnsi" w:eastAsia="Times New Roman" w:hAnsiTheme="minorHAnsi"/>
              <w:color w:val="404040" w:themeColor="text1" w:themeTint="BF"/>
              <w:szCs w:val="20"/>
              <w:highlight w:val="yellow"/>
            </w:rPr>
          </w:pPr>
          <w:r>
            <w:rPr>
              <w:rFonts w:ascii="Calibri" w:eastAsia="Times New Roman" w:hAnsi="Calibri"/>
              <w:color w:val="404040"/>
              <w:szCs w:val="20"/>
            </w:rPr>
            <w:t>11</w:t>
          </w:r>
        </w:p>
      </w:tc>
    </w:tr>
    <w:tr w:rsidR="005F3FCF" w:rsidRPr="006723EF" w14:paraId="10B8C4CB" w14:textId="77777777" w:rsidTr="005F3FCF">
      <w:tc>
        <w:tcPr>
          <w:tcW w:w="6608" w:type="dxa"/>
          <w:noWrap/>
          <w:vAlign w:val="bottom"/>
          <w:hideMark/>
        </w:tcPr>
        <w:p w14:paraId="5AE84B81" w14:textId="77777777" w:rsidR="005F3FCF" w:rsidRPr="005F3FCF" w:rsidRDefault="005F3FCF" w:rsidP="005F3FCF">
          <w:pPr>
            <w:pStyle w:val="Title"/>
            <w:spacing w:after="120"/>
            <w:ind w:right="360"/>
            <w:jc w:val="left"/>
            <w:rPr>
              <w:rFonts w:ascii="Gotham Book" w:hAnsi="Gotham Book"/>
              <w:b/>
              <w:color w:val="404040"/>
              <w:sz w:val="22"/>
              <w:szCs w:val="22"/>
            </w:rPr>
          </w:pPr>
          <w:r w:rsidRPr="005F3FCF">
            <w:rPr>
              <w:rFonts w:ascii="Gotham Book" w:hAnsi="Gotham Book"/>
              <w:b/>
              <w:color w:val="404040"/>
              <w:sz w:val="22"/>
              <w:szCs w:val="22"/>
            </w:rPr>
            <w:t>Total</w:t>
          </w:r>
        </w:p>
      </w:tc>
      <w:tc>
        <w:tcPr>
          <w:tcW w:w="3328" w:type="dxa"/>
          <w:noWrap/>
          <w:vAlign w:val="bottom"/>
          <w:hideMark/>
        </w:tcPr>
        <w:p w14:paraId="1CA57233"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2,368</w:t>
          </w:r>
        </w:p>
      </w:tc>
      <w:tc>
        <w:tcPr>
          <w:tcW w:w="1000" w:type="dxa"/>
          <w:tcBorders>
            <w:top w:val="nil"/>
            <w:left w:val="nil"/>
            <w:bottom w:val="single" w:sz="4" w:space="0" w:color="auto"/>
            <w:right w:val="single" w:sz="4" w:space="0" w:color="auto"/>
          </w:tcBorders>
          <w:shd w:val="clear" w:color="000000" w:fill="D9D9D9"/>
          <w:noWrap/>
          <w:vAlign w:val="bottom"/>
          <w:hideMark/>
        </w:tcPr>
        <w:p w14:paraId="121ADC4E" w14:textId="77777777" w:rsidR="005F3FCF" w:rsidRPr="00613A40" w:rsidRDefault="005F3FCF" w:rsidP="00816745">
          <w:pPr>
            <w:jc w:val="center"/>
            <w:rPr>
              <w:rFonts w:asciiTheme="minorHAnsi" w:eastAsia="Times New Roman" w:hAnsiTheme="minorHAnsi"/>
              <w:b/>
              <w:bCs/>
              <w:color w:val="404040" w:themeColor="text1" w:themeTint="BF"/>
              <w:szCs w:val="20"/>
            </w:rPr>
          </w:pPr>
          <w:r>
            <w:rPr>
              <w:rFonts w:asciiTheme="minorHAnsi" w:eastAsia="Times New Roman" w:hAnsiTheme="minorHAnsi"/>
              <w:b/>
              <w:bCs/>
              <w:color w:val="404040" w:themeColor="text1" w:themeTint="BF"/>
              <w:szCs w:val="20"/>
            </w:rPr>
            <w:t>410</w:t>
          </w:r>
        </w:p>
      </w:tc>
      <w:tc>
        <w:tcPr>
          <w:tcW w:w="1000" w:type="dxa"/>
          <w:tcBorders>
            <w:top w:val="nil"/>
            <w:left w:val="nil"/>
            <w:bottom w:val="single" w:sz="4" w:space="0" w:color="auto"/>
            <w:right w:val="single" w:sz="4" w:space="0" w:color="auto"/>
          </w:tcBorders>
          <w:shd w:val="clear" w:color="000000" w:fill="D9D9D9"/>
          <w:noWrap/>
          <w:vAlign w:val="bottom"/>
          <w:hideMark/>
        </w:tcPr>
        <w:p w14:paraId="2B8264A5" w14:textId="77777777" w:rsidR="005F3FCF" w:rsidRPr="00C00622" w:rsidRDefault="005F3FCF" w:rsidP="00816745">
          <w:pPr>
            <w:jc w:val="center"/>
            <w:rPr>
              <w:rFonts w:asciiTheme="minorHAnsi" w:eastAsia="Times New Roman" w:hAnsiTheme="minorHAnsi"/>
              <w:b/>
              <w:bCs/>
              <w:color w:val="404040" w:themeColor="text1" w:themeTint="BF"/>
              <w:szCs w:val="20"/>
            </w:rPr>
          </w:pPr>
          <w:r w:rsidRPr="00C00622">
            <w:rPr>
              <w:rFonts w:asciiTheme="minorHAnsi" w:eastAsia="Times New Roman" w:hAnsiTheme="minorHAnsi"/>
              <w:b/>
              <w:bCs/>
              <w:color w:val="404040" w:themeColor="text1" w:themeTint="BF"/>
              <w:szCs w:val="20"/>
            </w:rPr>
            <w:t>117</w:t>
          </w:r>
        </w:p>
      </w:tc>
      <w:tc>
        <w:tcPr>
          <w:tcW w:w="1000" w:type="dxa"/>
          <w:tcBorders>
            <w:top w:val="nil"/>
            <w:left w:val="nil"/>
            <w:bottom w:val="single" w:sz="4" w:space="0" w:color="auto"/>
            <w:right w:val="single" w:sz="4" w:space="0" w:color="auto"/>
          </w:tcBorders>
          <w:shd w:val="clear" w:color="000000" w:fill="D9D9D9"/>
          <w:noWrap/>
          <w:vAlign w:val="bottom"/>
          <w:hideMark/>
        </w:tcPr>
        <w:p w14:paraId="445BCC48" w14:textId="77777777" w:rsidR="005F3FCF" w:rsidRPr="001A4989" w:rsidRDefault="005F3FCF" w:rsidP="00816745">
          <w:pPr>
            <w:jc w:val="center"/>
            <w:rPr>
              <w:rFonts w:asciiTheme="minorHAnsi" w:eastAsia="Times New Roman" w:hAnsiTheme="minorHAnsi"/>
              <w:b/>
              <w:bCs/>
              <w:color w:val="404040" w:themeColor="text1" w:themeTint="BF"/>
              <w:szCs w:val="20"/>
            </w:rPr>
          </w:pPr>
          <w:r>
            <w:rPr>
              <w:rFonts w:asciiTheme="minorHAnsi" w:eastAsia="Times New Roman" w:hAnsiTheme="minorHAnsi"/>
              <w:b/>
              <w:bCs/>
              <w:color w:val="404040" w:themeColor="text1" w:themeTint="BF"/>
              <w:szCs w:val="20"/>
            </w:rPr>
            <w:t>563</w:t>
          </w:r>
        </w:p>
      </w:tc>
    </w:tr>
    <w:tr w:rsidR="005F3FCF" w:rsidRPr="006723EF" w14:paraId="22880209" w14:textId="77777777" w:rsidTr="005F3FCF">
      <w:tc>
        <w:tcPr>
          <w:tcW w:w="6608" w:type="dxa"/>
          <w:noWrap/>
          <w:vAlign w:val="bottom"/>
          <w:hideMark/>
        </w:tcPr>
        <w:p w14:paraId="1B626309" w14:textId="77777777" w:rsidR="005F3FCF" w:rsidRPr="005F3FCF" w:rsidRDefault="005F3FCF" w:rsidP="005F3FCF">
          <w:pPr>
            <w:pStyle w:val="Title"/>
            <w:spacing w:after="120"/>
            <w:ind w:right="360"/>
            <w:jc w:val="left"/>
            <w:rPr>
              <w:rFonts w:ascii="Gotham Book" w:hAnsi="Gotham Book"/>
              <w:b/>
              <w:color w:val="404040"/>
              <w:sz w:val="22"/>
              <w:szCs w:val="22"/>
            </w:rPr>
          </w:pPr>
          <w:r w:rsidRPr="005F3FCF">
            <w:rPr>
              <w:rFonts w:ascii="Gotham Book" w:hAnsi="Gotham Book"/>
              <w:b/>
              <w:color w:val="404040"/>
              <w:sz w:val="22"/>
              <w:szCs w:val="22"/>
            </w:rPr>
            <w:t>Hispanic</w:t>
          </w:r>
        </w:p>
      </w:tc>
      <w:tc>
        <w:tcPr>
          <w:tcW w:w="3328" w:type="dxa"/>
          <w:noWrap/>
          <w:vAlign w:val="bottom"/>
          <w:hideMark/>
        </w:tcPr>
        <w:p w14:paraId="287E0818"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889</w:t>
          </w:r>
        </w:p>
      </w:tc>
      <w:tc>
        <w:tcPr>
          <w:tcW w:w="1000" w:type="dxa"/>
          <w:tcBorders>
            <w:top w:val="nil"/>
            <w:left w:val="nil"/>
            <w:bottom w:val="single" w:sz="4" w:space="0" w:color="auto"/>
            <w:right w:val="single" w:sz="4" w:space="0" w:color="auto"/>
          </w:tcBorders>
          <w:shd w:val="clear" w:color="auto" w:fill="auto"/>
          <w:noWrap/>
          <w:vAlign w:val="bottom"/>
          <w:hideMark/>
        </w:tcPr>
        <w:p w14:paraId="06094090" w14:textId="77777777" w:rsidR="005F3FCF" w:rsidRPr="00613A40" w:rsidRDefault="005F3FCF" w:rsidP="00816745">
          <w:pPr>
            <w:jc w:val="center"/>
            <w:rPr>
              <w:rFonts w:asciiTheme="minorHAnsi" w:eastAsia="Times New Roman" w:hAnsiTheme="minorHAnsi"/>
              <w:color w:val="404040" w:themeColor="text1" w:themeTint="BF"/>
              <w:szCs w:val="20"/>
            </w:rPr>
          </w:pPr>
          <w:r>
            <w:rPr>
              <w:rFonts w:asciiTheme="minorHAnsi" w:eastAsia="Times New Roman" w:hAnsiTheme="minorHAnsi"/>
              <w:color w:val="404040" w:themeColor="text1" w:themeTint="BF"/>
              <w:szCs w:val="20"/>
            </w:rPr>
            <w:t>149</w:t>
          </w:r>
        </w:p>
      </w:tc>
      <w:tc>
        <w:tcPr>
          <w:tcW w:w="1000" w:type="dxa"/>
          <w:tcBorders>
            <w:top w:val="nil"/>
            <w:left w:val="nil"/>
            <w:bottom w:val="single" w:sz="4" w:space="0" w:color="auto"/>
            <w:right w:val="single" w:sz="4" w:space="0" w:color="auto"/>
          </w:tcBorders>
          <w:shd w:val="clear" w:color="auto" w:fill="auto"/>
          <w:noWrap/>
          <w:vAlign w:val="bottom"/>
          <w:hideMark/>
        </w:tcPr>
        <w:p w14:paraId="2BFE7E80" w14:textId="77777777" w:rsidR="005F3FCF" w:rsidRPr="00C00622" w:rsidRDefault="005F3FCF" w:rsidP="00816745">
          <w:pPr>
            <w:jc w:val="center"/>
            <w:rPr>
              <w:rFonts w:asciiTheme="minorHAnsi" w:eastAsia="Times New Roman" w:hAnsiTheme="minorHAnsi"/>
              <w:color w:val="404040" w:themeColor="text1" w:themeTint="BF"/>
              <w:szCs w:val="20"/>
            </w:rPr>
          </w:pPr>
          <w:r w:rsidRPr="00C00622">
            <w:rPr>
              <w:rFonts w:asciiTheme="minorHAnsi" w:eastAsia="Times New Roman" w:hAnsiTheme="minorHAnsi"/>
              <w:color w:val="404040" w:themeColor="text1" w:themeTint="BF"/>
              <w:szCs w:val="20"/>
            </w:rPr>
            <w:t>14</w:t>
          </w:r>
        </w:p>
      </w:tc>
      <w:tc>
        <w:tcPr>
          <w:tcW w:w="1000" w:type="dxa"/>
          <w:tcBorders>
            <w:top w:val="nil"/>
            <w:left w:val="nil"/>
            <w:bottom w:val="single" w:sz="4" w:space="0" w:color="auto"/>
            <w:right w:val="single" w:sz="4" w:space="0" w:color="auto"/>
          </w:tcBorders>
          <w:shd w:val="clear" w:color="auto" w:fill="auto"/>
          <w:noWrap/>
          <w:vAlign w:val="bottom"/>
          <w:hideMark/>
        </w:tcPr>
        <w:p w14:paraId="5D47B217" w14:textId="77777777" w:rsidR="005F3FCF" w:rsidRPr="001A4989" w:rsidRDefault="005F3FCF" w:rsidP="00816745">
          <w:pPr>
            <w:jc w:val="center"/>
            <w:rPr>
              <w:rFonts w:asciiTheme="minorHAnsi" w:eastAsia="Times New Roman" w:hAnsiTheme="minorHAnsi"/>
              <w:color w:val="404040" w:themeColor="text1" w:themeTint="BF"/>
              <w:szCs w:val="20"/>
            </w:rPr>
          </w:pPr>
          <w:r>
            <w:rPr>
              <w:rFonts w:ascii="Calibri" w:eastAsia="Times New Roman" w:hAnsi="Calibri"/>
              <w:color w:val="404040"/>
              <w:szCs w:val="20"/>
            </w:rPr>
            <w:t>134</w:t>
          </w:r>
        </w:p>
      </w:tc>
    </w:tr>
    <w:tr w:rsidR="005F3FCF" w:rsidRPr="006723EF" w14:paraId="39EB4B89" w14:textId="77777777" w:rsidTr="005F3FCF">
      <w:tc>
        <w:tcPr>
          <w:tcW w:w="6608" w:type="dxa"/>
          <w:noWrap/>
          <w:vAlign w:val="bottom"/>
          <w:hideMark/>
        </w:tcPr>
        <w:p w14:paraId="56C2D967" w14:textId="77777777" w:rsidR="005F3FCF" w:rsidRPr="00613A40" w:rsidRDefault="005F3FCF" w:rsidP="005F3FCF">
          <w:pPr>
            <w:pStyle w:val="Title"/>
            <w:spacing w:after="120"/>
            <w:ind w:right="360"/>
            <w:jc w:val="left"/>
            <w:rPr>
              <w:rFonts w:asciiTheme="minorHAnsi" w:eastAsia="Times New Roman" w:hAnsiTheme="minorHAnsi"/>
              <w:color w:val="404040" w:themeColor="text1" w:themeTint="BF"/>
              <w:szCs w:val="20"/>
            </w:rPr>
          </w:pPr>
          <w:r w:rsidRPr="005F3FCF">
            <w:rPr>
              <w:rFonts w:ascii="Gotham Book" w:hAnsi="Gotham Book"/>
              <w:b/>
              <w:color w:val="404040"/>
              <w:sz w:val="22"/>
              <w:szCs w:val="22"/>
            </w:rPr>
            <w:t xml:space="preserve">Not </w:t>
          </w:r>
          <w:r w:rsidRPr="00613A40">
            <w:rPr>
              <w:rFonts w:asciiTheme="minorHAnsi" w:eastAsia="Times New Roman" w:hAnsiTheme="minorHAnsi"/>
              <w:color w:val="404040" w:themeColor="text1" w:themeTint="BF"/>
              <w:szCs w:val="20"/>
            </w:rPr>
            <w:t>Hispanic</w:t>
          </w:r>
        </w:p>
      </w:tc>
      <w:tc>
        <w:tcPr>
          <w:tcW w:w="3328" w:type="dxa"/>
          <w:noWrap/>
          <w:vAlign w:val="bottom"/>
          <w:hideMark/>
        </w:tcPr>
        <w:p w14:paraId="0C1B1EDC"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1,479</w:t>
          </w:r>
        </w:p>
      </w:tc>
      <w:tc>
        <w:tcPr>
          <w:tcW w:w="1000" w:type="dxa"/>
          <w:tcBorders>
            <w:top w:val="nil"/>
            <w:left w:val="nil"/>
            <w:bottom w:val="single" w:sz="4" w:space="0" w:color="auto"/>
            <w:right w:val="single" w:sz="4" w:space="0" w:color="auto"/>
          </w:tcBorders>
          <w:shd w:val="clear" w:color="auto" w:fill="auto"/>
          <w:noWrap/>
          <w:vAlign w:val="bottom"/>
          <w:hideMark/>
        </w:tcPr>
        <w:p w14:paraId="077B9A9E" w14:textId="77777777" w:rsidR="005F3FCF" w:rsidRPr="00613A40" w:rsidRDefault="005F3FCF" w:rsidP="00816745">
          <w:pPr>
            <w:jc w:val="center"/>
            <w:rPr>
              <w:rFonts w:asciiTheme="minorHAnsi" w:eastAsia="Times New Roman" w:hAnsiTheme="minorHAnsi"/>
              <w:color w:val="404040" w:themeColor="text1" w:themeTint="BF"/>
              <w:szCs w:val="20"/>
            </w:rPr>
          </w:pPr>
          <w:r>
            <w:rPr>
              <w:rFonts w:asciiTheme="minorHAnsi" w:eastAsia="Times New Roman" w:hAnsiTheme="minorHAnsi"/>
              <w:color w:val="404040" w:themeColor="text1" w:themeTint="BF"/>
              <w:szCs w:val="20"/>
            </w:rPr>
            <w:t>261</w:t>
          </w:r>
        </w:p>
      </w:tc>
      <w:tc>
        <w:tcPr>
          <w:tcW w:w="1000" w:type="dxa"/>
          <w:tcBorders>
            <w:top w:val="nil"/>
            <w:left w:val="nil"/>
            <w:bottom w:val="single" w:sz="4" w:space="0" w:color="auto"/>
            <w:right w:val="single" w:sz="4" w:space="0" w:color="auto"/>
          </w:tcBorders>
          <w:shd w:val="clear" w:color="auto" w:fill="auto"/>
          <w:noWrap/>
          <w:vAlign w:val="bottom"/>
          <w:hideMark/>
        </w:tcPr>
        <w:p w14:paraId="2BE757D2" w14:textId="77777777" w:rsidR="005F3FCF" w:rsidRPr="00C00622" w:rsidRDefault="005F3FCF" w:rsidP="00816745">
          <w:pPr>
            <w:jc w:val="center"/>
            <w:rPr>
              <w:rFonts w:asciiTheme="minorHAnsi" w:eastAsia="Times New Roman" w:hAnsiTheme="minorHAnsi"/>
              <w:color w:val="404040" w:themeColor="text1" w:themeTint="BF"/>
              <w:szCs w:val="20"/>
            </w:rPr>
          </w:pPr>
          <w:r w:rsidRPr="00C00622">
            <w:rPr>
              <w:rFonts w:asciiTheme="minorHAnsi" w:eastAsia="Times New Roman" w:hAnsiTheme="minorHAnsi"/>
              <w:color w:val="404040" w:themeColor="text1" w:themeTint="BF"/>
              <w:szCs w:val="20"/>
            </w:rPr>
            <w:t>103</w:t>
          </w:r>
        </w:p>
      </w:tc>
      <w:tc>
        <w:tcPr>
          <w:tcW w:w="1000" w:type="dxa"/>
          <w:tcBorders>
            <w:top w:val="nil"/>
            <w:left w:val="nil"/>
            <w:bottom w:val="single" w:sz="4" w:space="0" w:color="auto"/>
            <w:right w:val="single" w:sz="4" w:space="0" w:color="auto"/>
          </w:tcBorders>
          <w:shd w:val="clear" w:color="auto" w:fill="auto"/>
          <w:noWrap/>
          <w:vAlign w:val="bottom"/>
          <w:hideMark/>
        </w:tcPr>
        <w:p w14:paraId="6520E482" w14:textId="77777777" w:rsidR="005F3FCF" w:rsidRPr="001A4989" w:rsidRDefault="005F3FCF" w:rsidP="00816745">
          <w:pPr>
            <w:jc w:val="center"/>
            <w:rPr>
              <w:rFonts w:asciiTheme="minorHAnsi" w:eastAsia="Times New Roman" w:hAnsiTheme="minorHAnsi"/>
              <w:color w:val="404040" w:themeColor="text1" w:themeTint="BF"/>
              <w:szCs w:val="20"/>
            </w:rPr>
          </w:pPr>
          <w:r>
            <w:rPr>
              <w:rFonts w:ascii="Calibri" w:eastAsia="Times New Roman" w:hAnsi="Calibri"/>
              <w:color w:val="404040"/>
              <w:szCs w:val="20"/>
            </w:rPr>
            <w:t>429</w:t>
          </w:r>
        </w:p>
      </w:tc>
    </w:tr>
  </w:tbl>
  <w:p w14:paraId="12BD875C" w14:textId="77777777" w:rsidR="005F3FCF" w:rsidRPr="005F3FCF" w:rsidRDefault="005F3FCF" w:rsidP="005F3FCF">
    <w:pPr>
      <w:pStyle w:val="Title"/>
      <w:spacing w:after="120"/>
      <w:ind w:left="360"/>
      <w:rPr>
        <w:rFonts w:ascii="Gotham Book" w:hAnsi="Gotham Book"/>
        <w:color w:val="404040"/>
        <w:sz w:val="22"/>
        <w:szCs w:val="22"/>
      </w:rPr>
    </w:pPr>
  </w:p>
  <w:p w14:paraId="0BFE9DEE" w14:textId="77777777" w:rsidR="005F3FCF" w:rsidRDefault="005F3FCF" w:rsidP="005F3FCF">
    <w:pPr>
      <w:pStyle w:val="Title"/>
      <w:spacing w:after="120"/>
      <w:ind w:left="360"/>
      <w:rPr>
        <w:rFonts w:asciiTheme="minorHAnsi" w:hAnsiTheme="minorHAnsi" w:cstheme="minorHAnsi"/>
        <w:color w:val="404040" w:themeColor="text1" w:themeTint="BF"/>
        <w:szCs w:val="20"/>
      </w:rPr>
    </w:pPr>
    <w:r w:rsidRPr="005F3FCF">
      <w:rPr>
        <w:rFonts w:ascii="Gotham Book" w:hAnsi="Gotham Book"/>
        <w:color w:val="404040"/>
        <w:sz w:val="22"/>
        <w:szCs w:val="22"/>
      </w:rPr>
      <w:t>Table</w:t>
    </w:r>
    <w:r>
      <w:rPr>
        <w:rFonts w:asciiTheme="minorHAnsi" w:hAnsiTheme="minorHAnsi" w:cstheme="minorHAnsi"/>
        <w:color w:val="404040" w:themeColor="text1" w:themeTint="BF"/>
        <w:szCs w:val="20"/>
      </w:rPr>
      <w:t xml:space="preserve"> 2 identifies Race &amp; Ethnicities served utilizing CDBG, HOME, HOPWA, and ESG funding.</w:t>
    </w:r>
    <w:r w:rsidRPr="00BD266E">
      <w:rPr>
        <w:rFonts w:asciiTheme="minorHAnsi" w:hAnsiTheme="minorHAnsi" w:cstheme="minorHAnsi"/>
        <w:color w:val="404040" w:themeColor="text1" w:themeTint="BF"/>
        <w:szCs w:val="20"/>
      </w:rPr>
      <w:t xml:space="preserve"> During the reporting period, the City collected data on several more races including the following: Asian &amp; White, Black or African American &amp; White, </w:t>
    </w:r>
    <w:r w:rsidRPr="006723EF">
      <w:rPr>
        <w:rFonts w:asciiTheme="minorHAnsi" w:hAnsiTheme="minorHAnsi" w:cstheme="minorHAnsi"/>
        <w:color w:val="404040" w:themeColor="text1" w:themeTint="BF"/>
        <w:szCs w:val="20"/>
      </w:rPr>
      <w:t xml:space="preserve">American Indian or Alaska Native &amp; Black or African American, and Multi-Racial/Other. </w:t>
    </w:r>
    <w:r w:rsidRPr="001A4989">
      <w:rPr>
        <w:rFonts w:asciiTheme="minorHAnsi" w:hAnsiTheme="minorHAnsi" w:cstheme="minorHAnsi"/>
        <w:color w:val="404040" w:themeColor="text1" w:themeTint="BF"/>
        <w:szCs w:val="20"/>
      </w:rPr>
      <w:t xml:space="preserve">Across CDBG, HOME, and ESG programming, an additional </w:t>
    </w:r>
    <w:r>
      <w:rPr>
        <w:rFonts w:asciiTheme="minorHAnsi" w:hAnsiTheme="minorHAnsi" w:cstheme="minorHAnsi"/>
        <w:color w:val="404040" w:themeColor="text1" w:themeTint="BF"/>
        <w:szCs w:val="20"/>
      </w:rPr>
      <w:t>377</w:t>
    </w:r>
    <w:r w:rsidRPr="001A4989">
      <w:rPr>
        <w:rFonts w:asciiTheme="minorHAnsi" w:hAnsiTheme="minorHAnsi" w:cstheme="minorHAnsi"/>
        <w:color w:val="404040" w:themeColor="text1" w:themeTint="BF"/>
        <w:szCs w:val="20"/>
      </w:rPr>
      <w:t xml:space="preserve"> individuals were served who fall outside of the racial designations listed above. </w:t>
    </w:r>
  </w:p>
  <w:p w14:paraId="41FD6E34" w14:textId="77777777" w:rsidR="005F3FCF" w:rsidRPr="005F3FCF" w:rsidRDefault="005F3FCF" w:rsidP="005F3FCF">
    <w:pPr>
      <w:pStyle w:val="Title"/>
      <w:spacing w:after="120"/>
      <w:rPr>
        <w:rFonts w:ascii="Gotham Book" w:hAnsi="Gotham Book"/>
        <w:b/>
        <w:color w:val="323E4F"/>
        <w:sz w:val="24"/>
      </w:rPr>
    </w:pPr>
  </w:p>
  <w:p w14:paraId="3279AA51" w14:textId="77777777" w:rsidR="005F3FCF" w:rsidRPr="00097698" w:rsidRDefault="005F3FCF" w:rsidP="005F3FCF">
    <w:pPr>
      <w:pStyle w:val="Title"/>
      <w:spacing w:after="120"/>
      <w:ind w:left="360"/>
      <w:rPr>
        <w:rFonts w:asciiTheme="minorHAnsi" w:hAnsiTheme="minorHAnsi" w:cstheme="minorHAnsi"/>
        <w:color w:val="404040" w:themeColor="text1" w:themeTint="BF"/>
        <w:szCs w:val="20"/>
      </w:rPr>
    </w:pPr>
    <w:r w:rsidRPr="005F3FCF">
      <w:rPr>
        <w:rFonts w:ascii="Gotham Book" w:hAnsi="Gotham Book"/>
        <w:b/>
        <w:color w:val="323E4F"/>
        <w:sz w:val="24"/>
      </w:rPr>
      <w:t>A</w:t>
    </w:r>
    <w:r w:rsidRPr="005F3FCF">
      <w:rPr>
        <w:rFonts w:ascii="Calibri" w:hAnsi="Calibri" w:cs="Calibri"/>
        <w:b/>
        <w:color w:val="44546A"/>
        <w:sz w:val="24"/>
      </w:rPr>
      <w:t xml:space="preserve"> total of 3,835 residents/households directly</w:t>
    </w:r>
    <w:r w:rsidRPr="005F3FCF">
      <w:rPr>
        <w:rFonts w:ascii="Calibri" w:hAnsi="Calibri" w:cs="Calibri"/>
        <w:i/>
        <w:color w:val="44546A"/>
        <w:sz w:val="18"/>
        <w:szCs w:val="18"/>
      </w:rPr>
      <w:t xml:space="preserve"> received access to programs that supported</w:t>
    </w:r>
    <w:r w:rsidRPr="005F3FCF">
      <w:rPr>
        <w:rFonts w:ascii="Calibri" w:hAnsi="Calibri" w:cs="Calibri"/>
        <w:i/>
        <w:color w:val="FF0000"/>
        <w:sz w:val="18"/>
        <w:szCs w:val="18"/>
      </w:rPr>
      <w:t xml:space="preserve"> </w:t>
    </w:r>
    <w:r>
      <w:rPr>
        <w:rFonts w:asciiTheme="minorHAnsi" w:hAnsiTheme="minorHAnsi" w:cstheme="minorHAnsi"/>
        <w:color w:val="404040" w:themeColor="text1" w:themeTint="BF"/>
        <w:szCs w:val="20"/>
      </w:rPr>
      <w:t xml:space="preserve">the Consolidated Plan’s overarching goals to increase access to housing, education, health, transportation and economic development. This was done by improving access to programs that assist in closing the gap in a number of socioeconomic indicators </w:t>
    </w:r>
    <w:r w:rsidRPr="0055384D">
      <w:rPr>
        <w:rFonts w:asciiTheme="minorHAnsi" w:hAnsiTheme="minorHAnsi"/>
        <w:color w:val="404040" w:themeColor="text1" w:themeTint="BF"/>
        <w:szCs w:val="20"/>
      </w:rPr>
      <w:t>such as housing affordability, school-readiness of young children, employment skills</w:t>
    </w:r>
    <w:r>
      <w:rPr>
        <w:rFonts w:asciiTheme="minorHAnsi" w:hAnsiTheme="minorHAnsi"/>
        <w:color w:val="404040" w:themeColor="text1" w:themeTint="BF"/>
        <w:szCs w:val="20"/>
      </w:rPr>
      <w:t xml:space="preserve"> of at-risk adults, access to tr</w:t>
    </w:r>
    <w:r w:rsidRPr="0055384D">
      <w:rPr>
        <w:rFonts w:asciiTheme="minorHAnsi" w:hAnsiTheme="minorHAnsi"/>
        <w:color w:val="404040" w:themeColor="text1" w:themeTint="BF"/>
        <w:szCs w:val="20"/>
      </w:rPr>
      <w:t>ansportation for low-income households, access to fresh foods for food-insecure families and</w:t>
    </w:r>
    <w:r>
      <w:rPr>
        <w:rFonts w:asciiTheme="minorHAnsi" w:hAnsiTheme="minorHAnsi"/>
        <w:color w:val="404040" w:themeColor="text1" w:themeTint="BF"/>
        <w:szCs w:val="20"/>
      </w:rPr>
      <w:t xml:space="preserve"> supporting economic diversity </w:t>
    </w:r>
    <w:r w:rsidRPr="0055384D">
      <w:rPr>
        <w:rFonts w:asciiTheme="minorHAnsi" w:hAnsiTheme="minorHAnsi"/>
        <w:color w:val="404040" w:themeColor="text1" w:themeTint="BF"/>
        <w:szCs w:val="20"/>
      </w:rPr>
      <w:t xml:space="preserve">within </w:t>
    </w:r>
    <w:r w:rsidRPr="00D31352">
      <w:rPr>
        <w:rFonts w:asciiTheme="minorHAnsi" w:hAnsiTheme="minorHAnsi"/>
        <w:color w:val="404040" w:themeColor="text1" w:themeTint="BF"/>
        <w:szCs w:val="20"/>
      </w:rPr>
      <w:t xml:space="preserve">neighborhoods. </w:t>
    </w:r>
    <w:r>
      <w:rPr>
        <w:rFonts w:asciiTheme="minorHAnsi" w:hAnsiTheme="minorHAnsi"/>
        <w:color w:val="404040" w:themeColor="text1" w:themeTint="BF"/>
        <w:szCs w:val="20"/>
      </w:rPr>
      <w:t>29</w:t>
    </w:r>
    <w:r w:rsidRPr="00FB4B80">
      <w:rPr>
        <w:rFonts w:asciiTheme="minorHAnsi" w:hAnsiTheme="minorHAnsi"/>
        <w:color w:val="404040" w:themeColor="text1" w:themeTint="BF"/>
        <w:szCs w:val="20"/>
      </w:rPr>
      <w:t>%</w:t>
    </w:r>
    <w:r>
      <w:rPr>
        <w:rFonts w:asciiTheme="minorHAnsi" w:hAnsiTheme="minorHAnsi"/>
        <w:color w:val="404040" w:themeColor="text1" w:themeTint="BF"/>
        <w:szCs w:val="20"/>
      </w:rPr>
      <w:t xml:space="preserve"> of the residents served were</w:t>
    </w:r>
    <w:r w:rsidRPr="00D31352">
      <w:rPr>
        <w:rFonts w:asciiTheme="minorHAnsi" w:hAnsiTheme="minorHAnsi"/>
        <w:color w:val="404040" w:themeColor="text1" w:themeTint="BF"/>
        <w:szCs w:val="20"/>
      </w:rPr>
      <w:t xml:space="preserve"> of a minority race and/or Hispanic.</w:t>
    </w:r>
    <w:r>
      <w:rPr>
        <w:rFonts w:asciiTheme="minorHAnsi" w:hAnsiTheme="minorHAnsi"/>
        <w:color w:val="404040" w:themeColor="text1" w:themeTint="BF"/>
        <w:szCs w:val="20"/>
      </w:rPr>
      <w:t xml:space="preserve"> </w:t>
    </w:r>
  </w:p>
  <w:p w14:paraId="0087AEB6" w14:textId="77777777" w:rsidR="005F3FCF" w:rsidRPr="005F3FCF" w:rsidRDefault="005F3FCF" w:rsidP="005F3FCF">
    <w:pPr>
      <w:pStyle w:val="Title"/>
      <w:spacing w:after="120"/>
      <w:ind w:left="360"/>
      <w:rPr>
        <w:rFonts w:ascii="Gotham Book" w:hAnsi="Gotham Book"/>
        <w:b/>
        <w:color w:val="323E4F"/>
        <w:sz w:val="24"/>
      </w:rPr>
    </w:pPr>
  </w:p>
  <w:p w14:paraId="704621F4" w14:textId="77777777" w:rsidR="005F3FCF" w:rsidRPr="005F3FCF" w:rsidRDefault="005F3FCF" w:rsidP="005F3FCF">
    <w:pPr>
      <w:pStyle w:val="Title"/>
      <w:spacing w:after="120"/>
      <w:ind w:left="360"/>
      <w:rPr>
        <w:rFonts w:ascii="Gotham Book" w:hAnsi="Gotham Book"/>
        <w:b/>
        <w:color w:val="323E4F"/>
        <w:sz w:val="24"/>
      </w:rPr>
    </w:pPr>
  </w:p>
  <w:p w14:paraId="4D91836E" w14:textId="77777777" w:rsidR="005F3FCF" w:rsidRPr="005F3FCF" w:rsidRDefault="005F3FCF" w:rsidP="005F3FCF">
    <w:pPr>
      <w:pStyle w:val="Title"/>
      <w:spacing w:after="120"/>
      <w:ind w:left="360"/>
      <w:rPr>
        <w:rFonts w:ascii="Calibri" w:hAnsi="Calibri" w:cs="Calibri"/>
        <w:b/>
        <w:color w:val="FF0000"/>
        <w:szCs w:val="20"/>
      </w:rPr>
    </w:pPr>
    <w:r w:rsidRPr="005F3FCF">
      <w:rPr>
        <w:rFonts w:ascii="Calibri" w:hAnsi="Calibri" w:cs="Calibri"/>
        <w:b/>
        <w:color w:val="FF0000"/>
        <w:szCs w:val="20"/>
      </w:rPr>
      <w:br w:type="page"/>
      <w:t>CR-15 RESOURCES AND INVESTMENTS – 91.520(a)</w:t>
    </w:r>
  </w:p>
  <w:p w14:paraId="626BE6A7" w14:textId="77777777" w:rsidR="005F3FCF" w:rsidRPr="005F3FCF" w:rsidRDefault="005F3FCF" w:rsidP="005F3FCF">
    <w:pPr>
      <w:pStyle w:val="Title"/>
      <w:spacing w:after="120"/>
      <w:ind w:left="360"/>
      <w:rPr>
        <w:rFonts w:ascii="Calibri" w:hAnsi="Calibri" w:cs="Calibri"/>
        <w:b/>
        <w:color w:val="FF0000"/>
        <w:szCs w:val="20"/>
      </w:rPr>
    </w:pPr>
  </w:p>
  <w:p w14:paraId="607C90BF" w14:textId="77777777" w:rsidR="005F3FCF" w:rsidRPr="005F3FCF" w:rsidRDefault="005F3FCF" w:rsidP="005F3FCF">
    <w:pPr>
      <w:pStyle w:val="Title"/>
      <w:spacing w:after="120"/>
      <w:ind w:left="360"/>
      <w:rPr>
        <w:rFonts w:ascii="Calibri" w:hAnsi="Calibri" w:cs="Calibri"/>
        <w:b/>
        <w:color w:val="FF0000"/>
        <w:szCs w:val="20"/>
      </w:rPr>
    </w:pPr>
    <w:r w:rsidRPr="005F3FCF">
      <w:rPr>
        <w:rFonts w:ascii="Calibri" w:hAnsi="Calibri" w:cs="Calibri"/>
        <w:b/>
        <w:color w:val="FF0000"/>
        <w:szCs w:val="20"/>
      </w:rPr>
      <w:t>Table 3 – Resources Made Available</w:t>
    </w:r>
  </w:p>
  <w:tbl>
    <w:tblPr>
      <w:tblW w:w="0" w:type="auto"/>
      <w:tblInd w:w="360" w:type="dxa"/>
      <w:tblLook w:val="04A0" w:firstRow="1" w:lastRow="0" w:firstColumn="1" w:lastColumn="0" w:noHBand="0" w:noVBand="1"/>
    </w:tblPr>
    <w:tblGrid>
      <w:gridCol w:w="6608"/>
      <w:gridCol w:w="3328"/>
      <w:gridCol w:w="2070"/>
      <w:gridCol w:w="2250"/>
    </w:tblGrid>
    <w:tr w:rsidR="005F3FCF" w:rsidRPr="006723EF" w14:paraId="6E9F2B99" w14:textId="77777777" w:rsidTr="005F3FCF">
      <w:tc>
        <w:tcPr>
          <w:tcW w:w="6608" w:type="dxa"/>
          <w:vAlign w:val="bottom"/>
          <w:hideMark/>
        </w:tcPr>
        <w:p w14:paraId="25C9E7CC" w14:textId="77777777" w:rsidR="005F3FCF" w:rsidRPr="006723EF" w:rsidRDefault="005F3FCF" w:rsidP="005F3FCF">
          <w:pPr>
            <w:pStyle w:val="Title"/>
            <w:spacing w:after="120"/>
            <w:ind w:right="360"/>
            <w:jc w:val="left"/>
            <w:rPr>
              <w:rFonts w:ascii="Calibri" w:eastAsia="Times New Roman" w:hAnsi="Calibri"/>
              <w:b/>
              <w:bCs/>
              <w:color w:val="404040"/>
              <w:szCs w:val="20"/>
            </w:rPr>
          </w:pPr>
          <w:r w:rsidRPr="005F3FCF">
            <w:rPr>
              <w:rFonts w:ascii="Gotham Book" w:hAnsi="Gotham Book"/>
              <w:b/>
              <w:color w:val="404040"/>
              <w:sz w:val="22"/>
              <w:szCs w:val="22"/>
            </w:rPr>
            <w:t xml:space="preserve">Source </w:t>
          </w:r>
          <w:r w:rsidRPr="006723EF">
            <w:rPr>
              <w:rFonts w:ascii="Calibri" w:eastAsia="Times New Roman" w:hAnsi="Calibri"/>
              <w:b/>
              <w:bCs/>
              <w:color w:val="404040"/>
              <w:szCs w:val="20"/>
            </w:rPr>
            <w:t>of Funds</w:t>
          </w:r>
        </w:p>
      </w:tc>
      <w:tc>
        <w:tcPr>
          <w:tcW w:w="3328" w:type="dxa"/>
          <w:vAlign w:val="bottom"/>
          <w:hideMark/>
        </w:tcPr>
        <w:p w14:paraId="4DCE52FA"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Source</w:t>
          </w:r>
        </w:p>
      </w:tc>
      <w:tc>
        <w:tcPr>
          <w:tcW w:w="2070" w:type="dxa"/>
          <w:tcBorders>
            <w:top w:val="single" w:sz="4" w:space="0" w:color="auto"/>
            <w:left w:val="nil"/>
            <w:bottom w:val="single" w:sz="4" w:space="0" w:color="auto"/>
            <w:right w:val="single" w:sz="4" w:space="0" w:color="auto"/>
          </w:tcBorders>
          <w:shd w:val="clear" w:color="auto" w:fill="C6D9F1" w:themeFill="text2" w:themeFillTint="33"/>
          <w:vAlign w:val="bottom"/>
          <w:hideMark/>
        </w:tcPr>
        <w:p w14:paraId="7F5220CD" w14:textId="77777777" w:rsidR="005F3FCF" w:rsidRPr="006723EF" w:rsidRDefault="005F3FCF" w:rsidP="00816745">
          <w:pPr>
            <w:jc w:val="center"/>
            <w:rPr>
              <w:rFonts w:ascii="Calibri" w:eastAsia="Times New Roman" w:hAnsi="Calibri"/>
              <w:b/>
              <w:bCs/>
              <w:color w:val="404040"/>
              <w:szCs w:val="20"/>
            </w:rPr>
          </w:pPr>
          <w:r w:rsidRPr="006723EF">
            <w:rPr>
              <w:rFonts w:ascii="Calibri" w:eastAsia="Times New Roman" w:hAnsi="Calibri"/>
              <w:b/>
              <w:bCs/>
              <w:color w:val="404040"/>
              <w:szCs w:val="20"/>
            </w:rPr>
            <w:t>Resources Made Available</w:t>
          </w:r>
        </w:p>
      </w:tc>
      <w:tc>
        <w:tcPr>
          <w:tcW w:w="2250" w:type="dxa"/>
          <w:tcBorders>
            <w:top w:val="single" w:sz="4" w:space="0" w:color="auto"/>
            <w:left w:val="nil"/>
            <w:bottom w:val="single" w:sz="4" w:space="0" w:color="auto"/>
            <w:right w:val="single" w:sz="4" w:space="0" w:color="auto"/>
          </w:tcBorders>
          <w:shd w:val="clear" w:color="auto" w:fill="C6D9F1" w:themeFill="text2" w:themeFillTint="33"/>
          <w:vAlign w:val="bottom"/>
          <w:hideMark/>
        </w:tcPr>
        <w:p w14:paraId="0CC14C77" w14:textId="77777777" w:rsidR="005F3FCF" w:rsidRPr="006723EF" w:rsidRDefault="005F3FCF" w:rsidP="00816745">
          <w:pPr>
            <w:jc w:val="center"/>
            <w:rPr>
              <w:rFonts w:ascii="Calibri" w:eastAsia="Times New Roman" w:hAnsi="Calibri"/>
              <w:b/>
              <w:bCs/>
              <w:color w:val="404040"/>
              <w:szCs w:val="20"/>
            </w:rPr>
          </w:pPr>
          <w:r w:rsidRPr="006723EF">
            <w:rPr>
              <w:rFonts w:ascii="Calibri" w:eastAsia="Times New Roman" w:hAnsi="Calibri"/>
              <w:b/>
              <w:bCs/>
              <w:color w:val="404040"/>
              <w:szCs w:val="20"/>
            </w:rPr>
            <w:t>Amount Expended During Program Year</w:t>
          </w:r>
        </w:p>
      </w:tc>
    </w:tr>
    <w:tr w:rsidR="005F3FCF" w:rsidRPr="006723EF" w14:paraId="074AF243" w14:textId="77777777" w:rsidTr="005F3FCF">
      <w:tc>
        <w:tcPr>
          <w:tcW w:w="6608" w:type="dxa"/>
          <w:noWrap/>
          <w:vAlign w:val="bottom"/>
          <w:hideMark/>
        </w:tcPr>
        <w:p w14:paraId="6B587987" w14:textId="77777777" w:rsidR="005F3FCF" w:rsidRPr="005F3FCF" w:rsidRDefault="005F3FCF" w:rsidP="005F3FCF">
          <w:pPr>
            <w:pStyle w:val="Title"/>
            <w:spacing w:after="120"/>
            <w:ind w:right="360"/>
            <w:jc w:val="left"/>
            <w:rPr>
              <w:rFonts w:ascii="Gotham Book" w:hAnsi="Gotham Book"/>
              <w:b/>
              <w:color w:val="404040"/>
              <w:sz w:val="22"/>
              <w:szCs w:val="22"/>
            </w:rPr>
          </w:pPr>
          <w:r w:rsidRPr="005F3FCF">
            <w:rPr>
              <w:rFonts w:ascii="Gotham Book" w:hAnsi="Gotham Book"/>
              <w:b/>
              <w:color w:val="404040"/>
              <w:sz w:val="22"/>
              <w:szCs w:val="22"/>
            </w:rPr>
            <w:t>CDBG</w:t>
          </w:r>
        </w:p>
      </w:tc>
      <w:tc>
        <w:tcPr>
          <w:tcW w:w="3328" w:type="dxa"/>
          <w:noWrap/>
          <w:vAlign w:val="bottom"/>
          <w:hideMark/>
        </w:tcPr>
        <w:p w14:paraId="3C3B0E14" w14:textId="77777777" w:rsidR="005F3FCF" w:rsidRPr="006723EF" w:rsidRDefault="005F3FCF" w:rsidP="005F3FCF">
          <w:pPr>
            <w:pStyle w:val="Title"/>
            <w:spacing w:after="120"/>
            <w:ind w:right="360"/>
            <w:rPr>
              <w:rFonts w:ascii="Calibri" w:eastAsia="Times New Roman" w:hAnsi="Calibri"/>
              <w:color w:val="404040"/>
              <w:szCs w:val="20"/>
            </w:rPr>
          </w:pPr>
          <w:r w:rsidRPr="005F3FCF">
            <w:rPr>
              <w:rFonts w:ascii="Gotham Book" w:hAnsi="Gotham Book"/>
              <w:b/>
              <w:color w:val="404040"/>
              <w:sz w:val="22"/>
              <w:szCs w:val="22"/>
            </w:rPr>
            <w:t>Public -</w:t>
          </w:r>
          <w:r w:rsidRPr="006723EF">
            <w:rPr>
              <w:rFonts w:ascii="Calibri" w:eastAsia="Times New Roman" w:hAnsi="Calibri"/>
              <w:color w:val="404040"/>
              <w:szCs w:val="20"/>
            </w:rPr>
            <w:t xml:space="preserve"> Federal</w:t>
          </w:r>
        </w:p>
      </w:tc>
      <w:tc>
        <w:tcPr>
          <w:tcW w:w="2070" w:type="dxa"/>
          <w:tcBorders>
            <w:top w:val="nil"/>
            <w:left w:val="nil"/>
            <w:bottom w:val="single" w:sz="4" w:space="0" w:color="auto"/>
            <w:right w:val="single" w:sz="4" w:space="0" w:color="auto"/>
          </w:tcBorders>
          <w:shd w:val="clear" w:color="auto" w:fill="auto"/>
          <w:noWrap/>
          <w:vAlign w:val="bottom"/>
          <w:hideMark/>
        </w:tcPr>
        <w:p w14:paraId="4097ED9B" w14:textId="77777777" w:rsidR="005F3FCF" w:rsidRPr="006723EF" w:rsidRDefault="005F3FCF" w:rsidP="00816745">
          <w:pPr>
            <w:jc w:val="center"/>
            <w:rPr>
              <w:rFonts w:ascii="Calibri" w:eastAsia="Times New Roman" w:hAnsi="Calibri"/>
              <w:color w:val="404040"/>
              <w:szCs w:val="20"/>
            </w:rPr>
          </w:pPr>
          <w:r>
            <w:rPr>
              <w:rFonts w:ascii="Calibri" w:eastAsia="Times New Roman" w:hAnsi="Calibri"/>
              <w:color w:val="404040"/>
              <w:szCs w:val="20"/>
            </w:rPr>
            <w:t>$3,660,164</w:t>
          </w:r>
        </w:p>
      </w:tc>
      <w:tc>
        <w:tcPr>
          <w:tcW w:w="2250" w:type="dxa"/>
          <w:tcBorders>
            <w:top w:val="nil"/>
            <w:left w:val="nil"/>
            <w:bottom w:val="single" w:sz="4" w:space="0" w:color="auto"/>
            <w:right w:val="single" w:sz="4" w:space="0" w:color="auto"/>
          </w:tcBorders>
          <w:shd w:val="clear" w:color="auto" w:fill="auto"/>
          <w:noWrap/>
          <w:vAlign w:val="bottom"/>
          <w:hideMark/>
        </w:tcPr>
        <w:p w14:paraId="1F833312" w14:textId="77777777" w:rsidR="005F3FCF" w:rsidRPr="009729F1" w:rsidRDefault="005F3FCF" w:rsidP="009E672C">
          <w:pPr>
            <w:jc w:val="center"/>
            <w:rPr>
              <w:rFonts w:ascii="Calibri" w:eastAsia="Times New Roman" w:hAnsi="Calibri"/>
              <w:color w:val="404040"/>
              <w:szCs w:val="20"/>
              <w:highlight w:val="yellow"/>
            </w:rPr>
          </w:pPr>
          <w:r w:rsidRPr="001C223F">
            <w:rPr>
              <w:rFonts w:ascii="Calibri" w:eastAsia="Times New Roman" w:hAnsi="Calibri"/>
              <w:color w:val="404040"/>
              <w:szCs w:val="20"/>
            </w:rPr>
            <w:t>$</w:t>
          </w:r>
          <w:r>
            <w:rPr>
              <w:rFonts w:ascii="Calibri" w:eastAsia="Times New Roman" w:hAnsi="Calibri"/>
              <w:color w:val="404040"/>
              <w:szCs w:val="20"/>
            </w:rPr>
            <w:t>2,925,888</w:t>
          </w:r>
        </w:p>
      </w:tc>
    </w:tr>
    <w:tr w:rsidR="005F3FCF" w:rsidRPr="006723EF" w14:paraId="0C7C5CFA" w14:textId="77777777" w:rsidTr="005F3FCF">
      <w:tc>
        <w:tcPr>
          <w:tcW w:w="6608" w:type="dxa"/>
          <w:noWrap/>
          <w:vAlign w:val="bottom"/>
          <w:hideMark/>
        </w:tcPr>
        <w:p w14:paraId="613CBB12" w14:textId="77777777" w:rsidR="005F3FCF" w:rsidRPr="005F3FCF" w:rsidRDefault="005F3FCF" w:rsidP="005F3FCF">
          <w:pPr>
            <w:pStyle w:val="Title"/>
            <w:spacing w:after="120"/>
            <w:ind w:right="360"/>
            <w:jc w:val="left"/>
            <w:rPr>
              <w:rFonts w:ascii="Gotham Book" w:hAnsi="Gotham Book"/>
              <w:b/>
              <w:color w:val="404040"/>
              <w:sz w:val="22"/>
              <w:szCs w:val="22"/>
            </w:rPr>
          </w:pPr>
          <w:r w:rsidRPr="005F3FCF">
            <w:rPr>
              <w:rFonts w:ascii="Gotham Book" w:hAnsi="Gotham Book"/>
              <w:b/>
              <w:color w:val="404040"/>
              <w:sz w:val="22"/>
              <w:szCs w:val="22"/>
            </w:rPr>
            <w:t>HOME</w:t>
          </w:r>
        </w:p>
      </w:tc>
      <w:tc>
        <w:tcPr>
          <w:tcW w:w="3328" w:type="dxa"/>
          <w:noWrap/>
          <w:vAlign w:val="bottom"/>
          <w:hideMark/>
        </w:tcPr>
        <w:p w14:paraId="71E18D5C" w14:textId="77777777" w:rsidR="005F3FCF" w:rsidRPr="006723EF" w:rsidRDefault="005F3FCF" w:rsidP="005F3FCF">
          <w:pPr>
            <w:pStyle w:val="Title"/>
            <w:spacing w:after="120"/>
            <w:ind w:right="360"/>
            <w:rPr>
              <w:rFonts w:ascii="Calibri" w:eastAsia="Times New Roman" w:hAnsi="Calibri"/>
              <w:color w:val="404040"/>
              <w:szCs w:val="20"/>
            </w:rPr>
          </w:pPr>
          <w:r w:rsidRPr="005F3FCF">
            <w:rPr>
              <w:rFonts w:ascii="Gotham Book" w:hAnsi="Gotham Book"/>
              <w:b/>
              <w:color w:val="404040"/>
              <w:sz w:val="22"/>
              <w:szCs w:val="22"/>
            </w:rPr>
            <w:t>Public -</w:t>
          </w:r>
          <w:r w:rsidRPr="006723EF">
            <w:rPr>
              <w:rFonts w:ascii="Calibri" w:eastAsia="Times New Roman" w:hAnsi="Calibri"/>
              <w:color w:val="404040"/>
              <w:szCs w:val="20"/>
            </w:rPr>
            <w:t xml:space="preserve"> Federal</w:t>
          </w:r>
        </w:p>
      </w:tc>
      <w:tc>
        <w:tcPr>
          <w:tcW w:w="2070" w:type="dxa"/>
          <w:tcBorders>
            <w:top w:val="nil"/>
            <w:left w:val="nil"/>
            <w:bottom w:val="single" w:sz="4" w:space="0" w:color="auto"/>
            <w:right w:val="single" w:sz="4" w:space="0" w:color="auto"/>
          </w:tcBorders>
          <w:shd w:val="clear" w:color="auto" w:fill="auto"/>
          <w:noWrap/>
          <w:vAlign w:val="bottom"/>
          <w:hideMark/>
        </w:tcPr>
        <w:p w14:paraId="74F8EADE" w14:textId="77777777" w:rsidR="005F3FCF" w:rsidRPr="006723EF" w:rsidRDefault="005F3FCF" w:rsidP="00816745">
          <w:pPr>
            <w:jc w:val="center"/>
            <w:rPr>
              <w:rFonts w:ascii="Calibri" w:eastAsia="Times New Roman" w:hAnsi="Calibri"/>
              <w:color w:val="404040"/>
              <w:szCs w:val="20"/>
            </w:rPr>
          </w:pPr>
          <w:r>
            <w:rPr>
              <w:rFonts w:ascii="Calibri" w:eastAsia="Times New Roman" w:hAnsi="Calibri"/>
              <w:color w:val="404040"/>
              <w:szCs w:val="20"/>
            </w:rPr>
            <w:t>$1,289,578</w:t>
          </w:r>
        </w:p>
      </w:tc>
      <w:tc>
        <w:tcPr>
          <w:tcW w:w="2250" w:type="dxa"/>
          <w:tcBorders>
            <w:top w:val="nil"/>
            <w:left w:val="nil"/>
            <w:bottom w:val="single" w:sz="4" w:space="0" w:color="auto"/>
            <w:right w:val="single" w:sz="4" w:space="0" w:color="auto"/>
          </w:tcBorders>
          <w:shd w:val="clear" w:color="auto" w:fill="auto"/>
          <w:noWrap/>
          <w:vAlign w:val="bottom"/>
          <w:hideMark/>
        </w:tcPr>
        <w:p w14:paraId="0C574EF2" w14:textId="77777777" w:rsidR="005F3FCF" w:rsidRPr="009729F1" w:rsidRDefault="005F3FCF" w:rsidP="009E672C">
          <w:pPr>
            <w:jc w:val="center"/>
            <w:rPr>
              <w:rFonts w:ascii="Calibri" w:eastAsia="Times New Roman" w:hAnsi="Calibri"/>
              <w:color w:val="404040"/>
              <w:szCs w:val="20"/>
              <w:highlight w:val="yellow"/>
            </w:rPr>
          </w:pPr>
          <w:r w:rsidRPr="001C223F">
            <w:rPr>
              <w:rFonts w:ascii="Calibri" w:eastAsia="Times New Roman" w:hAnsi="Calibri"/>
              <w:color w:val="404040"/>
              <w:szCs w:val="20"/>
            </w:rPr>
            <w:t>$</w:t>
          </w:r>
          <w:r>
            <w:rPr>
              <w:rFonts w:ascii="Calibri" w:eastAsia="Times New Roman" w:hAnsi="Calibri"/>
              <w:color w:val="404040"/>
              <w:szCs w:val="20"/>
            </w:rPr>
            <w:t>560,695</w:t>
          </w:r>
        </w:p>
      </w:tc>
    </w:tr>
    <w:tr w:rsidR="005F3FCF" w:rsidRPr="006723EF" w14:paraId="06536720" w14:textId="77777777" w:rsidTr="005F3FCF">
      <w:tc>
        <w:tcPr>
          <w:tcW w:w="6608" w:type="dxa"/>
          <w:noWrap/>
          <w:vAlign w:val="bottom"/>
          <w:hideMark/>
        </w:tcPr>
        <w:p w14:paraId="1A07AC1A" w14:textId="77777777" w:rsidR="005F3FCF" w:rsidRPr="005F3FCF" w:rsidRDefault="005F3FCF" w:rsidP="005F3FCF">
          <w:pPr>
            <w:pStyle w:val="Title"/>
            <w:spacing w:after="120"/>
            <w:ind w:right="360"/>
            <w:jc w:val="left"/>
            <w:rPr>
              <w:rFonts w:ascii="Gotham Book" w:hAnsi="Gotham Book"/>
              <w:b/>
              <w:color w:val="404040"/>
              <w:sz w:val="22"/>
              <w:szCs w:val="22"/>
            </w:rPr>
          </w:pPr>
          <w:r w:rsidRPr="005F3FCF">
            <w:rPr>
              <w:rFonts w:ascii="Gotham Book" w:hAnsi="Gotham Book"/>
              <w:b/>
              <w:color w:val="404040"/>
              <w:sz w:val="22"/>
              <w:szCs w:val="22"/>
            </w:rPr>
            <w:t>HOPWA</w:t>
          </w:r>
        </w:p>
      </w:tc>
      <w:tc>
        <w:tcPr>
          <w:tcW w:w="3328" w:type="dxa"/>
          <w:noWrap/>
          <w:vAlign w:val="bottom"/>
          <w:hideMark/>
        </w:tcPr>
        <w:p w14:paraId="33622DA6" w14:textId="77777777" w:rsidR="005F3FCF" w:rsidRPr="006723EF" w:rsidRDefault="005F3FCF" w:rsidP="005F3FCF">
          <w:pPr>
            <w:pStyle w:val="Title"/>
            <w:spacing w:after="120"/>
            <w:ind w:right="360"/>
            <w:rPr>
              <w:rFonts w:ascii="Calibri" w:eastAsia="Times New Roman" w:hAnsi="Calibri"/>
              <w:color w:val="404040"/>
              <w:szCs w:val="20"/>
            </w:rPr>
          </w:pPr>
          <w:r w:rsidRPr="005F3FCF">
            <w:rPr>
              <w:rFonts w:ascii="Gotham Book" w:hAnsi="Gotham Book"/>
              <w:b/>
              <w:color w:val="404040"/>
              <w:sz w:val="22"/>
              <w:szCs w:val="22"/>
            </w:rPr>
            <w:t>Public -</w:t>
          </w:r>
          <w:r w:rsidRPr="006723EF">
            <w:rPr>
              <w:rFonts w:ascii="Calibri" w:eastAsia="Times New Roman" w:hAnsi="Calibri"/>
              <w:color w:val="404040"/>
              <w:szCs w:val="20"/>
            </w:rPr>
            <w:t xml:space="preserve"> Federal</w:t>
          </w:r>
        </w:p>
      </w:tc>
      <w:tc>
        <w:tcPr>
          <w:tcW w:w="2070" w:type="dxa"/>
          <w:tcBorders>
            <w:top w:val="nil"/>
            <w:left w:val="nil"/>
            <w:bottom w:val="single" w:sz="4" w:space="0" w:color="auto"/>
            <w:right w:val="single" w:sz="4" w:space="0" w:color="auto"/>
          </w:tcBorders>
          <w:shd w:val="clear" w:color="auto" w:fill="auto"/>
          <w:noWrap/>
          <w:vAlign w:val="bottom"/>
          <w:hideMark/>
        </w:tcPr>
        <w:p w14:paraId="587E08BA" w14:textId="77777777" w:rsidR="005F3FCF" w:rsidRPr="006723EF" w:rsidRDefault="005F3FCF" w:rsidP="00816745">
          <w:pPr>
            <w:jc w:val="center"/>
            <w:rPr>
              <w:rFonts w:ascii="Calibri" w:eastAsia="Times New Roman" w:hAnsi="Calibri"/>
              <w:color w:val="404040"/>
              <w:szCs w:val="20"/>
            </w:rPr>
          </w:pPr>
          <w:r>
            <w:rPr>
              <w:rFonts w:ascii="Calibri" w:eastAsia="Times New Roman" w:hAnsi="Calibri"/>
              <w:color w:val="404040"/>
              <w:szCs w:val="20"/>
            </w:rPr>
            <w:t>$443,995</w:t>
          </w:r>
        </w:p>
      </w:tc>
      <w:tc>
        <w:tcPr>
          <w:tcW w:w="2250" w:type="dxa"/>
          <w:tcBorders>
            <w:top w:val="nil"/>
            <w:left w:val="nil"/>
            <w:bottom w:val="single" w:sz="4" w:space="0" w:color="auto"/>
            <w:right w:val="single" w:sz="4" w:space="0" w:color="auto"/>
          </w:tcBorders>
          <w:shd w:val="clear" w:color="auto" w:fill="auto"/>
          <w:noWrap/>
          <w:vAlign w:val="bottom"/>
          <w:hideMark/>
        </w:tcPr>
        <w:p w14:paraId="7621B616" w14:textId="77777777" w:rsidR="005F3FCF" w:rsidRPr="009729F1" w:rsidRDefault="005F3FCF" w:rsidP="009E672C">
          <w:pPr>
            <w:jc w:val="center"/>
            <w:rPr>
              <w:rFonts w:ascii="Calibri" w:eastAsia="Times New Roman" w:hAnsi="Calibri"/>
              <w:color w:val="404040"/>
              <w:szCs w:val="20"/>
              <w:highlight w:val="yellow"/>
            </w:rPr>
          </w:pPr>
          <w:r w:rsidRPr="001C223F">
            <w:rPr>
              <w:rFonts w:ascii="Calibri" w:eastAsia="Times New Roman" w:hAnsi="Calibri"/>
              <w:color w:val="404040"/>
              <w:szCs w:val="20"/>
            </w:rPr>
            <w:t>$</w:t>
          </w:r>
          <w:r>
            <w:rPr>
              <w:rFonts w:ascii="Calibri" w:eastAsia="Times New Roman" w:hAnsi="Calibri"/>
              <w:color w:val="404040"/>
              <w:szCs w:val="20"/>
            </w:rPr>
            <w:t>153,081</w:t>
          </w:r>
        </w:p>
      </w:tc>
    </w:tr>
    <w:tr w:rsidR="005F3FCF" w:rsidRPr="006723EF" w14:paraId="4F71D4BD" w14:textId="77777777" w:rsidTr="005F3FCF">
      <w:tc>
        <w:tcPr>
          <w:tcW w:w="6608" w:type="dxa"/>
          <w:noWrap/>
          <w:vAlign w:val="bottom"/>
          <w:hideMark/>
        </w:tcPr>
        <w:p w14:paraId="48A7F74A" w14:textId="77777777" w:rsidR="005F3FCF" w:rsidRPr="005F3FCF" w:rsidRDefault="005F3FCF" w:rsidP="005F3FCF">
          <w:pPr>
            <w:pStyle w:val="Title"/>
            <w:spacing w:after="120"/>
            <w:ind w:right="360"/>
            <w:jc w:val="left"/>
            <w:rPr>
              <w:rFonts w:ascii="Gotham Book" w:hAnsi="Gotham Book"/>
              <w:b/>
              <w:color w:val="404040"/>
              <w:sz w:val="22"/>
              <w:szCs w:val="22"/>
            </w:rPr>
          </w:pPr>
          <w:r w:rsidRPr="005F3FCF">
            <w:rPr>
              <w:rFonts w:ascii="Gotham Book" w:hAnsi="Gotham Book"/>
              <w:b/>
              <w:color w:val="404040"/>
              <w:sz w:val="22"/>
              <w:szCs w:val="22"/>
            </w:rPr>
            <w:t>ESG</w:t>
          </w:r>
        </w:p>
      </w:tc>
      <w:tc>
        <w:tcPr>
          <w:tcW w:w="3328" w:type="dxa"/>
          <w:noWrap/>
          <w:vAlign w:val="bottom"/>
          <w:hideMark/>
        </w:tcPr>
        <w:p w14:paraId="6EC6A25A" w14:textId="77777777" w:rsidR="005F3FCF" w:rsidRPr="006723EF" w:rsidRDefault="005F3FCF" w:rsidP="005F3FCF">
          <w:pPr>
            <w:pStyle w:val="Title"/>
            <w:spacing w:after="120"/>
            <w:ind w:right="360"/>
            <w:rPr>
              <w:rFonts w:ascii="Calibri" w:eastAsia="Times New Roman" w:hAnsi="Calibri"/>
              <w:color w:val="404040"/>
              <w:szCs w:val="20"/>
            </w:rPr>
          </w:pPr>
          <w:r w:rsidRPr="005F3FCF">
            <w:rPr>
              <w:rFonts w:ascii="Gotham Book" w:hAnsi="Gotham Book"/>
              <w:b/>
              <w:color w:val="404040"/>
              <w:sz w:val="22"/>
              <w:szCs w:val="22"/>
            </w:rPr>
            <w:t>Public -</w:t>
          </w:r>
          <w:r w:rsidRPr="006723EF">
            <w:rPr>
              <w:rFonts w:ascii="Calibri" w:eastAsia="Times New Roman" w:hAnsi="Calibri"/>
              <w:color w:val="404040"/>
              <w:szCs w:val="20"/>
            </w:rPr>
            <w:t xml:space="preserve"> Federal</w:t>
          </w:r>
        </w:p>
      </w:tc>
      <w:tc>
        <w:tcPr>
          <w:tcW w:w="2070" w:type="dxa"/>
          <w:tcBorders>
            <w:top w:val="nil"/>
            <w:left w:val="nil"/>
            <w:bottom w:val="single" w:sz="4" w:space="0" w:color="auto"/>
            <w:right w:val="single" w:sz="4" w:space="0" w:color="auto"/>
          </w:tcBorders>
          <w:shd w:val="clear" w:color="auto" w:fill="auto"/>
          <w:noWrap/>
          <w:vAlign w:val="bottom"/>
          <w:hideMark/>
        </w:tcPr>
        <w:p w14:paraId="554F5A0B" w14:textId="77777777" w:rsidR="005F3FCF" w:rsidRPr="006723EF" w:rsidRDefault="005F3FCF" w:rsidP="00816745">
          <w:pPr>
            <w:jc w:val="center"/>
            <w:rPr>
              <w:rFonts w:ascii="Calibri" w:eastAsia="Times New Roman" w:hAnsi="Calibri"/>
              <w:color w:val="404040"/>
              <w:szCs w:val="20"/>
            </w:rPr>
          </w:pPr>
          <w:r>
            <w:rPr>
              <w:rFonts w:ascii="Calibri" w:eastAsia="Times New Roman" w:hAnsi="Calibri"/>
              <w:color w:val="404040"/>
              <w:szCs w:val="20"/>
            </w:rPr>
            <w:t>$303,282</w:t>
          </w:r>
        </w:p>
      </w:tc>
      <w:tc>
        <w:tcPr>
          <w:tcW w:w="2250" w:type="dxa"/>
          <w:tcBorders>
            <w:top w:val="nil"/>
            <w:left w:val="nil"/>
            <w:bottom w:val="single" w:sz="4" w:space="0" w:color="auto"/>
            <w:right w:val="single" w:sz="4" w:space="0" w:color="auto"/>
          </w:tcBorders>
          <w:shd w:val="clear" w:color="auto" w:fill="auto"/>
          <w:noWrap/>
          <w:vAlign w:val="bottom"/>
          <w:hideMark/>
        </w:tcPr>
        <w:p w14:paraId="603E41DE" w14:textId="77777777" w:rsidR="005F3FCF" w:rsidRPr="001C223F" w:rsidRDefault="005F3FCF" w:rsidP="009E672C">
          <w:pPr>
            <w:jc w:val="center"/>
            <w:rPr>
              <w:rFonts w:ascii="Calibri" w:eastAsia="Times New Roman" w:hAnsi="Calibri"/>
              <w:color w:val="404040"/>
              <w:szCs w:val="20"/>
            </w:rPr>
          </w:pPr>
          <w:r w:rsidRPr="001C223F">
            <w:rPr>
              <w:rFonts w:ascii="Calibri" w:eastAsia="Times New Roman" w:hAnsi="Calibri"/>
              <w:color w:val="404040"/>
              <w:szCs w:val="20"/>
            </w:rPr>
            <w:t>$</w:t>
          </w:r>
          <w:r>
            <w:rPr>
              <w:rFonts w:ascii="Calibri" w:eastAsia="Times New Roman" w:hAnsi="Calibri"/>
              <w:color w:val="404040"/>
              <w:szCs w:val="20"/>
            </w:rPr>
            <w:t>246,305</w:t>
          </w:r>
        </w:p>
      </w:tc>
    </w:tr>
  </w:tbl>
  <w:p w14:paraId="5CFB307F" w14:textId="77777777" w:rsidR="005F3FCF" w:rsidRPr="005F3FCF" w:rsidRDefault="005F3FCF" w:rsidP="005F3FCF">
    <w:pPr>
      <w:pStyle w:val="Title"/>
      <w:spacing w:after="120"/>
      <w:ind w:left="360"/>
      <w:rPr>
        <w:rFonts w:ascii="Gotham Book" w:hAnsi="Gotham Book"/>
        <w:color w:val="404040"/>
        <w:sz w:val="22"/>
        <w:szCs w:val="22"/>
      </w:rPr>
    </w:pPr>
  </w:p>
  <w:p w14:paraId="2B80702C" w14:textId="77777777" w:rsidR="005F3FCF" w:rsidRDefault="005F3FCF" w:rsidP="005F3FCF">
    <w:pPr>
      <w:pStyle w:val="Title"/>
      <w:spacing w:after="120"/>
      <w:ind w:left="360"/>
      <w:rPr>
        <w:rFonts w:asciiTheme="minorHAnsi" w:hAnsiTheme="minorHAnsi" w:cstheme="minorHAnsi"/>
        <w:color w:val="404040" w:themeColor="text1" w:themeTint="BF"/>
        <w:szCs w:val="20"/>
      </w:rPr>
    </w:pPr>
    <w:r w:rsidRPr="005F3FCF">
      <w:rPr>
        <w:rFonts w:ascii="Gotham Book" w:hAnsi="Gotham Book"/>
        <w:color w:val="404040"/>
        <w:sz w:val="22"/>
        <w:szCs w:val="22"/>
      </w:rPr>
      <w:t>Table</w:t>
    </w:r>
    <w:r>
      <w:rPr>
        <w:rFonts w:asciiTheme="minorHAnsi" w:hAnsiTheme="minorHAnsi" w:cstheme="minorHAnsi"/>
        <w:color w:val="404040" w:themeColor="text1" w:themeTint="BF"/>
        <w:szCs w:val="20"/>
      </w:rPr>
      <w:t xml:space="preserve"> 3 identifies grant funds, and leveraged funds made available during the year. </w:t>
    </w:r>
    <w:r w:rsidRPr="00BD266E">
      <w:rPr>
        <w:rFonts w:asciiTheme="minorHAnsi" w:hAnsiTheme="minorHAnsi" w:cstheme="minorHAnsi"/>
        <w:color w:val="404040" w:themeColor="text1" w:themeTint="BF"/>
        <w:szCs w:val="20"/>
      </w:rPr>
      <w:t>For the 201</w:t>
    </w:r>
    <w:r>
      <w:rPr>
        <w:rFonts w:asciiTheme="minorHAnsi" w:hAnsiTheme="minorHAnsi" w:cstheme="minorHAnsi"/>
        <w:color w:val="404040" w:themeColor="text1" w:themeTint="BF"/>
        <w:szCs w:val="20"/>
      </w:rPr>
      <w:t>7-18</w:t>
    </w:r>
    <w:r w:rsidRPr="00BD266E">
      <w:rPr>
        <w:rFonts w:asciiTheme="minorHAnsi" w:hAnsiTheme="minorHAnsi" w:cstheme="minorHAnsi"/>
        <w:color w:val="404040" w:themeColor="text1" w:themeTint="BF"/>
        <w:szCs w:val="20"/>
      </w:rPr>
      <w:t xml:space="preserve"> program year, the City had a total of </w:t>
    </w:r>
    <w:r>
      <w:rPr>
        <w:rFonts w:asciiTheme="minorHAnsi" w:hAnsiTheme="minorHAnsi" w:cstheme="minorHAnsi"/>
        <w:color w:val="404040" w:themeColor="text1" w:themeTint="BF"/>
        <w:szCs w:val="20"/>
      </w:rPr>
      <w:t xml:space="preserve">$4,654,376 </w:t>
    </w:r>
    <w:r w:rsidRPr="00BD266E">
      <w:rPr>
        <w:rFonts w:asciiTheme="minorHAnsi" w:hAnsiTheme="minorHAnsi" w:cstheme="minorHAnsi"/>
        <w:color w:val="404040" w:themeColor="text1" w:themeTint="BF"/>
        <w:szCs w:val="20"/>
      </w:rPr>
      <w:t xml:space="preserve">available through CDBG, ESG, </w:t>
    </w:r>
    <w:r>
      <w:rPr>
        <w:rFonts w:asciiTheme="minorHAnsi" w:hAnsiTheme="minorHAnsi" w:cstheme="minorHAnsi"/>
        <w:color w:val="404040" w:themeColor="text1" w:themeTint="BF"/>
        <w:szCs w:val="20"/>
      </w:rPr>
      <w:t xml:space="preserve">HOME &amp; HOPWA of new funding available from federal grants, totaling </w:t>
    </w:r>
    <w:r w:rsidRPr="005A31BB">
      <w:rPr>
        <w:rFonts w:asciiTheme="minorHAnsi" w:hAnsiTheme="minorHAnsi" w:cstheme="minorHAnsi"/>
        <w:color w:val="404040" w:themeColor="text1" w:themeTint="BF"/>
        <w:szCs w:val="20"/>
      </w:rPr>
      <w:t>$</w:t>
    </w:r>
    <w:r>
      <w:rPr>
        <w:rFonts w:asciiTheme="minorHAnsi" w:hAnsiTheme="minorHAnsi" w:cstheme="minorHAnsi"/>
        <w:color w:val="404040" w:themeColor="text1" w:themeTint="BF"/>
        <w:szCs w:val="20"/>
      </w:rPr>
      <w:t xml:space="preserve">5,697,019 of funds when adding </w:t>
    </w:r>
    <w:r w:rsidRPr="00BD266E">
      <w:rPr>
        <w:rFonts w:asciiTheme="minorHAnsi" w:hAnsiTheme="minorHAnsi" w:cstheme="minorHAnsi"/>
        <w:color w:val="404040" w:themeColor="text1" w:themeTint="BF"/>
        <w:szCs w:val="20"/>
      </w:rPr>
      <w:t>reallocated and program income funding.</w:t>
    </w:r>
    <w:r>
      <w:rPr>
        <w:rFonts w:asciiTheme="minorHAnsi" w:hAnsiTheme="minorHAnsi" w:cstheme="minorHAnsi"/>
        <w:color w:val="404040" w:themeColor="text1" w:themeTint="BF"/>
        <w:szCs w:val="20"/>
      </w:rPr>
      <w:t xml:space="preserve"> Amount expended represents the grant funds that were expended during the year. Most of the money not expended is from Housing and Infrastructure projects. Usage of 17-18 HOPWA funding is low because during the 17-18 year HOPWA activities were primarily funded with prior year funding. </w:t>
    </w:r>
  </w:p>
  <w:p w14:paraId="795C215F" w14:textId="77777777" w:rsidR="005F3FCF" w:rsidRPr="005F3FCF" w:rsidRDefault="005F3FCF" w:rsidP="005F3FCF">
    <w:pPr>
      <w:pStyle w:val="Title"/>
      <w:spacing w:after="120"/>
      <w:rPr>
        <w:rFonts w:ascii="Gotham Book" w:hAnsi="Gotham Book"/>
        <w:b/>
        <w:color w:val="323E4F"/>
        <w:sz w:val="24"/>
      </w:rPr>
    </w:pPr>
  </w:p>
  <w:p w14:paraId="5E792E19" w14:textId="77777777" w:rsidR="005F3FCF" w:rsidRPr="005F3FCF" w:rsidRDefault="005F3FCF" w:rsidP="005F3FCF">
    <w:pPr>
      <w:pStyle w:val="Title"/>
      <w:spacing w:after="120"/>
      <w:ind w:left="360"/>
      <w:rPr>
        <w:rFonts w:ascii="Gotham Book" w:hAnsi="Gotham Book"/>
        <w:b/>
        <w:color w:val="323E4F"/>
        <w:sz w:val="24"/>
      </w:rPr>
    </w:pPr>
  </w:p>
  <w:p w14:paraId="69EA6732" w14:textId="77777777" w:rsidR="005F3FCF" w:rsidRPr="005F3FCF" w:rsidRDefault="005F3FCF" w:rsidP="005F3FCF">
    <w:pPr>
      <w:pStyle w:val="Title"/>
      <w:spacing w:after="120"/>
      <w:ind w:left="360"/>
      <w:rPr>
        <w:rFonts w:ascii="Calibri" w:hAnsi="Calibri" w:cs="Calibri"/>
        <w:i/>
        <w:color w:val="44546A"/>
        <w:sz w:val="18"/>
        <w:szCs w:val="18"/>
      </w:rPr>
    </w:pPr>
    <w:r w:rsidRPr="005F3FCF">
      <w:rPr>
        <w:rFonts w:ascii="Calibri" w:hAnsi="Calibri" w:cs="Calibri"/>
        <w:b/>
        <w:color w:val="44546A"/>
        <w:sz w:val="24"/>
      </w:rPr>
      <w:t xml:space="preserve">Table 4 – Geographic Distribution and </w:t>
    </w:r>
    <w:r w:rsidRPr="005F3FCF">
      <w:rPr>
        <w:rFonts w:ascii="Calibri" w:hAnsi="Calibri" w:cs="Calibri"/>
        <w:i/>
        <w:color w:val="44546A"/>
        <w:sz w:val="18"/>
        <w:szCs w:val="18"/>
      </w:rPr>
      <w:t>Location of Investments</w:t>
    </w:r>
  </w:p>
  <w:tbl>
    <w:tblPr>
      <w:tblW w:w="0" w:type="auto"/>
      <w:tblInd w:w="360" w:type="dxa"/>
      <w:tblLook w:val="04A0" w:firstRow="1" w:lastRow="0" w:firstColumn="1" w:lastColumn="0" w:noHBand="0" w:noVBand="1"/>
    </w:tblPr>
    <w:tblGrid>
      <w:gridCol w:w="6608"/>
      <w:gridCol w:w="3328"/>
      <w:gridCol w:w="1740"/>
      <w:gridCol w:w="4770"/>
    </w:tblGrid>
    <w:tr w:rsidR="005F3FCF" w:rsidRPr="006723EF" w14:paraId="2F11032D" w14:textId="77777777" w:rsidTr="005F3FCF">
      <w:tc>
        <w:tcPr>
          <w:tcW w:w="6608" w:type="dxa"/>
          <w:vAlign w:val="center"/>
          <w:hideMark/>
        </w:tcPr>
        <w:p w14:paraId="6085DB81" w14:textId="77777777" w:rsidR="005F3FCF" w:rsidRPr="006723EF" w:rsidRDefault="005F3FCF" w:rsidP="005F3FCF">
          <w:pPr>
            <w:pStyle w:val="Title"/>
            <w:spacing w:after="120"/>
            <w:ind w:right="360"/>
            <w:jc w:val="left"/>
            <w:rPr>
              <w:rFonts w:ascii="Calibri" w:eastAsia="Times New Roman" w:hAnsi="Calibri"/>
              <w:b/>
              <w:bCs/>
              <w:color w:val="404040"/>
              <w:szCs w:val="20"/>
            </w:rPr>
          </w:pPr>
          <w:r w:rsidRPr="005F3FCF">
            <w:rPr>
              <w:rFonts w:ascii="Gotham Book" w:hAnsi="Gotham Book"/>
              <w:b/>
              <w:color w:val="404040"/>
              <w:sz w:val="22"/>
              <w:szCs w:val="22"/>
            </w:rPr>
            <w:t xml:space="preserve">Target </w:t>
          </w:r>
          <w:r w:rsidRPr="006723EF">
            <w:rPr>
              <w:rFonts w:ascii="Calibri" w:eastAsia="Times New Roman" w:hAnsi="Calibri"/>
              <w:b/>
              <w:bCs/>
              <w:color w:val="404040"/>
              <w:szCs w:val="20"/>
            </w:rPr>
            <w:t>Area</w:t>
          </w:r>
        </w:p>
      </w:tc>
      <w:tc>
        <w:tcPr>
          <w:tcW w:w="3328" w:type="dxa"/>
          <w:vAlign w:val="center"/>
          <w:hideMark/>
        </w:tcPr>
        <w:p w14:paraId="0A42C4C0" w14:textId="77777777" w:rsidR="005F3FCF" w:rsidRPr="006723EF" w:rsidRDefault="005F3FCF" w:rsidP="005F3FCF">
          <w:pPr>
            <w:pStyle w:val="Title"/>
            <w:spacing w:after="120"/>
            <w:ind w:right="360"/>
            <w:rPr>
              <w:rFonts w:ascii="Calibri" w:eastAsia="Times New Roman" w:hAnsi="Calibri"/>
              <w:b/>
              <w:bCs/>
              <w:color w:val="404040"/>
              <w:szCs w:val="20"/>
            </w:rPr>
          </w:pPr>
          <w:r w:rsidRPr="005F3FCF">
            <w:rPr>
              <w:rFonts w:ascii="Gotham Book" w:hAnsi="Gotham Book"/>
              <w:b/>
              <w:color w:val="404040"/>
              <w:sz w:val="22"/>
              <w:szCs w:val="22"/>
            </w:rPr>
            <w:t>Planned Percentage</w:t>
          </w:r>
          <w:r w:rsidRPr="006723EF">
            <w:rPr>
              <w:rFonts w:ascii="Calibri" w:eastAsia="Times New Roman" w:hAnsi="Calibri"/>
              <w:b/>
              <w:bCs/>
              <w:color w:val="404040"/>
              <w:szCs w:val="20"/>
            </w:rPr>
            <w:t xml:space="preserve"> of Allocation</w:t>
          </w:r>
        </w:p>
      </w:tc>
      <w:tc>
        <w:tcPr>
          <w:tcW w:w="174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3E82A7E8" w14:textId="77777777" w:rsidR="005F3FCF" w:rsidRPr="006723EF" w:rsidRDefault="005F3FCF" w:rsidP="00816745">
          <w:pPr>
            <w:jc w:val="center"/>
            <w:rPr>
              <w:rFonts w:ascii="Calibri" w:eastAsia="Times New Roman" w:hAnsi="Calibri"/>
              <w:b/>
              <w:bCs/>
              <w:color w:val="404040"/>
              <w:szCs w:val="20"/>
            </w:rPr>
          </w:pPr>
          <w:r w:rsidRPr="006723EF">
            <w:rPr>
              <w:rFonts w:ascii="Calibri" w:eastAsia="Times New Roman" w:hAnsi="Calibri"/>
              <w:b/>
              <w:bCs/>
              <w:color w:val="404040"/>
              <w:szCs w:val="20"/>
            </w:rPr>
            <w:t>Actual Percentage of Allocation</w:t>
          </w:r>
        </w:p>
      </w:tc>
      <w:tc>
        <w:tcPr>
          <w:tcW w:w="477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357044ED" w14:textId="77777777" w:rsidR="005F3FCF" w:rsidRPr="006723EF" w:rsidRDefault="005F3FCF" w:rsidP="00816745">
          <w:pPr>
            <w:jc w:val="center"/>
            <w:rPr>
              <w:rFonts w:ascii="Calibri" w:eastAsia="Times New Roman" w:hAnsi="Calibri"/>
              <w:b/>
              <w:bCs/>
              <w:color w:val="404040"/>
              <w:szCs w:val="20"/>
            </w:rPr>
          </w:pPr>
          <w:r w:rsidRPr="006723EF">
            <w:rPr>
              <w:rFonts w:ascii="Calibri" w:eastAsia="Times New Roman" w:hAnsi="Calibri"/>
              <w:b/>
              <w:bCs/>
              <w:color w:val="404040"/>
              <w:szCs w:val="20"/>
            </w:rPr>
            <w:t>Narrative Description</w:t>
          </w:r>
        </w:p>
      </w:tc>
    </w:tr>
    <w:tr w:rsidR="005F3FCF" w:rsidRPr="006723EF" w14:paraId="63C4539F" w14:textId="77777777" w:rsidTr="005F3FCF">
      <w:tc>
        <w:tcPr>
          <w:tcW w:w="6608" w:type="dxa"/>
          <w:noWrap/>
          <w:vAlign w:val="bottom"/>
          <w:hideMark/>
        </w:tcPr>
        <w:p w14:paraId="3AB3AF56" w14:textId="77777777" w:rsidR="005F3FCF" w:rsidRPr="002C4B57" w:rsidRDefault="005F3FCF" w:rsidP="005F3FCF">
          <w:pPr>
            <w:pStyle w:val="Title"/>
            <w:spacing w:after="120"/>
            <w:ind w:right="360"/>
            <w:jc w:val="left"/>
            <w:rPr>
              <w:rFonts w:ascii="Calibri" w:eastAsia="Times New Roman" w:hAnsi="Calibri"/>
              <w:color w:val="404040"/>
              <w:szCs w:val="20"/>
            </w:rPr>
          </w:pPr>
          <w:r w:rsidRPr="005F3FCF">
            <w:rPr>
              <w:rFonts w:ascii="Gotham Book" w:hAnsi="Gotham Book"/>
              <w:b/>
              <w:color w:val="404040"/>
              <w:sz w:val="22"/>
              <w:szCs w:val="22"/>
            </w:rPr>
            <w:t xml:space="preserve">Central </w:t>
          </w:r>
          <w:r w:rsidRPr="002C4B57">
            <w:rPr>
              <w:rFonts w:ascii="Calibri" w:eastAsia="Times New Roman" w:hAnsi="Calibri"/>
              <w:color w:val="404040"/>
              <w:szCs w:val="20"/>
            </w:rPr>
            <w:t>City</w:t>
          </w:r>
        </w:p>
      </w:tc>
      <w:tc>
        <w:tcPr>
          <w:tcW w:w="3328" w:type="dxa"/>
          <w:noWrap/>
          <w:vAlign w:val="bottom"/>
          <w:hideMark/>
        </w:tcPr>
        <w:p w14:paraId="1A5A55DA"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23%</w:t>
          </w:r>
        </w:p>
      </w:tc>
      <w:tc>
        <w:tcPr>
          <w:tcW w:w="1740" w:type="dxa"/>
          <w:tcBorders>
            <w:top w:val="nil"/>
            <w:left w:val="nil"/>
            <w:bottom w:val="single" w:sz="4" w:space="0" w:color="auto"/>
            <w:right w:val="single" w:sz="4" w:space="0" w:color="auto"/>
          </w:tcBorders>
          <w:shd w:val="clear" w:color="auto" w:fill="auto"/>
          <w:noWrap/>
          <w:vAlign w:val="bottom"/>
          <w:hideMark/>
        </w:tcPr>
        <w:p w14:paraId="169C5D58" w14:textId="77777777" w:rsidR="005F3FCF" w:rsidRPr="009729F1" w:rsidRDefault="005F3FCF" w:rsidP="00816745">
          <w:pPr>
            <w:jc w:val="center"/>
            <w:rPr>
              <w:rFonts w:ascii="Calibri" w:eastAsia="Times New Roman" w:hAnsi="Calibri"/>
              <w:color w:val="404040"/>
              <w:szCs w:val="20"/>
              <w:highlight w:val="yellow"/>
            </w:rPr>
          </w:pPr>
          <w:r>
            <w:rPr>
              <w:rFonts w:ascii="Calibri" w:eastAsia="Times New Roman" w:hAnsi="Calibri"/>
              <w:color w:val="404040"/>
              <w:szCs w:val="20"/>
            </w:rPr>
            <w:t>4.6</w:t>
          </w:r>
          <w:r w:rsidRPr="008C584D">
            <w:rPr>
              <w:rFonts w:ascii="Calibri" w:eastAsia="Times New Roman" w:hAnsi="Calibri"/>
              <w:color w:val="404040"/>
              <w:szCs w:val="20"/>
            </w:rPr>
            <w:t>%</w:t>
          </w:r>
        </w:p>
      </w:tc>
      <w:tc>
        <w:tcPr>
          <w:tcW w:w="4770" w:type="dxa"/>
          <w:tcBorders>
            <w:top w:val="nil"/>
            <w:left w:val="nil"/>
            <w:bottom w:val="single" w:sz="4" w:space="0" w:color="auto"/>
            <w:right w:val="single" w:sz="4" w:space="0" w:color="auto"/>
          </w:tcBorders>
          <w:shd w:val="clear" w:color="auto" w:fill="auto"/>
          <w:vAlign w:val="bottom"/>
          <w:hideMark/>
        </w:tcPr>
        <w:p w14:paraId="07B5C7F2" w14:textId="77777777" w:rsidR="005F3FCF" w:rsidRPr="002C4B57" w:rsidRDefault="005F3FCF" w:rsidP="00816745">
          <w:pPr>
            <w:rPr>
              <w:rFonts w:ascii="Calibri" w:eastAsia="Times New Roman" w:hAnsi="Calibri"/>
              <w:color w:val="404040"/>
              <w:szCs w:val="20"/>
            </w:rPr>
          </w:pPr>
          <w:r w:rsidRPr="002C4B57">
            <w:rPr>
              <w:rFonts w:ascii="Calibri" w:eastAsia="Times New Roman" w:hAnsi="Calibri"/>
              <w:color w:val="404040"/>
              <w:szCs w:val="20"/>
            </w:rPr>
            <w:t>Projects include: Street infrastructure and economic development activities</w:t>
          </w:r>
        </w:p>
      </w:tc>
    </w:tr>
    <w:tr w:rsidR="005F3FCF" w:rsidRPr="006723EF" w14:paraId="58ED621A" w14:textId="77777777" w:rsidTr="005F3FCF">
      <w:tc>
        <w:tcPr>
          <w:tcW w:w="6608" w:type="dxa"/>
          <w:noWrap/>
          <w:vAlign w:val="bottom"/>
          <w:hideMark/>
        </w:tcPr>
        <w:p w14:paraId="7DC8EA40" w14:textId="77777777" w:rsidR="005F3FCF" w:rsidRPr="002C4B57" w:rsidRDefault="005F3FCF" w:rsidP="005F3FCF">
          <w:pPr>
            <w:pStyle w:val="Title"/>
            <w:spacing w:after="120"/>
            <w:ind w:right="360"/>
            <w:jc w:val="left"/>
            <w:rPr>
              <w:rFonts w:ascii="Calibri" w:eastAsia="Times New Roman" w:hAnsi="Calibri"/>
              <w:color w:val="404040"/>
              <w:szCs w:val="20"/>
            </w:rPr>
          </w:pPr>
          <w:r w:rsidRPr="005F3FCF">
            <w:rPr>
              <w:rFonts w:ascii="Gotham Book" w:hAnsi="Gotham Book"/>
              <w:b/>
              <w:color w:val="404040"/>
              <w:sz w:val="22"/>
              <w:szCs w:val="22"/>
            </w:rPr>
            <w:t xml:space="preserve">Poplar </w:t>
          </w:r>
          <w:r w:rsidRPr="002C4B57">
            <w:rPr>
              <w:rFonts w:ascii="Calibri" w:eastAsia="Times New Roman" w:hAnsi="Calibri"/>
              <w:color w:val="404040"/>
              <w:szCs w:val="20"/>
            </w:rPr>
            <w:t>Grove</w:t>
          </w:r>
        </w:p>
      </w:tc>
      <w:tc>
        <w:tcPr>
          <w:tcW w:w="3328" w:type="dxa"/>
          <w:noWrap/>
          <w:vAlign w:val="bottom"/>
          <w:hideMark/>
        </w:tcPr>
        <w:p w14:paraId="1FCFA43F"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20%</w:t>
          </w:r>
        </w:p>
      </w:tc>
      <w:tc>
        <w:tcPr>
          <w:tcW w:w="1740" w:type="dxa"/>
          <w:tcBorders>
            <w:top w:val="nil"/>
            <w:left w:val="nil"/>
            <w:bottom w:val="single" w:sz="4" w:space="0" w:color="auto"/>
            <w:right w:val="single" w:sz="4" w:space="0" w:color="auto"/>
          </w:tcBorders>
          <w:shd w:val="clear" w:color="auto" w:fill="auto"/>
          <w:noWrap/>
          <w:vAlign w:val="bottom"/>
          <w:hideMark/>
        </w:tcPr>
        <w:p w14:paraId="7BDCB643" w14:textId="77777777" w:rsidR="005F3FCF" w:rsidRPr="009729F1" w:rsidRDefault="005F3FCF" w:rsidP="00816745">
          <w:pPr>
            <w:jc w:val="center"/>
            <w:rPr>
              <w:rFonts w:ascii="Calibri" w:eastAsia="Times New Roman" w:hAnsi="Calibri"/>
              <w:color w:val="404040"/>
              <w:szCs w:val="20"/>
              <w:highlight w:val="yellow"/>
            </w:rPr>
          </w:pPr>
          <w:r>
            <w:rPr>
              <w:rFonts w:ascii="Calibri" w:eastAsia="Times New Roman" w:hAnsi="Calibri"/>
              <w:color w:val="404040"/>
              <w:szCs w:val="20"/>
            </w:rPr>
            <w:t>34</w:t>
          </w:r>
          <w:r w:rsidRPr="008C584D">
            <w:rPr>
              <w:rFonts w:ascii="Calibri" w:eastAsia="Times New Roman" w:hAnsi="Calibri"/>
              <w:color w:val="404040"/>
              <w:szCs w:val="20"/>
            </w:rPr>
            <w:t>%</w:t>
          </w:r>
        </w:p>
      </w:tc>
      <w:tc>
        <w:tcPr>
          <w:tcW w:w="4770" w:type="dxa"/>
          <w:tcBorders>
            <w:top w:val="nil"/>
            <w:left w:val="nil"/>
            <w:bottom w:val="single" w:sz="4" w:space="0" w:color="auto"/>
            <w:right w:val="single" w:sz="4" w:space="0" w:color="auto"/>
          </w:tcBorders>
          <w:shd w:val="clear" w:color="auto" w:fill="auto"/>
          <w:vAlign w:val="bottom"/>
          <w:hideMark/>
        </w:tcPr>
        <w:p w14:paraId="5D491D14" w14:textId="77777777" w:rsidR="005F3FCF" w:rsidRPr="002C4B57" w:rsidRDefault="005F3FCF" w:rsidP="00816745">
          <w:pPr>
            <w:rPr>
              <w:rFonts w:ascii="Calibri" w:eastAsia="Times New Roman" w:hAnsi="Calibri"/>
              <w:color w:val="404040"/>
              <w:szCs w:val="20"/>
            </w:rPr>
          </w:pPr>
          <w:r w:rsidRPr="002C4B57">
            <w:rPr>
              <w:rFonts w:ascii="Calibri" w:eastAsia="Times New Roman" w:hAnsi="Calibri"/>
              <w:color w:val="404040"/>
              <w:szCs w:val="20"/>
            </w:rPr>
            <w:t xml:space="preserve">Projects include: Green space improvements, street infrastructure improvements, </w:t>
          </w:r>
          <w:r>
            <w:rPr>
              <w:rFonts w:ascii="Calibri" w:eastAsia="Times New Roman" w:hAnsi="Calibri"/>
              <w:color w:val="404040"/>
              <w:szCs w:val="20"/>
            </w:rPr>
            <w:t xml:space="preserve">and </w:t>
          </w:r>
          <w:r w:rsidRPr="002C4B57">
            <w:rPr>
              <w:rFonts w:ascii="Calibri" w:eastAsia="Times New Roman" w:hAnsi="Calibri"/>
              <w:color w:val="404040"/>
              <w:szCs w:val="20"/>
            </w:rPr>
            <w:t>economic development activities</w:t>
          </w:r>
        </w:p>
      </w:tc>
    </w:tr>
  </w:tbl>
  <w:p w14:paraId="25D9777B" w14:textId="77777777" w:rsidR="005F3FCF" w:rsidRPr="005F3FCF" w:rsidRDefault="005F3FCF" w:rsidP="005F3FCF">
    <w:pPr>
      <w:pStyle w:val="Title"/>
      <w:spacing w:after="120"/>
      <w:ind w:left="360"/>
      <w:rPr>
        <w:rFonts w:ascii="Gotham Book" w:hAnsi="Gotham Book"/>
        <w:color w:val="404040"/>
        <w:sz w:val="22"/>
        <w:szCs w:val="22"/>
      </w:rPr>
    </w:pPr>
  </w:p>
  <w:p w14:paraId="22C98313" w14:textId="77777777" w:rsidR="005F3FCF" w:rsidRPr="005F3FCF" w:rsidRDefault="005F3FCF" w:rsidP="005F3FCF">
    <w:pPr>
      <w:pStyle w:val="Title"/>
      <w:spacing w:after="120"/>
      <w:ind w:left="360"/>
      <w:rPr>
        <w:rFonts w:ascii="Gotham Book" w:hAnsi="Gotham Book"/>
        <w:color w:val="404040"/>
        <w:sz w:val="22"/>
        <w:szCs w:val="22"/>
      </w:rPr>
    </w:pPr>
  </w:p>
  <w:p w14:paraId="27B63E21" w14:textId="77777777" w:rsidR="005F3FCF" w:rsidRDefault="005F3FCF" w:rsidP="005F3FCF">
    <w:pPr>
      <w:pStyle w:val="Title"/>
      <w:spacing w:after="120"/>
      <w:rPr>
        <w:rFonts w:asciiTheme="minorHAnsi" w:hAnsiTheme="minorHAnsi" w:cstheme="minorHAnsi"/>
        <w:color w:val="404040" w:themeColor="text1" w:themeTint="BF"/>
        <w:szCs w:val="20"/>
      </w:rPr>
    </w:pPr>
    <w:r w:rsidRPr="005F3FCF">
      <w:rPr>
        <w:rFonts w:ascii="Gotham Book" w:hAnsi="Gotham Book"/>
        <w:b/>
        <w:color w:val="323E4F"/>
        <w:sz w:val="24"/>
      </w:rPr>
      <w:t>Salt</w:t>
    </w:r>
    <w:r>
      <w:rPr>
        <w:rFonts w:asciiTheme="minorHAnsi" w:hAnsiTheme="minorHAnsi" w:cstheme="minorHAnsi"/>
        <w:color w:val="404040" w:themeColor="text1" w:themeTint="BF"/>
        <w:szCs w:val="20"/>
      </w:rPr>
      <w:t xml:space="preserve"> Lake City allocated </w:t>
    </w:r>
    <w:r w:rsidRPr="002C4B57">
      <w:rPr>
        <w:rFonts w:asciiTheme="minorHAnsi" w:hAnsiTheme="minorHAnsi" w:cstheme="minorHAnsi"/>
        <w:color w:val="404040" w:themeColor="text1" w:themeTint="BF"/>
        <w:szCs w:val="20"/>
      </w:rPr>
      <w:t xml:space="preserve">a total of </w:t>
    </w:r>
    <w:r>
      <w:rPr>
        <w:rFonts w:asciiTheme="minorHAnsi" w:hAnsiTheme="minorHAnsi" w:cstheme="minorHAnsi"/>
        <w:color w:val="404040" w:themeColor="text1" w:themeTint="BF"/>
        <w:szCs w:val="20"/>
      </w:rPr>
      <w:t>38.6</w:t>
    </w:r>
    <w:r w:rsidRPr="009069EF">
      <w:rPr>
        <w:rFonts w:asciiTheme="minorHAnsi" w:hAnsiTheme="minorHAnsi" w:cstheme="minorHAnsi"/>
        <w:color w:val="404040" w:themeColor="text1" w:themeTint="BF"/>
        <w:szCs w:val="20"/>
      </w:rPr>
      <w:t>%</w:t>
    </w:r>
    <w:r w:rsidRPr="002C4B57">
      <w:rPr>
        <w:rFonts w:asciiTheme="minorHAnsi" w:hAnsiTheme="minorHAnsi" w:cstheme="minorHAnsi"/>
        <w:color w:val="404040" w:themeColor="text1" w:themeTint="BF"/>
        <w:szCs w:val="20"/>
      </w:rPr>
      <w:t xml:space="preserve"> of</w:t>
    </w:r>
    <w:r>
      <w:rPr>
        <w:rFonts w:asciiTheme="minorHAnsi" w:hAnsiTheme="minorHAnsi" w:cstheme="minorHAnsi"/>
        <w:color w:val="404040" w:themeColor="text1" w:themeTint="BF"/>
        <w:szCs w:val="20"/>
      </w:rPr>
      <w:t xml:space="preserve"> CDBG funds available to the Central City &amp; Poplar Grove neighborhoods. These funds were allocated to improve street infrastructure, including addressing accessibility needs; improving green space infrastructure; and economic development façade programs. The City also supported affordable housing efforts within this area, however these programs were available throughout the City to income eligible residents and not just isolated to these two target areas. Because of the City’s Westside Masterplan, more of the allocated money was directed towards the Poplar Grove area.  </w:t>
    </w:r>
  </w:p>
  <w:p w14:paraId="157A43BE" w14:textId="77777777" w:rsidR="005F3FCF" w:rsidRPr="005F3FCF" w:rsidRDefault="005F3FCF" w:rsidP="005F3FCF">
    <w:pPr>
      <w:pStyle w:val="Title"/>
      <w:spacing w:after="120"/>
      <w:ind w:left="360"/>
      <w:rPr>
        <w:rFonts w:ascii="Gotham Book" w:hAnsi="Gotham Book"/>
        <w:b/>
        <w:color w:val="323E4F"/>
        <w:sz w:val="24"/>
      </w:rPr>
    </w:pPr>
  </w:p>
  <w:p w14:paraId="0E859C01" w14:textId="77777777" w:rsidR="005F3FCF" w:rsidRDefault="005F3FCF" w:rsidP="005F3FCF">
    <w:pPr>
      <w:pStyle w:val="Title"/>
      <w:spacing w:after="120"/>
      <w:ind w:left="360"/>
      <w:rPr>
        <w:rFonts w:asciiTheme="minorHAnsi" w:hAnsiTheme="minorHAnsi" w:cstheme="minorHAnsi"/>
        <w:color w:val="404040" w:themeColor="text1" w:themeTint="BF"/>
        <w:szCs w:val="20"/>
      </w:rPr>
    </w:pPr>
    <w:r w:rsidRPr="005F3FCF">
      <w:rPr>
        <w:rFonts w:ascii="Calibri" w:hAnsi="Calibri" w:cs="Calibri"/>
        <w:b/>
        <w:color w:val="44546A"/>
        <w:sz w:val="24"/>
      </w:rPr>
      <w:t xml:space="preserve">The CDBG program’s primary objective is </w:t>
    </w:r>
    <w:r w:rsidRPr="005F3FCF">
      <w:rPr>
        <w:rFonts w:ascii="Calibri" w:hAnsi="Calibri" w:cs="Calibri"/>
        <w:i/>
        <w:color w:val="44546A"/>
        <w:sz w:val="18"/>
        <w:szCs w:val="18"/>
      </w:rPr>
      <w:t xml:space="preserve">to promote the development of viable </w:t>
    </w:r>
    <w:r w:rsidRPr="005F3FCF">
      <w:rPr>
        <w:rFonts w:ascii="Calibri" w:hAnsi="Calibri" w:cs="Calibri"/>
        <w:i/>
        <w:color w:val="FF0000"/>
        <w:sz w:val="18"/>
        <w:szCs w:val="18"/>
      </w:rPr>
      <w:t>urban</w:t>
    </w:r>
    <w:r w:rsidRPr="00A76C19">
      <w:rPr>
        <w:rFonts w:asciiTheme="minorHAnsi" w:hAnsiTheme="minorHAnsi" w:cstheme="minorHAnsi"/>
        <w:color w:val="404040" w:themeColor="text1" w:themeTint="BF"/>
        <w:szCs w:val="20"/>
      </w:rPr>
      <w:t xml:space="preserve"> communities by providing decent housing, suitable living environments and expanded economic actives to persons of low and moderate income. To support the CDBG program’s primary objectives, Salt Lake City</w:t>
    </w:r>
    <w:r>
      <w:rPr>
        <w:rFonts w:asciiTheme="minorHAnsi" w:hAnsiTheme="minorHAnsi" w:cstheme="minorHAnsi"/>
        <w:color w:val="404040" w:themeColor="text1" w:themeTint="BF"/>
        <w:szCs w:val="20"/>
      </w:rPr>
      <w:t xml:space="preserve"> has directed funding to local target areas to build capacity and expand resources within concentrated areas of poverty.</w:t>
    </w:r>
  </w:p>
  <w:p w14:paraId="36BE8CE2" w14:textId="77777777" w:rsidR="005F3FCF" w:rsidRDefault="005F3FCF" w:rsidP="005F3FCF">
    <w:pPr>
      <w:pStyle w:val="Title"/>
      <w:spacing w:after="120"/>
      <w:ind w:left="360"/>
      <w:rPr>
        <w:rFonts w:asciiTheme="minorHAnsi" w:hAnsiTheme="minorHAnsi" w:cstheme="minorHAnsi"/>
        <w:color w:val="404040" w:themeColor="text1" w:themeTint="BF"/>
        <w:szCs w:val="20"/>
      </w:rPr>
    </w:pPr>
    <w:r w:rsidRPr="005F3FCF">
      <w:rPr>
        <w:rFonts w:ascii="Gotham Book" w:hAnsi="Gotham Book"/>
        <w:b/>
        <w:color w:val="323E4F"/>
        <w:sz w:val="24"/>
      </w:rPr>
      <w:t xml:space="preserve"> </w:t>
    </w:r>
  </w:p>
  <w:p w14:paraId="472F8E9F" w14:textId="77777777" w:rsidR="005F3FCF" w:rsidRPr="00A76C19" w:rsidRDefault="005F3FCF" w:rsidP="005F3FCF">
    <w:pPr>
      <w:pStyle w:val="Title"/>
      <w:spacing w:after="120"/>
      <w:ind w:left="360"/>
      <w:rPr>
        <w:rFonts w:asciiTheme="minorHAnsi" w:hAnsiTheme="minorHAnsi"/>
        <w:color w:val="404040" w:themeColor="text1" w:themeTint="BF"/>
        <w:szCs w:val="20"/>
      </w:rPr>
    </w:pPr>
    <w:r w:rsidRPr="005F3FCF">
      <w:rPr>
        <w:rFonts w:ascii="Gotham Book" w:hAnsi="Gotham Book"/>
        <w:b/>
        <w:color w:val="323E4F"/>
        <w:sz w:val="24"/>
      </w:rPr>
      <w:t>Salt</w:t>
    </w:r>
    <w:r w:rsidRPr="005F3FCF">
      <w:rPr>
        <w:rFonts w:ascii="Calibri" w:hAnsi="Calibri" w:cs="Calibri"/>
        <w:b/>
        <w:color w:val="FF0000"/>
        <w:szCs w:val="20"/>
      </w:rPr>
      <w:t xml:space="preserve"> Lake City’s Division of Housing and Neighborhood Development, along with internal and community stakeholders, identified the Central </w:t>
    </w:r>
    <w:r w:rsidRPr="00A76C19">
      <w:rPr>
        <w:rFonts w:asciiTheme="minorHAnsi" w:hAnsiTheme="minorHAnsi"/>
        <w:color w:val="404040" w:themeColor="text1" w:themeTint="BF"/>
        <w:szCs w:val="20"/>
      </w:rPr>
      <w:t xml:space="preserve">City/Central Ninth and Poplar Grove target areas through an extensive process that included data analysis, identification of opportunities/barriers, and an evaluation of potential resources. Through this process, the Central City and Poplar Grove neighborhoods were identified as areas where a concentration of resources would make significant impacts within the community. </w:t>
    </w:r>
  </w:p>
  <w:p w14:paraId="067F3F69" w14:textId="77777777" w:rsidR="005F3FCF" w:rsidRPr="005F3FCF" w:rsidRDefault="005F3FCF" w:rsidP="005F3FCF">
    <w:pPr>
      <w:pStyle w:val="Title"/>
      <w:spacing w:after="120"/>
      <w:ind w:left="360"/>
      <w:rPr>
        <w:rFonts w:ascii="Gotham Book" w:hAnsi="Gotham Book"/>
        <w:b/>
        <w:color w:val="323E4F"/>
        <w:sz w:val="24"/>
      </w:rPr>
    </w:pPr>
  </w:p>
  <w:p w14:paraId="5AB043DC" w14:textId="77777777" w:rsidR="005F3FCF" w:rsidRPr="00A76C19" w:rsidRDefault="005F3FCF" w:rsidP="005F3FCF">
    <w:pPr>
      <w:pStyle w:val="Title"/>
      <w:spacing w:after="120"/>
      <w:ind w:left="360"/>
      <w:rPr>
        <w:rFonts w:asciiTheme="minorHAnsi" w:hAnsiTheme="minorHAnsi"/>
        <w:color w:val="404040" w:themeColor="text1" w:themeTint="BF"/>
        <w:szCs w:val="20"/>
      </w:rPr>
    </w:pPr>
    <w:r w:rsidRPr="005F3FCF">
      <w:rPr>
        <w:rFonts w:ascii="Calibri" w:hAnsi="Calibri" w:cs="Calibri"/>
        <w:i/>
        <w:color w:val="404040"/>
        <w:sz w:val="18"/>
        <w:szCs w:val="18"/>
      </w:rPr>
      <w:t>Of particular importance is to direct resources to expand opportunity within racial/ethnic concentrated areas of poverty. According to HUD</w:t>
    </w:r>
    <w:r w:rsidRPr="00A76C19">
      <w:rPr>
        <w:rFonts w:asciiTheme="minorHAnsi" w:hAnsiTheme="minorHAnsi"/>
        <w:color w:val="404040" w:themeColor="text1" w:themeTint="BF"/>
        <w:szCs w:val="20"/>
      </w:rPr>
      <w:t>, neighborhoods of concentrated poverty isolate residents from the resources and networks needed to reach their potential. The concentration of poverty can influence outcomes relating to crime, delinquency, education, physiological distress, and various health problems. Salt Lake City intends to expand opportunity within the target areas to limit intergenerational poverty and increase access to community assets.</w:t>
    </w:r>
  </w:p>
  <w:p w14:paraId="372828E9" w14:textId="77777777" w:rsidR="005F3FCF" w:rsidRPr="005F3FCF" w:rsidRDefault="005F3FCF" w:rsidP="005F3FCF">
    <w:pPr>
      <w:pStyle w:val="Title"/>
      <w:spacing w:after="120"/>
      <w:ind w:left="360"/>
      <w:rPr>
        <w:rFonts w:ascii="Gotham Book" w:hAnsi="Gotham Book"/>
        <w:b/>
        <w:color w:val="323E4F"/>
        <w:sz w:val="24"/>
      </w:rPr>
    </w:pPr>
  </w:p>
  <w:p w14:paraId="1AB65241" w14:textId="77777777" w:rsidR="005F3FCF" w:rsidRPr="005F3FCF" w:rsidRDefault="005F3FCF" w:rsidP="005F3FCF">
    <w:pPr>
      <w:pStyle w:val="Title"/>
      <w:spacing w:after="120"/>
      <w:ind w:left="360"/>
      <w:rPr>
        <w:rFonts w:ascii="Calibri" w:hAnsi="Calibri" w:cs="Calibri"/>
        <w:color w:val="404040"/>
        <w:szCs w:val="20"/>
      </w:rPr>
    </w:pPr>
    <w:r w:rsidRPr="005F3FCF">
      <w:rPr>
        <w:rFonts w:ascii="Gotham Book" w:hAnsi="Gotham Book"/>
        <w:b/>
        <w:color w:val="323E4F"/>
        <w:sz w:val="24"/>
      </w:rPr>
      <w:t>LEVERAGING</w:t>
    </w:r>
  </w:p>
  <w:p w14:paraId="5F7E58C2" w14:textId="77777777" w:rsidR="005F3FCF" w:rsidRPr="005F3FCF" w:rsidRDefault="005F3FCF" w:rsidP="005F3FCF">
    <w:pPr>
      <w:pStyle w:val="Title"/>
      <w:spacing w:after="120"/>
      <w:ind w:left="360"/>
      <w:rPr>
        <w:rFonts w:ascii="Calibri" w:hAnsi="Calibri" w:cs="Calibri"/>
        <w:color w:val="404040"/>
        <w:szCs w:val="20"/>
      </w:rPr>
    </w:pPr>
    <w:r w:rsidRPr="005F3FCF">
      <w:rPr>
        <w:rFonts w:ascii="Calibri" w:hAnsi="Calibri" w:cs="Calibri"/>
        <w:color w:val="404040"/>
        <w:szCs w:val="20"/>
      </w:rPr>
      <w:t>Explain how federal funds leveraged additional resources (private, state, and local funds), including a description of how matching requirements were satisfied, as well as how any publicly owned land or property located within the jurisdiction that were used to address the needs identified in the plan.</w:t>
    </w:r>
  </w:p>
  <w:p w14:paraId="0D1FFFD1" w14:textId="77777777" w:rsidR="005F3FCF" w:rsidRPr="005F3FCF" w:rsidRDefault="005F3FCF" w:rsidP="005F3FCF">
    <w:pPr>
      <w:pStyle w:val="Title"/>
      <w:spacing w:after="120"/>
      <w:ind w:left="360"/>
      <w:rPr>
        <w:rFonts w:ascii="Calibri" w:hAnsi="Calibri" w:cs="Calibri"/>
        <w:color w:val="404040"/>
        <w:szCs w:val="20"/>
      </w:rPr>
    </w:pPr>
  </w:p>
  <w:p w14:paraId="1FA5B9A3" w14:textId="77777777" w:rsidR="005F3FCF" w:rsidRPr="005F3FCF" w:rsidRDefault="005F3FCF" w:rsidP="005F3FCF">
    <w:pPr>
      <w:pStyle w:val="Title"/>
      <w:spacing w:after="120"/>
      <w:ind w:left="360"/>
      <w:rPr>
        <w:rFonts w:ascii="Calibri" w:hAnsi="Calibri" w:cs="Calibri"/>
        <w:color w:val="404040"/>
        <w:szCs w:val="20"/>
      </w:rPr>
    </w:pPr>
    <w:r w:rsidRPr="005F3FCF">
      <w:rPr>
        <w:rFonts w:ascii="Calibri" w:hAnsi="Calibri" w:cs="Calibri"/>
        <w:color w:val="404040"/>
        <w:szCs w:val="20"/>
      </w:rPr>
      <w:t>Match Requirements</w:t>
    </w:r>
  </w:p>
  <w:p w14:paraId="33CF6B59" w14:textId="77777777" w:rsidR="005F3FCF" w:rsidRPr="005F3FCF" w:rsidRDefault="005F3FCF" w:rsidP="005F3FCF">
    <w:pPr>
      <w:pStyle w:val="Title"/>
      <w:spacing w:after="120"/>
      <w:ind w:left="360"/>
      <w:rPr>
        <w:rFonts w:ascii="Calibri" w:hAnsi="Calibri" w:cs="Calibri"/>
        <w:color w:val="404040"/>
        <w:szCs w:val="20"/>
      </w:rPr>
    </w:pPr>
    <w:r w:rsidRPr="005F3FCF">
      <w:rPr>
        <w:rFonts w:ascii="Calibri" w:hAnsi="Calibri" w:cs="Calibri"/>
        <w:color w:val="404040"/>
        <w:szCs w:val="20"/>
      </w:rPr>
      <w:t xml:space="preserve">HUD, like many other federal agencies, encourages the recipients of federal monies to demonstrate that efforts are being made to strategically leverage additional funds in order to achieve greater results. Leverage is also a way to increase project efficiencies and benefit from economies of scale that often come with combining sources of funding for similar or expanded scopes. </w:t>
    </w:r>
  </w:p>
  <w:p w14:paraId="3755F399" w14:textId="77777777" w:rsidR="005F3FCF" w:rsidRPr="005F3FCF" w:rsidRDefault="005F3FCF" w:rsidP="005F3FCF">
    <w:pPr>
      <w:pStyle w:val="Title"/>
      <w:spacing w:after="120"/>
      <w:ind w:left="360"/>
      <w:rPr>
        <w:rFonts w:ascii="Calibri" w:hAnsi="Calibri" w:cs="Calibri"/>
        <w:color w:val="404040"/>
        <w:szCs w:val="20"/>
      </w:rPr>
    </w:pPr>
    <w:r w:rsidRPr="005F3FCF">
      <w:rPr>
        <w:rFonts w:ascii="Calibri" w:hAnsi="Calibri" w:cs="Calibri"/>
        <w:color w:val="404040"/>
        <w:szCs w:val="20"/>
      </w:rPr>
      <w:t>HOME Investment Partnership Program – 25% Match Requirement</w:t>
    </w:r>
  </w:p>
  <w:p w14:paraId="776F0C3F" w14:textId="77777777" w:rsidR="005F3FCF" w:rsidRPr="009161F7" w:rsidRDefault="005F3FCF" w:rsidP="005F3FCF">
    <w:pPr>
      <w:pStyle w:val="Title"/>
      <w:spacing w:after="120"/>
      <w:ind w:left="360"/>
      <w:rPr>
        <w:rFonts w:asciiTheme="minorHAnsi" w:hAnsiTheme="minorHAnsi" w:cs="Candara"/>
        <w:color w:val="FF0000"/>
        <w:szCs w:val="20"/>
      </w:rPr>
    </w:pPr>
    <w:r w:rsidRPr="005F3FCF">
      <w:rPr>
        <w:rFonts w:ascii="Calibri" w:hAnsi="Calibri" w:cs="Calibri"/>
        <w:color w:val="404040"/>
        <w:szCs w:val="20"/>
      </w:rPr>
      <w:t xml:space="preserve">Salt Lake City ensures that HOME match requirements are met by utilizing the leveraging capacity of its subrecipients.  Funding sources used to meet the HOME match requirements include waived impact fees. Impact fees are payments required by the City of new development for the purpose of providing new or expanded public capital facilities required to serve that </w:t>
    </w:r>
    <w:r w:rsidRPr="004A36EE">
      <w:rPr>
        <w:rFonts w:asciiTheme="minorHAnsi" w:hAnsiTheme="minorHAnsi"/>
        <w:color w:val="404040" w:themeColor="text1" w:themeTint="BF"/>
        <w:shd w:val="clear" w:color="auto" w:fill="FFFFFF"/>
      </w:rPr>
      <w:t>development. In an effort to encourage affordable housing development, the City waives these fees on a case by case basis</w:t>
    </w:r>
    <w:r>
      <w:rPr>
        <w:rFonts w:asciiTheme="minorHAnsi" w:hAnsiTheme="minorHAnsi"/>
        <w:color w:val="404040" w:themeColor="text1" w:themeTint="BF"/>
        <w:shd w:val="clear" w:color="auto" w:fill="FFFFFF"/>
      </w:rPr>
      <w:t>, contingent upon the number of affordable units being provided in the development project</w:t>
    </w:r>
    <w:r w:rsidRPr="004A36EE">
      <w:rPr>
        <w:rFonts w:asciiTheme="minorHAnsi" w:hAnsiTheme="minorHAnsi"/>
        <w:color w:val="404040" w:themeColor="text1" w:themeTint="BF"/>
        <w:shd w:val="clear" w:color="auto" w:fill="FFFFFF"/>
      </w:rPr>
      <w:t xml:space="preserve">. </w:t>
    </w:r>
  </w:p>
  <w:p w14:paraId="7A35BAA7" w14:textId="77777777" w:rsidR="005F3FCF" w:rsidRPr="005F3FCF" w:rsidRDefault="005F3FCF" w:rsidP="005F3FCF">
    <w:pPr>
      <w:pStyle w:val="Title"/>
      <w:spacing w:after="120"/>
      <w:ind w:left="360"/>
      <w:rPr>
        <w:rFonts w:ascii="Gotham Book" w:hAnsi="Gotham Book"/>
        <w:b/>
        <w:color w:val="323E4F"/>
        <w:sz w:val="24"/>
      </w:rPr>
    </w:pPr>
  </w:p>
  <w:p w14:paraId="7A469CEA" w14:textId="77777777" w:rsidR="005F3FCF" w:rsidRPr="005F3FCF" w:rsidRDefault="005F3FCF" w:rsidP="005F3FCF">
    <w:pPr>
      <w:pStyle w:val="Title"/>
      <w:spacing w:after="120"/>
      <w:ind w:left="360"/>
      <w:rPr>
        <w:rFonts w:ascii="Calibri" w:hAnsi="Calibri" w:cs="Calibri"/>
        <w:b/>
        <w:color w:val="FF0000"/>
        <w:szCs w:val="20"/>
      </w:rPr>
    </w:pPr>
    <w:r w:rsidRPr="005F3FCF">
      <w:rPr>
        <w:rFonts w:ascii="Calibri" w:hAnsi="Calibri" w:cs="Calibri"/>
        <w:b/>
        <w:color w:val="FF0000"/>
        <w:szCs w:val="20"/>
      </w:rPr>
      <w:t>Emergency Solutions Grant – 100% Match Requirement</w:t>
    </w:r>
  </w:p>
  <w:p w14:paraId="01FEADC7" w14:textId="77777777" w:rsidR="005F3FCF" w:rsidRPr="005F3FCF" w:rsidRDefault="005F3FCF" w:rsidP="005F3FCF">
    <w:pPr>
      <w:pStyle w:val="Title"/>
      <w:spacing w:after="120"/>
      <w:ind w:left="360"/>
      <w:rPr>
        <w:rFonts w:ascii="Calibri" w:hAnsi="Calibri" w:cs="Calibri"/>
        <w:color w:val="404040"/>
        <w:szCs w:val="20"/>
      </w:rPr>
    </w:pPr>
    <w:r w:rsidRPr="005F3FCF">
      <w:rPr>
        <w:rFonts w:ascii="Calibri" w:hAnsi="Calibri" w:cs="Calibri"/>
        <w:b/>
        <w:color w:val="FF0000"/>
        <w:szCs w:val="20"/>
      </w:rPr>
      <w:t>Salt Lake City ensures that ESG match requirements are met by utilizing the leveraging capacity of its subgrantees.  Funding sources used to meet the ESG match requirements include</w:t>
    </w:r>
    <w:r w:rsidRPr="005F3FCF">
      <w:rPr>
        <w:rFonts w:ascii="Calibri" w:hAnsi="Calibri" w:cs="Calibri"/>
        <w:color w:val="404040"/>
        <w:szCs w:val="20"/>
      </w:rPr>
      <w:t xml:space="preserve"> federal, state, and local grants; private contributions; private foundations; United Way; Continuum of Care funding; City General Fund; in-kind match and unrestricted donations.</w:t>
    </w:r>
  </w:p>
  <w:p w14:paraId="225D6D02" w14:textId="77777777" w:rsidR="005F3FCF" w:rsidRPr="005F3FCF" w:rsidRDefault="005F3FCF" w:rsidP="005F3FCF">
    <w:pPr>
      <w:pStyle w:val="Title"/>
      <w:spacing w:after="120"/>
      <w:ind w:left="360"/>
      <w:rPr>
        <w:rFonts w:ascii="Calibri" w:hAnsi="Calibri" w:cs="Calibri"/>
        <w:color w:val="404040"/>
        <w:szCs w:val="20"/>
      </w:rPr>
    </w:pPr>
  </w:p>
  <w:p w14:paraId="752BA4AA" w14:textId="77777777" w:rsidR="005F3FCF" w:rsidRPr="005F3FCF" w:rsidRDefault="005F3FCF" w:rsidP="005F3FCF">
    <w:pPr>
      <w:pStyle w:val="Title"/>
      <w:spacing w:after="120"/>
      <w:ind w:left="360"/>
      <w:rPr>
        <w:rFonts w:ascii="Calibri" w:hAnsi="Calibri" w:cs="Calibri"/>
        <w:color w:val="404040"/>
        <w:szCs w:val="20"/>
      </w:rPr>
    </w:pPr>
  </w:p>
  <w:p w14:paraId="265914C8" w14:textId="77777777" w:rsidR="005F3FCF" w:rsidRPr="005F3FCF" w:rsidRDefault="005F3FCF" w:rsidP="005F3FCF">
    <w:pPr>
      <w:pStyle w:val="Title"/>
      <w:spacing w:after="120"/>
      <w:ind w:left="360"/>
      <w:rPr>
        <w:rFonts w:ascii="Calibri" w:hAnsi="Calibri" w:cs="Calibri"/>
        <w:color w:val="404040"/>
        <w:szCs w:val="20"/>
      </w:rPr>
    </w:pPr>
  </w:p>
  <w:p w14:paraId="427EFC6C" w14:textId="77777777" w:rsidR="005F3FCF" w:rsidRPr="005F3FCF" w:rsidRDefault="005F3FCF" w:rsidP="005F3FCF">
    <w:pPr>
      <w:pStyle w:val="Title"/>
      <w:spacing w:after="120"/>
      <w:ind w:left="360"/>
      <w:rPr>
        <w:rFonts w:ascii="Calibri" w:hAnsi="Calibri" w:cs="Calibri"/>
        <w:color w:val="404040"/>
        <w:szCs w:val="20"/>
      </w:rPr>
    </w:pPr>
    <w:r w:rsidRPr="005F3FCF">
      <w:rPr>
        <w:rFonts w:ascii="Calibri" w:hAnsi="Calibri" w:cs="Calibri"/>
        <w:color w:val="404040"/>
        <w:szCs w:val="20"/>
      </w:rPr>
      <w:t>Fund Leveraging</w:t>
    </w:r>
  </w:p>
  <w:p w14:paraId="1CA684D1" w14:textId="77777777" w:rsidR="005F3FCF" w:rsidRPr="009161F7" w:rsidRDefault="005F3FCF" w:rsidP="005F3FCF">
    <w:pPr>
      <w:pStyle w:val="Title"/>
      <w:spacing w:after="120"/>
      <w:ind w:left="360"/>
      <w:rPr>
        <w:rFonts w:asciiTheme="minorHAnsi" w:hAnsiTheme="minorHAnsi" w:cs="Candara"/>
        <w:color w:val="404040" w:themeColor="text1" w:themeTint="BF"/>
        <w:szCs w:val="20"/>
      </w:rPr>
    </w:pPr>
    <w:r w:rsidRPr="005F3FCF">
      <w:rPr>
        <w:rFonts w:ascii="Calibri" w:hAnsi="Calibri" w:cs="Calibri"/>
        <w:color w:val="404040"/>
        <w:szCs w:val="20"/>
      </w:rPr>
      <w:t xml:space="preserve">Leverage, in the context of the City’s four HUD Programs, means bringing other local, state, and federal financial resources in order to maximize the reach and impact of the </w:t>
    </w:r>
    <w:r w:rsidRPr="009161F7">
      <w:rPr>
        <w:rFonts w:asciiTheme="minorHAnsi" w:hAnsiTheme="minorHAnsi" w:cs="Candara"/>
        <w:color w:val="404040" w:themeColor="text1" w:themeTint="BF"/>
        <w:szCs w:val="20"/>
      </w:rPr>
      <w:t>City’s HUD Programs. Resources for leverage include the following:</w:t>
    </w:r>
  </w:p>
  <w:p w14:paraId="3B4207A3" w14:textId="77777777" w:rsidR="005F3FCF" w:rsidRPr="009161F7" w:rsidRDefault="005F3FCF" w:rsidP="005F3FCF">
    <w:pPr>
      <w:pStyle w:val="Title"/>
      <w:spacing w:after="120"/>
      <w:ind w:left="360"/>
      <w:rPr>
        <w:rFonts w:asciiTheme="minorHAnsi" w:hAnsiTheme="minorHAnsi"/>
        <w:color w:val="404040" w:themeColor="text1" w:themeTint="BF"/>
        <w:szCs w:val="20"/>
      </w:rPr>
    </w:pPr>
    <w:r w:rsidRPr="005F3FCF">
      <w:rPr>
        <w:rFonts w:ascii="Calibri" w:hAnsi="Calibri" w:cs="Calibri"/>
        <w:b/>
        <w:color w:val="FF0000"/>
        <w:szCs w:val="20"/>
      </w:rPr>
      <w:t>Housing</w:t>
    </w:r>
    <w:r w:rsidRPr="009161F7">
      <w:rPr>
        <w:rFonts w:asciiTheme="minorHAnsi" w:hAnsiTheme="minorHAnsi"/>
        <w:color w:val="404040" w:themeColor="text1" w:themeTint="BF"/>
        <w:szCs w:val="20"/>
      </w:rPr>
      <w:t xml:space="preserve"> Choice Section 8 Vouchers</w:t>
    </w:r>
  </w:p>
  <w:p w14:paraId="6F2BDD84" w14:textId="77777777" w:rsidR="005F3FCF" w:rsidRPr="005F3FCF" w:rsidRDefault="005F3FCF" w:rsidP="005F3FCF">
    <w:pPr>
      <w:pStyle w:val="Title"/>
      <w:spacing w:after="120"/>
      <w:ind w:left="360"/>
      <w:rPr>
        <w:rFonts w:ascii="Gotham Book" w:hAnsi="Gotham Book"/>
        <w:color w:val="404040"/>
        <w:sz w:val="18"/>
        <w:szCs w:val="18"/>
      </w:rPr>
    </w:pPr>
    <w:r w:rsidRPr="005F3FCF">
      <w:rPr>
        <w:rFonts w:ascii="Calibri" w:hAnsi="Calibri"/>
        <w:i/>
        <w:color w:val="404040"/>
        <w:sz w:val="18"/>
        <w:szCs w:val="18"/>
      </w:rPr>
      <w:t>The Housing Authority of Salt Lake City and The Housing Authority of the County of Salt Lake currently administer Housing Choice (Section 8) vouchers. Many of the clients receiving assistance though other HUD funded</w:t>
    </w:r>
    <w:r w:rsidRPr="005F3FCF">
      <w:rPr>
        <w:rFonts w:ascii="Gotham Book" w:hAnsi="Gotham Book"/>
        <w:color w:val="404040"/>
        <w:sz w:val="18"/>
        <w:szCs w:val="18"/>
      </w:rPr>
      <w:t xml:space="preserve"> programs, are utilizing this housing assistance to stabilize and maintain housing. Currently, both housing authorities have closed waiting lists due to the disparity of the volume of those needing assistance vs. available funding.</w:t>
    </w:r>
  </w:p>
  <w:p w14:paraId="00DE00FA" w14:textId="77777777" w:rsidR="005F3FCF" w:rsidRPr="005F3FCF" w:rsidRDefault="005F3FCF" w:rsidP="005F3FCF">
    <w:pPr>
      <w:pStyle w:val="Title"/>
      <w:spacing w:after="120"/>
      <w:ind w:left="360"/>
      <w:rPr>
        <w:rFonts w:ascii="Gotham Book" w:hAnsi="Gotham Book"/>
        <w:color w:val="404040"/>
        <w:sz w:val="18"/>
        <w:szCs w:val="18"/>
      </w:rPr>
    </w:pPr>
  </w:p>
  <w:p w14:paraId="5FD81936" w14:textId="77777777" w:rsidR="005F3FCF" w:rsidRPr="005F3FCF" w:rsidRDefault="005F3FCF" w:rsidP="005F3FCF">
    <w:pPr>
      <w:pStyle w:val="Title"/>
      <w:spacing w:after="120"/>
      <w:ind w:left="360"/>
      <w:rPr>
        <w:rFonts w:ascii="Gotham Book" w:hAnsi="Gotham Book"/>
        <w:color w:val="404040"/>
        <w:sz w:val="18"/>
        <w:szCs w:val="18"/>
      </w:rPr>
    </w:pPr>
    <w:r w:rsidRPr="005F3FCF">
      <w:rPr>
        <w:rFonts w:ascii="Gotham Book" w:hAnsi="Gotham Book"/>
        <w:color w:val="404040"/>
        <w:sz w:val="18"/>
        <w:szCs w:val="18"/>
      </w:rPr>
      <w:t xml:space="preserve">Low Income Housing Tax Credits </w:t>
    </w:r>
  </w:p>
  <w:p w14:paraId="004C14C6" w14:textId="77777777" w:rsidR="005F3FCF" w:rsidRPr="009161F7" w:rsidRDefault="005F3FCF" w:rsidP="005F3FCF">
    <w:pPr>
      <w:pStyle w:val="Title"/>
      <w:spacing w:after="120"/>
      <w:ind w:left="360"/>
      <w:rPr>
        <w:rFonts w:asciiTheme="minorHAnsi" w:hAnsiTheme="minorHAnsi"/>
        <w:b/>
        <w:color w:val="404040" w:themeColor="text1" w:themeTint="BF"/>
        <w:szCs w:val="20"/>
      </w:rPr>
    </w:pPr>
    <w:r w:rsidRPr="005F3FCF">
      <w:rPr>
        <w:rFonts w:ascii="Gotham Book" w:hAnsi="Gotham Book"/>
        <w:color w:val="404040"/>
        <w:sz w:val="18"/>
        <w:szCs w:val="18"/>
      </w:rPr>
      <w:t>Federal 4% and 9% tax</w:t>
    </w:r>
    <w:r w:rsidRPr="009161F7">
      <w:rPr>
        <w:rFonts w:asciiTheme="minorHAnsi" w:hAnsiTheme="minorHAnsi"/>
        <w:color w:val="404040" w:themeColor="text1" w:themeTint="BF"/>
        <w:szCs w:val="20"/>
      </w:rPr>
      <w:t xml:space="preserve"> credits are a major funding source of capital for the construction and rehabilitation of affordable rental homes. In 201</w:t>
    </w:r>
    <w:r>
      <w:rPr>
        <w:rFonts w:asciiTheme="minorHAnsi" w:hAnsiTheme="minorHAnsi"/>
        <w:color w:val="404040" w:themeColor="text1" w:themeTint="BF"/>
        <w:szCs w:val="20"/>
      </w:rPr>
      <w:t>6</w:t>
    </w:r>
    <w:r w:rsidRPr="009161F7">
      <w:rPr>
        <w:rFonts w:asciiTheme="minorHAnsi" w:hAnsiTheme="minorHAnsi"/>
        <w:color w:val="404040" w:themeColor="text1" w:themeTint="BF"/>
        <w:szCs w:val="20"/>
      </w:rPr>
      <w:t xml:space="preserve">, </w:t>
    </w:r>
    <w:r>
      <w:rPr>
        <w:rFonts w:asciiTheme="minorHAnsi" w:hAnsiTheme="minorHAnsi"/>
        <w:color w:val="404040" w:themeColor="text1" w:themeTint="BF"/>
        <w:szCs w:val="20"/>
      </w:rPr>
      <w:t xml:space="preserve">Salt Lake City </w:t>
    </w:r>
    <w:r w:rsidRPr="00185912">
      <w:rPr>
        <w:rFonts w:asciiTheme="minorHAnsi" w:hAnsiTheme="minorHAnsi"/>
        <w:color w:val="404040" w:themeColor="text1" w:themeTint="BF"/>
        <w:szCs w:val="20"/>
      </w:rPr>
      <w:t>did</w:t>
    </w:r>
    <w:r>
      <w:rPr>
        <w:rFonts w:asciiTheme="minorHAnsi" w:hAnsiTheme="minorHAnsi"/>
        <w:color w:val="404040" w:themeColor="text1" w:themeTint="BF"/>
        <w:szCs w:val="20"/>
      </w:rPr>
      <w:t xml:space="preserve"> not receive much-needed </w:t>
    </w:r>
    <w:r w:rsidRPr="00185912">
      <w:rPr>
        <w:rFonts w:asciiTheme="minorHAnsi" w:hAnsiTheme="minorHAnsi"/>
        <w:color w:val="404040" w:themeColor="text1" w:themeTint="BF"/>
        <w:szCs w:val="20"/>
      </w:rPr>
      <w:t>4%</w:t>
    </w:r>
    <w:r>
      <w:rPr>
        <w:rFonts w:asciiTheme="minorHAnsi" w:hAnsiTheme="minorHAnsi"/>
        <w:color w:val="404040" w:themeColor="text1" w:themeTint="BF"/>
        <w:szCs w:val="20"/>
      </w:rPr>
      <w:t xml:space="preserve"> tax credits to fund a critical permanent supportive housing project in Central City. However, with the help of HAND staff, this project was able to secure the tax credits in 2017 and the project is now underway. </w:t>
    </w:r>
  </w:p>
  <w:p w14:paraId="01C59AF1" w14:textId="77777777" w:rsidR="005F3FCF" w:rsidRPr="005F3FCF" w:rsidRDefault="005F3FCF" w:rsidP="005F3FCF">
    <w:pPr>
      <w:pStyle w:val="Title"/>
      <w:spacing w:after="120"/>
      <w:ind w:left="360"/>
      <w:rPr>
        <w:rFonts w:ascii="Gotham Book" w:hAnsi="Gotham Book"/>
        <w:color w:val="404040"/>
        <w:sz w:val="18"/>
        <w:szCs w:val="18"/>
      </w:rPr>
    </w:pPr>
  </w:p>
  <w:p w14:paraId="14D5CD12" w14:textId="77777777" w:rsidR="005F3FCF" w:rsidRPr="005F3FCF" w:rsidRDefault="005F3FCF" w:rsidP="005F3FCF">
    <w:pPr>
      <w:pStyle w:val="Title"/>
      <w:spacing w:after="120"/>
      <w:ind w:left="360"/>
      <w:rPr>
        <w:rFonts w:ascii="Gotham Book" w:hAnsi="Gotham Book"/>
        <w:color w:val="404040"/>
        <w:sz w:val="18"/>
        <w:szCs w:val="18"/>
      </w:rPr>
    </w:pPr>
    <w:r w:rsidRPr="005F3FCF">
      <w:rPr>
        <w:rFonts w:ascii="Gotham Book" w:hAnsi="Gotham Book"/>
        <w:color w:val="404040"/>
        <w:sz w:val="18"/>
        <w:szCs w:val="18"/>
      </w:rPr>
      <w:t xml:space="preserve">New Market Tax Credits </w:t>
    </w:r>
  </w:p>
  <w:p w14:paraId="6928F242" w14:textId="77777777" w:rsidR="005F3FCF" w:rsidRPr="005F3FCF" w:rsidRDefault="005F3FCF" w:rsidP="005F3FCF">
    <w:pPr>
      <w:pStyle w:val="Title"/>
      <w:spacing w:after="120"/>
      <w:ind w:left="360"/>
      <w:rPr>
        <w:rFonts w:ascii="Calibri" w:hAnsi="Calibri" w:cs="Calibri"/>
        <w:color w:val="404040"/>
        <w:szCs w:val="20"/>
      </w:rPr>
    </w:pPr>
    <w:r w:rsidRPr="005F3FCF">
      <w:rPr>
        <w:rFonts w:ascii="Gotham Book" w:hAnsi="Gotham Book"/>
        <w:color w:val="404040"/>
        <w:sz w:val="18"/>
        <w:szCs w:val="18"/>
      </w:rPr>
      <w:t xml:space="preserve">New Market Tax Credits are an additional tool utilized to attract private capital investment in areas in need of job growth </w:t>
    </w:r>
    <w:r w:rsidRPr="005F3FCF">
      <w:rPr>
        <w:rFonts w:ascii="Calibri" w:hAnsi="Calibri" w:cs="Calibri"/>
        <w:color w:val="404040"/>
        <w:szCs w:val="20"/>
      </w:rPr>
      <w:t xml:space="preserve">and economic development. </w:t>
    </w:r>
  </w:p>
  <w:p w14:paraId="62E2B9E9" w14:textId="77777777" w:rsidR="005F3FCF" w:rsidRPr="005F3FCF" w:rsidRDefault="005F3FCF" w:rsidP="005F3FCF">
    <w:pPr>
      <w:pStyle w:val="Title"/>
      <w:spacing w:after="120"/>
      <w:ind w:left="360"/>
      <w:rPr>
        <w:rFonts w:ascii="Calibri" w:hAnsi="Calibri" w:cs="Calibri"/>
        <w:color w:val="404040"/>
        <w:szCs w:val="20"/>
      </w:rPr>
    </w:pPr>
  </w:p>
  <w:p w14:paraId="2F02FF67" w14:textId="77777777" w:rsidR="005F3FCF" w:rsidRPr="005F3FCF" w:rsidRDefault="005F3FCF" w:rsidP="005F3FCF">
    <w:pPr>
      <w:pStyle w:val="Title"/>
      <w:spacing w:after="120"/>
      <w:ind w:left="360"/>
      <w:rPr>
        <w:rFonts w:ascii="Calibri" w:hAnsi="Calibri" w:cs="Calibri"/>
        <w:color w:val="404040"/>
        <w:szCs w:val="20"/>
      </w:rPr>
    </w:pPr>
    <w:r w:rsidRPr="005F3FCF">
      <w:rPr>
        <w:rFonts w:ascii="Calibri" w:hAnsi="Calibri" w:cs="Calibri"/>
        <w:color w:val="404040"/>
        <w:szCs w:val="20"/>
      </w:rPr>
      <w:t xml:space="preserve">RDA Development Funding </w:t>
    </w:r>
  </w:p>
  <w:p w14:paraId="210CF181" w14:textId="77777777" w:rsidR="005F3FCF" w:rsidRPr="009161F7" w:rsidRDefault="005F3FCF" w:rsidP="005F3FCF">
    <w:pPr>
      <w:pStyle w:val="Title"/>
      <w:spacing w:after="120"/>
      <w:ind w:left="360"/>
      <w:rPr>
        <w:rFonts w:asciiTheme="minorHAnsi" w:hAnsiTheme="minorHAnsi"/>
        <w:color w:val="404040" w:themeColor="text1" w:themeTint="BF"/>
        <w:szCs w:val="20"/>
      </w:rPr>
    </w:pPr>
    <w:r w:rsidRPr="005F3FCF">
      <w:rPr>
        <w:rFonts w:ascii="Calibri" w:hAnsi="Calibri" w:cs="Calibri"/>
        <w:color w:val="404040"/>
        <w:szCs w:val="20"/>
      </w:rPr>
      <w:t xml:space="preserve">The RDA has thirteen project areas where tax increment funds are reinvested back into the same area to contribute to the overall health and vitality of the City, by reversing the negative effects of blight, while increasing the tax base from which the taxing entities draw their funds. The RDA will allocate some of these funds back to the Salt Lake City Housing Trust Fund so the funds can strategically be leveraged to provide </w:t>
    </w:r>
    <w:r w:rsidRPr="009161F7">
      <w:rPr>
        <w:rFonts w:asciiTheme="minorHAnsi" w:hAnsiTheme="minorHAnsi"/>
        <w:color w:val="404040" w:themeColor="text1" w:themeTint="BF"/>
        <w:szCs w:val="20"/>
      </w:rPr>
      <w:t>affordable housing in new development projects throughout the City.</w:t>
    </w:r>
  </w:p>
  <w:p w14:paraId="0899A899" w14:textId="77777777" w:rsidR="005F3FCF" w:rsidRPr="005F3FCF" w:rsidRDefault="005F3FCF" w:rsidP="005F3FCF">
    <w:pPr>
      <w:pStyle w:val="Footer"/>
      <w:rPr>
        <w:rFonts w:ascii="Arial" w:hAnsi="Arial" w:cs="Arial"/>
        <w:sz w:val="22"/>
        <w:szCs w:val="22"/>
        <w:u w:val="single"/>
      </w:rPr>
    </w:pPr>
  </w:p>
  <w:p w14:paraId="09E5BB0B" w14:textId="77777777" w:rsidR="005F3FCF" w:rsidRPr="005F3FCF" w:rsidRDefault="005F3FCF" w:rsidP="005F3FCF">
    <w:pPr>
      <w:pStyle w:val="Footer"/>
      <w:rPr>
        <w:rFonts w:ascii="Gotham Book" w:hAnsi="Gotham Book"/>
        <w:color w:val="404040"/>
        <w:sz w:val="18"/>
        <w:szCs w:val="18"/>
      </w:rPr>
    </w:pPr>
    <w:r w:rsidRPr="005F3FCF">
      <w:rPr>
        <w:rFonts w:ascii="Calibri" w:hAnsi="Calibri"/>
        <w:i/>
        <w:color w:val="404040"/>
        <w:sz w:val="18"/>
        <w:szCs w:val="18"/>
      </w:rPr>
      <w:t xml:space="preserve">Salt Lake City Housing Trust </w:t>
    </w:r>
    <w:r w:rsidRPr="005F3FCF">
      <w:rPr>
        <w:rFonts w:ascii="Gotham Book" w:hAnsi="Gotham Book"/>
        <w:color w:val="404040"/>
        <w:sz w:val="18"/>
        <w:szCs w:val="18"/>
      </w:rPr>
      <w:t>Fund</w:t>
    </w:r>
  </w:p>
  <w:p w14:paraId="4D455715" w14:textId="77777777" w:rsidR="005F3FCF" w:rsidRPr="009161F7" w:rsidRDefault="005F3FCF" w:rsidP="005F3FCF">
    <w:pPr>
      <w:pStyle w:val="Footer"/>
      <w:rPr>
        <w:rFonts w:asciiTheme="minorHAnsi" w:hAnsiTheme="minorHAnsi"/>
        <w:color w:val="404040" w:themeColor="text1" w:themeTint="BF"/>
        <w:szCs w:val="20"/>
      </w:rPr>
    </w:pPr>
    <w:r w:rsidRPr="005F3FCF">
      <w:rPr>
        <w:rFonts w:ascii="Gotham Book" w:hAnsi="Gotham Book"/>
        <w:color w:val="404040"/>
        <w:sz w:val="18"/>
        <w:szCs w:val="18"/>
      </w:rPr>
      <w:t>Salt Lake City’s Housing Trust Fund (HTF) strives to address the health, safety and welfare of</w:t>
    </w:r>
    <w:r w:rsidRPr="009161F7">
      <w:rPr>
        <w:rFonts w:asciiTheme="minorHAnsi" w:hAnsiTheme="minorHAnsi"/>
        <w:color w:val="404040" w:themeColor="text1" w:themeTint="BF"/>
        <w:szCs w:val="20"/>
      </w:rPr>
      <w:t xml:space="preserve"> the City’s citizen by providing assistance for affordable and special needs housing within the City. The Trust Fund </w:t>
    </w:r>
    <w:r>
      <w:rPr>
        <w:rFonts w:asciiTheme="minorHAnsi" w:hAnsiTheme="minorHAnsi"/>
        <w:color w:val="404040" w:themeColor="text1" w:themeTint="BF"/>
        <w:szCs w:val="20"/>
      </w:rPr>
      <w:t>was able to close 3</w:t>
    </w:r>
    <w:r w:rsidRPr="00D44435">
      <w:rPr>
        <w:rFonts w:asciiTheme="minorHAnsi" w:hAnsiTheme="minorHAnsi"/>
        <w:color w:val="404040" w:themeColor="text1" w:themeTint="BF"/>
        <w:szCs w:val="20"/>
        <w:highlight w:val="yellow"/>
      </w:rPr>
      <w:t xml:space="preserve"> </w:t>
    </w:r>
    <w:r w:rsidRPr="003C364D">
      <w:rPr>
        <w:rFonts w:asciiTheme="minorHAnsi" w:hAnsiTheme="minorHAnsi"/>
        <w:color w:val="404040" w:themeColor="text1" w:themeTint="BF"/>
        <w:szCs w:val="20"/>
      </w:rPr>
      <w:t>loans</w:t>
    </w:r>
    <w:r w:rsidRPr="009161F7">
      <w:rPr>
        <w:rFonts w:asciiTheme="minorHAnsi" w:hAnsiTheme="minorHAnsi"/>
        <w:color w:val="404040" w:themeColor="text1" w:themeTint="BF"/>
        <w:szCs w:val="20"/>
      </w:rPr>
      <w:t xml:space="preserve"> during the program year providing </w:t>
    </w:r>
    <w:r w:rsidRPr="003C364D">
      <w:rPr>
        <w:rFonts w:asciiTheme="minorHAnsi" w:hAnsiTheme="minorHAnsi"/>
        <w:color w:val="404040" w:themeColor="text1" w:themeTint="BF"/>
        <w:szCs w:val="20"/>
      </w:rPr>
      <w:t>$1.95m</w:t>
    </w:r>
    <w:r w:rsidRPr="009161F7">
      <w:rPr>
        <w:rFonts w:asciiTheme="minorHAnsi" w:hAnsiTheme="minorHAnsi"/>
        <w:color w:val="404040" w:themeColor="text1" w:themeTint="BF"/>
        <w:szCs w:val="20"/>
      </w:rPr>
      <w:t xml:space="preserve"> in leveraged capital. This leveraged capital secured</w:t>
    </w:r>
    <w:r>
      <w:rPr>
        <w:rFonts w:asciiTheme="minorHAnsi" w:hAnsiTheme="minorHAnsi"/>
        <w:color w:val="404040" w:themeColor="text1" w:themeTint="BF"/>
        <w:szCs w:val="20"/>
      </w:rPr>
      <w:t xml:space="preserve"> long term affordability of 443</w:t>
    </w:r>
    <w:r w:rsidRPr="009161F7">
      <w:rPr>
        <w:rFonts w:asciiTheme="minorHAnsi" w:hAnsiTheme="minorHAnsi"/>
        <w:color w:val="404040" w:themeColor="text1" w:themeTint="BF"/>
        <w:szCs w:val="20"/>
      </w:rPr>
      <w:t xml:space="preserve"> housing units in the City. </w:t>
    </w:r>
    <w:r>
      <w:rPr>
        <w:rFonts w:asciiTheme="minorHAnsi" w:hAnsiTheme="minorHAnsi"/>
        <w:color w:val="404040" w:themeColor="text1" w:themeTint="BF"/>
        <w:szCs w:val="20"/>
      </w:rPr>
      <w:t>Three other loans have been approved by the board but have not yet been funded as of June 30</w:t>
    </w:r>
    <w:r w:rsidRPr="005F3FCF">
      <w:rPr>
        <w:rFonts w:asciiTheme="minorHAnsi" w:hAnsiTheme="minorHAnsi"/>
        <w:color w:val="404040" w:themeColor="text1" w:themeTint="BF"/>
        <w:szCs w:val="20"/>
      </w:rPr>
      <w:t>th</w:t>
    </w:r>
    <w:r>
      <w:rPr>
        <w:rFonts w:asciiTheme="minorHAnsi" w:hAnsiTheme="minorHAnsi"/>
        <w:color w:val="404040" w:themeColor="text1" w:themeTint="BF"/>
        <w:szCs w:val="20"/>
      </w:rPr>
      <w:t xml:space="preserve">, 2018. </w:t>
    </w:r>
  </w:p>
  <w:p w14:paraId="782AA268" w14:textId="77777777" w:rsidR="005F3FCF" w:rsidRPr="005F3FCF" w:rsidRDefault="005F3FCF" w:rsidP="005F3FCF">
    <w:pPr>
      <w:pStyle w:val="Footer"/>
      <w:rPr>
        <w:rFonts w:ascii="Calibri" w:hAnsi="Calibri"/>
        <w:i/>
        <w:color w:val="404040"/>
        <w:sz w:val="18"/>
        <w:szCs w:val="18"/>
      </w:rPr>
    </w:pPr>
  </w:p>
  <w:p w14:paraId="16A5718F" w14:textId="77777777" w:rsidR="005F3FCF" w:rsidRPr="005F3FCF" w:rsidRDefault="005F3FCF" w:rsidP="005F3FCF">
    <w:pPr>
      <w:pStyle w:val="Footer"/>
      <w:rPr>
        <w:rFonts w:ascii="Calibri" w:hAnsi="Calibri"/>
        <w:i/>
        <w:color w:val="404040"/>
        <w:sz w:val="18"/>
        <w:szCs w:val="18"/>
      </w:rPr>
    </w:pPr>
  </w:p>
  <w:p w14:paraId="64024580" w14:textId="77777777" w:rsidR="005F3FCF" w:rsidRPr="005F3FCF" w:rsidRDefault="005F3FCF" w:rsidP="005F3FCF">
    <w:pPr>
      <w:pStyle w:val="Footer"/>
      <w:rPr>
        <w:rFonts w:ascii="Calibri" w:hAnsi="Calibri"/>
        <w:i/>
        <w:color w:val="404040"/>
        <w:sz w:val="18"/>
        <w:szCs w:val="18"/>
      </w:rPr>
    </w:pPr>
  </w:p>
  <w:p w14:paraId="46313570" w14:textId="77777777" w:rsidR="005F3FCF" w:rsidRPr="005F3FCF" w:rsidRDefault="005F3FCF" w:rsidP="005F3FCF">
    <w:pPr>
      <w:pStyle w:val="Footer"/>
      <w:rPr>
        <w:rFonts w:ascii="Gotham Book" w:hAnsi="Gotham Book"/>
        <w:color w:val="404040"/>
        <w:sz w:val="18"/>
        <w:szCs w:val="18"/>
      </w:rPr>
    </w:pPr>
    <w:r w:rsidRPr="005F3FCF">
      <w:rPr>
        <w:rFonts w:ascii="Calibri" w:hAnsi="Calibri"/>
        <w:i/>
        <w:color w:val="404040"/>
        <w:sz w:val="18"/>
        <w:szCs w:val="18"/>
      </w:rPr>
      <w:t xml:space="preserve">Salt Lake </w:t>
    </w:r>
    <w:r w:rsidRPr="005F3FCF">
      <w:rPr>
        <w:rFonts w:ascii="Gotham Book" w:hAnsi="Gotham Book"/>
        <w:color w:val="404040"/>
        <w:sz w:val="18"/>
        <w:szCs w:val="18"/>
      </w:rPr>
      <w:t>City Economic Development Loan Fund (EDLF)</w:t>
    </w:r>
  </w:p>
  <w:p w14:paraId="68DBDFC7" w14:textId="77777777" w:rsidR="005F3FCF" w:rsidRPr="009161F7" w:rsidRDefault="005F3FCF" w:rsidP="005F3FCF">
    <w:pPr>
      <w:pStyle w:val="Footer"/>
      <w:rPr>
        <w:rFonts w:asciiTheme="minorHAnsi" w:hAnsiTheme="minorHAnsi"/>
        <w:color w:val="404040" w:themeColor="text1" w:themeTint="BF"/>
        <w:szCs w:val="20"/>
      </w:rPr>
    </w:pPr>
    <w:r w:rsidRPr="005F3FCF">
      <w:rPr>
        <w:rFonts w:ascii="Gotham Book" w:hAnsi="Gotham Book"/>
        <w:color w:val="404040"/>
        <w:sz w:val="18"/>
        <w:szCs w:val="18"/>
      </w:rPr>
      <w:t xml:space="preserve">The </w:t>
    </w:r>
    <w:r w:rsidRPr="009161F7">
      <w:rPr>
        <w:rFonts w:asciiTheme="minorHAnsi" w:hAnsiTheme="minorHAnsi"/>
        <w:color w:val="404040" w:themeColor="text1" w:themeTint="BF"/>
        <w:szCs w:val="20"/>
      </w:rPr>
      <w:t>City administers the Economic Development Loan Fund which makes loans to small businesses located in the City for the purpose of stimulating economic development and commercial and industrial diversity by enhancing business opportunities, provide employment and promoting n</w:t>
    </w:r>
    <w:r w:rsidRPr="005F3CE2">
      <w:rPr>
        <w:rFonts w:asciiTheme="minorHAnsi" w:hAnsiTheme="minorHAnsi"/>
        <w:color w:val="404040" w:themeColor="text1" w:themeTint="BF"/>
        <w:szCs w:val="20"/>
      </w:rPr>
      <w:t xml:space="preserve">eighborhood revitalization. This fund closed </w:t>
    </w:r>
    <w:r w:rsidRPr="008C584D">
      <w:rPr>
        <w:rFonts w:asciiTheme="minorHAnsi" w:hAnsiTheme="minorHAnsi"/>
        <w:color w:val="404040" w:themeColor="text1" w:themeTint="BF"/>
        <w:szCs w:val="20"/>
      </w:rPr>
      <w:t>16 loans</w:t>
    </w:r>
    <w:r w:rsidRPr="005F3CE2">
      <w:rPr>
        <w:rFonts w:asciiTheme="minorHAnsi" w:hAnsiTheme="minorHAnsi"/>
        <w:color w:val="404040" w:themeColor="text1" w:themeTint="BF"/>
        <w:szCs w:val="20"/>
      </w:rPr>
      <w:t xml:space="preserve"> for a total </w:t>
    </w:r>
    <w:r w:rsidRPr="008C584D">
      <w:rPr>
        <w:rFonts w:asciiTheme="minorHAnsi" w:hAnsiTheme="minorHAnsi"/>
        <w:color w:val="404040" w:themeColor="text1" w:themeTint="BF"/>
        <w:szCs w:val="20"/>
      </w:rPr>
      <w:t>of $1.8m</w:t>
    </w:r>
    <w:r w:rsidRPr="005F3CE2">
      <w:rPr>
        <w:rFonts w:asciiTheme="minorHAnsi" w:hAnsiTheme="minorHAnsi"/>
        <w:color w:val="404040" w:themeColor="text1" w:themeTint="BF"/>
        <w:szCs w:val="20"/>
      </w:rPr>
      <w:t xml:space="preserve">. Of these loans, </w:t>
    </w:r>
    <w:r>
      <w:rPr>
        <w:rFonts w:asciiTheme="minorHAnsi" w:hAnsiTheme="minorHAnsi"/>
        <w:color w:val="404040" w:themeColor="text1" w:themeTint="BF"/>
        <w:szCs w:val="20"/>
      </w:rPr>
      <w:t xml:space="preserve">over </w:t>
    </w:r>
    <w:r w:rsidRPr="008C584D">
      <w:rPr>
        <w:rFonts w:asciiTheme="minorHAnsi" w:hAnsiTheme="minorHAnsi"/>
        <w:color w:val="404040" w:themeColor="text1" w:themeTint="BF"/>
        <w:szCs w:val="20"/>
      </w:rPr>
      <w:t>31%</w:t>
    </w:r>
    <w:r w:rsidRPr="005F3CE2">
      <w:rPr>
        <w:rFonts w:asciiTheme="minorHAnsi" w:hAnsiTheme="minorHAnsi"/>
        <w:color w:val="404040" w:themeColor="text1" w:themeTint="BF"/>
        <w:szCs w:val="20"/>
      </w:rPr>
      <w:t xml:space="preserve"> were provided to Women and/or Minority Owned Businesses</w:t>
    </w:r>
    <w:r>
      <w:rPr>
        <w:rFonts w:asciiTheme="minorHAnsi" w:hAnsiTheme="minorHAnsi"/>
        <w:color w:val="404040" w:themeColor="text1" w:themeTint="BF"/>
        <w:szCs w:val="20"/>
      </w:rPr>
      <w:t xml:space="preserve">. A </w:t>
    </w:r>
    <w:r w:rsidRPr="008C584D">
      <w:rPr>
        <w:rFonts w:asciiTheme="minorHAnsi" w:hAnsiTheme="minorHAnsi"/>
        <w:color w:val="404040" w:themeColor="text1" w:themeTint="BF"/>
        <w:szCs w:val="20"/>
      </w:rPr>
      <w:t>quarter of the loans</w:t>
    </w:r>
    <w:r>
      <w:rPr>
        <w:rFonts w:asciiTheme="minorHAnsi" w:hAnsiTheme="minorHAnsi"/>
        <w:color w:val="404040" w:themeColor="text1" w:themeTint="BF"/>
        <w:szCs w:val="20"/>
      </w:rPr>
      <w:t xml:space="preserve"> went to </w:t>
    </w:r>
    <w:r w:rsidRPr="005F3CE2">
      <w:rPr>
        <w:rFonts w:asciiTheme="minorHAnsi" w:hAnsiTheme="minorHAnsi"/>
        <w:color w:val="404040" w:themeColor="text1" w:themeTint="BF"/>
        <w:szCs w:val="20"/>
      </w:rPr>
      <w:t xml:space="preserve">low income business owners.  </w:t>
    </w:r>
  </w:p>
  <w:p w14:paraId="5624CA2E" w14:textId="77777777" w:rsidR="005F3FCF" w:rsidRPr="005F3FCF" w:rsidRDefault="005F3FCF" w:rsidP="005F3FCF">
    <w:pPr>
      <w:pStyle w:val="Title"/>
      <w:tabs>
        <w:tab w:val="center" w:pos="4320"/>
        <w:tab w:val="right" w:pos="8640"/>
      </w:tabs>
      <w:rPr>
        <w:rFonts w:ascii="Gotham Book" w:hAnsi="Gotham Book"/>
        <w:color w:val="404040"/>
        <w:sz w:val="18"/>
        <w:szCs w:val="18"/>
      </w:rPr>
    </w:pPr>
  </w:p>
  <w:p w14:paraId="5C6D2E56" w14:textId="77777777" w:rsidR="005F3FCF" w:rsidRPr="005F3FCF" w:rsidRDefault="005F3FCF" w:rsidP="005F3FCF">
    <w:pPr>
      <w:pStyle w:val="Title"/>
      <w:tabs>
        <w:tab w:val="center" w:pos="4320"/>
        <w:tab w:val="right" w:pos="8640"/>
      </w:tabs>
      <w:rPr>
        <w:rFonts w:ascii="Gotham Book" w:hAnsi="Gotham Book"/>
        <w:color w:val="404040"/>
        <w:sz w:val="18"/>
        <w:szCs w:val="18"/>
      </w:rPr>
    </w:pPr>
    <w:r w:rsidRPr="005F3FCF">
      <w:rPr>
        <w:rFonts w:ascii="Gotham Book" w:hAnsi="Gotham Book"/>
        <w:color w:val="404040"/>
        <w:sz w:val="18"/>
        <w:szCs w:val="18"/>
      </w:rPr>
      <w:t>Olene Walker Housing Loan Fund</w:t>
    </w:r>
  </w:p>
  <w:p w14:paraId="63977B19" w14:textId="77777777" w:rsidR="005F3FCF" w:rsidRPr="009161F7" w:rsidRDefault="005F3FCF" w:rsidP="005F3FCF">
    <w:pPr>
      <w:pStyle w:val="Title"/>
      <w:tabs>
        <w:tab w:val="center" w:pos="4320"/>
        <w:tab w:val="right" w:pos="8640"/>
      </w:tabs>
      <w:rPr>
        <w:rFonts w:asciiTheme="minorHAnsi" w:hAnsiTheme="minorHAnsi"/>
        <w:color w:val="404040" w:themeColor="text1" w:themeTint="BF"/>
        <w:szCs w:val="20"/>
      </w:rPr>
    </w:pPr>
    <w:r w:rsidRPr="005F3FCF">
      <w:rPr>
        <w:rFonts w:ascii="Gotham Book" w:hAnsi="Gotham Book"/>
        <w:color w:val="404040"/>
        <w:sz w:val="18"/>
        <w:szCs w:val="18"/>
      </w:rPr>
      <w:t>Utah State’s Olene Walker Housing Loan Fund is one</w:t>
    </w:r>
    <w:r w:rsidRPr="009161F7">
      <w:rPr>
        <w:rFonts w:asciiTheme="minorHAnsi" w:hAnsiTheme="minorHAnsi"/>
        <w:color w:val="404040" w:themeColor="text1" w:themeTint="BF"/>
        <w:szCs w:val="20"/>
      </w:rPr>
      <w:t xml:space="preserve"> of the largest affordable housing loan funding tools for affordable housing developers working in Salt Lake City. The loan fund is largely funded with State HOME funds </w:t>
    </w:r>
    <w:r w:rsidRPr="00266F1B">
      <w:rPr>
        <w:rFonts w:asciiTheme="minorHAnsi" w:hAnsiTheme="minorHAnsi"/>
        <w:color w:val="404040" w:themeColor="text1" w:themeTint="BF"/>
        <w:szCs w:val="20"/>
      </w:rPr>
      <w:t>($3m/yr), and State Legislative funding ($2.2m/yr).</w:t>
    </w:r>
    <w:r w:rsidRPr="009161F7">
      <w:rPr>
        <w:rFonts w:asciiTheme="minorHAnsi" w:hAnsiTheme="minorHAnsi"/>
        <w:color w:val="404040" w:themeColor="text1" w:themeTint="BF"/>
        <w:szCs w:val="20"/>
      </w:rPr>
      <w:t xml:space="preserve"> </w:t>
    </w:r>
  </w:p>
  <w:p w14:paraId="455A5076" w14:textId="77777777" w:rsidR="005F3FCF" w:rsidRPr="005F3FCF" w:rsidRDefault="005F3FCF" w:rsidP="005F3FCF">
    <w:pPr>
      <w:pStyle w:val="ListParagraph"/>
      <w:numPr>
        <w:ilvl w:val="0"/>
        <w:numId w:val="28"/>
      </w:numPr>
      <w:rPr>
        <w:rFonts w:ascii="Gotham Book" w:hAnsi="Gotham Book"/>
        <w:color w:val="404040"/>
        <w:sz w:val="18"/>
        <w:szCs w:val="18"/>
      </w:rPr>
    </w:pPr>
  </w:p>
  <w:p w14:paraId="34CDABAA" w14:textId="77777777" w:rsidR="005F3FCF" w:rsidRPr="005F3FCF" w:rsidRDefault="005F3FCF" w:rsidP="005F3FCF">
    <w:pPr>
      <w:pStyle w:val="ListParagraph"/>
      <w:numPr>
        <w:ilvl w:val="0"/>
        <w:numId w:val="28"/>
      </w:numPr>
      <w:spacing w:line="360" w:lineRule="auto"/>
      <w:rPr>
        <w:rFonts w:ascii="Gotham Book" w:hAnsi="Gotham Book"/>
        <w:color w:val="404040"/>
        <w:sz w:val="18"/>
        <w:szCs w:val="18"/>
      </w:rPr>
    </w:pPr>
    <w:r w:rsidRPr="005F3FCF">
      <w:rPr>
        <w:rFonts w:ascii="Gotham Book" w:hAnsi="Gotham Book"/>
        <w:color w:val="404040"/>
        <w:sz w:val="18"/>
        <w:szCs w:val="18"/>
      </w:rPr>
      <w:t>Industrial &amp; Commercial Bank Funding</w:t>
    </w:r>
  </w:p>
  <w:p w14:paraId="513F68B5" w14:textId="77777777" w:rsidR="005F3FCF" w:rsidRPr="009161F7" w:rsidRDefault="005F3FCF" w:rsidP="005F3FCF">
    <w:pPr>
      <w:pStyle w:val="ListParagraph"/>
      <w:numPr>
        <w:ilvl w:val="0"/>
        <w:numId w:val="28"/>
      </w:numPr>
      <w:rPr>
        <w:rFonts w:asciiTheme="minorHAnsi" w:hAnsiTheme="minorHAnsi"/>
        <w:color w:val="404040" w:themeColor="text1" w:themeTint="BF"/>
        <w:szCs w:val="20"/>
      </w:rPr>
    </w:pPr>
    <w:r w:rsidRPr="005F3FCF">
      <w:rPr>
        <w:rFonts w:ascii="Gotham Book" w:hAnsi="Gotham Book"/>
        <w:color w:val="404040"/>
        <w:sz w:val="18"/>
        <w:szCs w:val="18"/>
      </w:rPr>
      <w:t>Although we cannot estimate</w:t>
    </w:r>
    <w:r w:rsidRPr="009161F7">
      <w:rPr>
        <w:rFonts w:asciiTheme="minorHAnsi" w:hAnsiTheme="minorHAnsi"/>
        <w:color w:val="404040" w:themeColor="text1" w:themeTint="BF"/>
        <w:szCs w:val="20"/>
      </w:rPr>
      <w:t xml:space="preserve"> how much Community Reinvestment Act funding was made available locally, there are a large number of industrial and commercial banks that reside in Salt Lake City. </w:t>
    </w:r>
  </w:p>
  <w:p w14:paraId="08A0BA54" w14:textId="77777777" w:rsidR="005F3FCF" w:rsidRPr="005F3FCF" w:rsidRDefault="005F3FCF" w:rsidP="005F3FCF">
    <w:pPr>
      <w:pStyle w:val="ListParagraph"/>
      <w:numPr>
        <w:ilvl w:val="0"/>
        <w:numId w:val="28"/>
      </w:numPr>
      <w:rPr>
        <w:rFonts w:ascii="Gotham Book" w:hAnsi="Gotham Book"/>
        <w:color w:val="404040"/>
        <w:sz w:val="18"/>
        <w:szCs w:val="18"/>
      </w:rPr>
    </w:pPr>
  </w:p>
  <w:p w14:paraId="1918E270" w14:textId="77777777" w:rsidR="005F3FCF" w:rsidRPr="005F3FCF" w:rsidRDefault="005F3FCF" w:rsidP="005F3FCF">
    <w:pPr>
      <w:pStyle w:val="ListParagraph"/>
      <w:numPr>
        <w:ilvl w:val="0"/>
        <w:numId w:val="28"/>
      </w:numPr>
      <w:spacing w:line="360" w:lineRule="auto"/>
      <w:rPr>
        <w:rFonts w:ascii="Gotham Book" w:hAnsi="Gotham Book"/>
        <w:color w:val="404040"/>
        <w:sz w:val="18"/>
        <w:szCs w:val="18"/>
      </w:rPr>
    </w:pPr>
    <w:r w:rsidRPr="005F3FCF">
      <w:rPr>
        <w:rFonts w:ascii="Gotham Book" w:hAnsi="Gotham Book"/>
        <w:color w:val="404040"/>
        <w:sz w:val="18"/>
        <w:szCs w:val="18"/>
      </w:rPr>
      <w:t>Continuum of Care Funding</w:t>
    </w:r>
  </w:p>
  <w:p w14:paraId="6AB3A5D2" w14:textId="77777777" w:rsidR="005F3FCF" w:rsidRPr="009161F7" w:rsidRDefault="005F3FCF" w:rsidP="005F3FCF">
    <w:pPr>
      <w:pStyle w:val="ListParagraph"/>
      <w:numPr>
        <w:ilvl w:val="0"/>
        <w:numId w:val="28"/>
      </w:numPr>
      <w:spacing w:line="360" w:lineRule="auto"/>
      <w:rPr>
        <w:rFonts w:asciiTheme="minorHAnsi" w:hAnsiTheme="minorHAnsi"/>
        <w:color w:val="404040" w:themeColor="text1" w:themeTint="BF"/>
        <w:szCs w:val="20"/>
      </w:rPr>
    </w:pPr>
    <w:r w:rsidRPr="005F3FCF">
      <w:rPr>
        <w:rFonts w:ascii="Gotham Book" w:hAnsi="Gotham Book"/>
        <w:color w:val="404040"/>
        <w:sz w:val="18"/>
        <w:szCs w:val="18"/>
      </w:rPr>
      <w:t>Salt Lake County is responsible for coordinating the HUD CoC</w:t>
    </w:r>
    <w:r w:rsidRPr="009161F7">
      <w:rPr>
        <w:rFonts w:asciiTheme="minorHAnsi" w:hAnsiTheme="minorHAnsi" w:cs="Arial"/>
        <w:bCs/>
        <w:color w:val="333333"/>
        <w:szCs w:val="20"/>
        <w:shd w:val="clear" w:color="auto" w:fill="FFFFFF"/>
      </w:rPr>
      <w:t xml:space="preserve"> Grant Application</w:t>
    </w:r>
    <w:r w:rsidRPr="005F3FCF">
      <w:rPr>
        <w:rFonts w:asciiTheme="minorHAnsi" w:hAnsiTheme="minorHAnsi" w:cs="Arial"/>
        <w:bCs/>
        <w:color w:val="333333"/>
        <w:szCs w:val="20"/>
        <w:shd w:val="clear" w:color="auto" w:fill="FFFFFF"/>
      </w:rPr>
      <w:t> for</w:t>
    </w:r>
    <w:r w:rsidRPr="009161F7">
      <w:rPr>
        <w:rFonts w:asciiTheme="minorHAnsi" w:hAnsiTheme="minorHAnsi" w:cs="Arial"/>
        <w:color w:val="333333"/>
        <w:szCs w:val="20"/>
        <w:shd w:val="clear" w:color="auto" w:fill="FFFFFF"/>
      </w:rPr>
      <w:t xml:space="preserve"> the Salt Lake Coun</w:t>
    </w:r>
    <w:r>
      <w:rPr>
        <w:rFonts w:asciiTheme="minorHAnsi" w:hAnsiTheme="minorHAnsi" w:cs="Arial"/>
        <w:color w:val="333333"/>
        <w:szCs w:val="20"/>
        <w:shd w:val="clear" w:color="auto" w:fill="FFFFFF"/>
      </w:rPr>
      <w:t>ty Continuum of Care (UT-500). </w:t>
    </w:r>
    <w:r w:rsidRPr="009161F7">
      <w:rPr>
        <w:rFonts w:asciiTheme="minorHAnsi" w:hAnsiTheme="minorHAnsi" w:cs="Arial"/>
        <w:color w:val="333333"/>
        <w:szCs w:val="20"/>
        <w:shd w:val="clear" w:color="auto" w:fill="FFFFFF"/>
      </w:rPr>
      <w:t xml:space="preserve">This application provides </w:t>
    </w:r>
    <w:r w:rsidRPr="00266F1B">
      <w:rPr>
        <w:rFonts w:asciiTheme="minorHAnsi" w:hAnsiTheme="minorHAnsi" w:cs="Arial"/>
        <w:color w:val="333333"/>
        <w:szCs w:val="20"/>
        <w:shd w:val="clear" w:color="auto" w:fill="FFFFFF"/>
      </w:rPr>
      <w:t>approximately $7.4 million</w:t>
    </w:r>
    <w:r w:rsidRPr="009161F7">
      <w:rPr>
        <w:rFonts w:asciiTheme="minorHAnsi" w:hAnsiTheme="minorHAnsi" w:cs="Arial"/>
        <w:color w:val="333333"/>
        <w:szCs w:val="20"/>
        <w:shd w:val="clear" w:color="auto" w:fill="FFFFFF"/>
      </w:rPr>
      <w:t xml:space="preserve"> of annual funding for local homeless housing and service programs.  </w:t>
    </w:r>
  </w:p>
  <w:p w14:paraId="08ED5FE7" w14:textId="77777777" w:rsidR="005F3FCF" w:rsidRPr="005F3FCF" w:rsidRDefault="005F3FCF" w:rsidP="00B10F1E">
    <w:pPr>
      <w:spacing w:line="360" w:lineRule="auto"/>
      <w:rPr>
        <w:rFonts w:ascii="Gotham Book" w:hAnsi="Gotham Book"/>
        <w:color w:val="404040"/>
        <w:sz w:val="18"/>
        <w:szCs w:val="18"/>
      </w:rPr>
    </w:pPr>
  </w:p>
  <w:p w14:paraId="1584E900" w14:textId="77777777" w:rsidR="005F3FCF" w:rsidRPr="005F3FCF" w:rsidRDefault="005F3FCF" w:rsidP="005F3FCF">
    <w:pPr>
      <w:ind w:right="360"/>
      <w:rPr>
        <w:rFonts w:ascii="Calibri" w:hAnsi="Calibri" w:cs="Calibri"/>
        <w:color w:val="404040"/>
        <w:szCs w:val="20"/>
      </w:rPr>
    </w:pPr>
    <w:r w:rsidRPr="005F3FCF">
      <w:rPr>
        <w:rFonts w:ascii="Calibri" w:hAnsi="Calibri" w:cs="Calibri"/>
        <w:color w:val="404040"/>
        <w:szCs w:val="20"/>
      </w:rPr>
      <w:t xml:space="preserve">Foundations &amp; Other Philanthropic Partners </w:t>
    </w:r>
  </w:p>
  <w:p w14:paraId="26EB74CD" w14:textId="77777777" w:rsidR="005F3FCF" w:rsidRPr="005F3FCF" w:rsidRDefault="005F3FCF" w:rsidP="005F3FCF">
    <w:pPr>
      <w:ind w:right="360"/>
      <w:rPr>
        <w:rFonts w:ascii="Calibri" w:hAnsi="Calibri" w:cs="Calibri"/>
        <w:color w:val="404040"/>
        <w:szCs w:val="20"/>
      </w:rPr>
    </w:pPr>
    <w:r w:rsidRPr="005F3FCF">
      <w:rPr>
        <w:rFonts w:ascii="Calibri" w:hAnsi="Calibri" w:cs="Calibri"/>
        <w:color w:val="404040"/>
        <w:szCs w:val="20"/>
      </w:rPr>
      <w:t>Eleemosynary establishments and philanthropic partners make up a critical part of the funding stream used in the State of Utah. It is estimated that during the 2017-18 program year, over $25m was used to support low and moderate-income residents, with a considerable amount of the funding being used in Salt Lake City.</w:t>
    </w:r>
  </w:p>
  <w:p w14:paraId="31ECA11C" w14:textId="77777777" w:rsidR="005F3FCF" w:rsidRPr="005F3FCF" w:rsidRDefault="005F3FCF" w:rsidP="005F3FCF">
    <w:pPr>
      <w:spacing w:line="360" w:lineRule="auto"/>
      <w:ind w:right="360"/>
      <w:rPr>
        <w:rFonts w:ascii="Calibri" w:hAnsi="Calibri" w:cs="Calibri"/>
        <w:color w:val="404040"/>
        <w:szCs w:val="20"/>
      </w:rPr>
    </w:pPr>
  </w:p>
  <w:p w14:paraId="5DED7155" w14:textId="77777777" w:rsidR="005F3FCF" w:rsidRPr="006723EF" w:rsidRDefault="005F3FCF" w:rsidP="005F3FCF">
    <w:pPr>
      <w:spacing w:line="360" w:lineRule="auto"/>
      <w:ind w:right="360"/>
      <w:rPr>
        <w:rFonts w:asciiTheme="minorHAnsi" w:hAnsiTheme="minorHAnsi" w:cstheme="minorHAnsi"/>
        <w:b/>
        <w:color w:val="404040" w:themeColor="text1" w:themeTint="BF"/>
        <w:szCs w:val="20"/>
      </w:rPr>
    </w:pPr>
    <w:r w:rsidRPr="005F3FCF">
      <w:rPr>
        <w:rFonts w:ascii="Calibri" w:hAnsi="Calibri" w:cs="Calibri"/>
        <w:color w:val="404040"/>
        <w:szCs w:val="20"/>
      </w:rPr>
      <w:t>Table 5 –</w:t>
    </w:r>
    <w:r w:rsidRPr="006723EF">
      <w:rPr>
        <w:rFonts w:asciiTheme="minorHAnsi" w:hAnsiTheme="minorHAnsi" w:cstheme="minorHAnsi"/>
        <w:b/>
        <w:color w:val="404040" w:themeColor="text1" w:themeTint="BF"/>
        <w:szCs w:val="20"/>
      </w:rPr>
      <w:t xml:space="preserve"> Fiscal Year Summary – HOME Match Report </w:t>
    </w:r>
  </w:p>
  <w:tbl>
    <w:tblPr>
      <w:tblW w:w="0" w:type="auto"/>
      <w:tblInd w:w="360" w:type="dxa"/>
      <w:tblLook w:val="04A0" w:firstRow="1" w:lastRow="0" w:firstColumn="1" w:lastColumn="0" w:noHBand="0" w:noVBand="1"/>
    </w:tblPr>
    <w:tblGrid>
      <w:gridCol w:w="6608"/>
      <w:gridCol w:w="3328"/>
      <w:gridCol w:w="1530"/>
      <w:gridCol w:w="1400"/>
    </w:tblGrid>
    <w:tr w:rsidR="005F3FCF" w:rsidRPr="006723EF" w14:paraId="1CCEA1C8" w14:textId="77777777" w:rsidTr="005F3FCF">
      <w:trPr>
        <w:gridAfter w:val="3"/>
        <w:wAfter w:w="6258" w:type="dxa"/>
      </w:trPr>
      <w:tc>
        <w:tcPr>
          <w:tcW w:w="6608" w:type="dxa"/>
          <w:noWrap/>
          <w:vAlign w:val="bottom"/>
          <w:hideMark/>
        </w:tcPr>
        <w:p w14:paraId="7921B2A0" w14:textId="77777777" w:rsidR="005F3FCF" w:rsidRPr="006723EF" w:rsidRDefault="005F3FCF" w:rsidP="005F3FCF">
          <w:pPr>
            <w:pStyle w:val="Title"/>
            <w:spacing w:after="120"/>
            <w:ind w:right="360"/>
            <w:jc w:val="left"/>
            <w:rPr>
              <w:rFonts w:ascii="Calibri" w:eastAsia="Times New Roman" w:hAnsi="Calibri"/>
              <w:b/>
              <w:bCs/>
              <w:color w:val="404040"/>
              <w:szCs w:val="20"/>
            </w:rPr>
          </w:pPr>
          <w:r w:rsidRPr="005F3FCF">
            <w:rPr>
              <w:rFonts w:ascii="Gotham Book" w:hAnsi="Gotham Book"/>
              <w:b/>
              <w:color w:val="404040"/>
              <w:sz w:val="22"/>
              <w:szCs w:val="22"/>
            </w:rPr>
            <w:t xml:space="preserve">Fiscal </w:t>
          </w:r>
          <w:r w:rsidRPr="006723EF">
            <w:rPr>
              <w:rFonts w:ascii="Calibri" w:eastAsia="Times New Roman" w:hAnsi="Calibri"/>
              <w:b/>
              <w:bCs/>
              <w:color w:val="404040"/>
              <w:szCs w:val="20"/>
            </w:rPr>
            <w:t>Year Summary - HOME Match</w:t>
          </w:r>
        </w:p>
      </w:tc>
    </w:tr>
    <w:tr w:rsidR="005F3FCF" w:rsidRPr="006723EF" w14:paraId="377BBB52" w14:textId="77777777" w:rsidTr="005F3FCF">
      <w:tc>
        <w:tcPr>
          <w:tcW w:w="6608" w:type="dxa"/>
          <w:noWrap/>
          <w:vAlign w:val="bottom"/>
          <w:hideMark/>
        </w:tcPr>
        <w:p w14:paraId="3E2140A9" w14:textId="77777777" w:rsidR="005F3FCF" w:rsidRPr="005F3FCF" w:rsidRDefault="005F3FCF" w:rsidP="005F3FCF">
          <w:pPr>
            <w:pStyle w:val="Title"/>
            <w:spacing w:after="120"/>
            <w:ind w:right="360"/>
            <w:jc w:val="left"/>
            <w:rPr>
              <w:rFonts w:ascii="Gotham Book" w:hAnsi="Gotham Book"/>
              <w:b/>
              <w:color w:val="404040"/>
              <w:sz w:val="22"/>
              <w:szCs w:val="22"/>
            </w:rPr>
          </w:pPr>
          <w:r w:rsidRPr="005F3FCF">
            <w:rPr>
              <w:rFonts w:ascii="Gotham Book" w:hAnsi="Gotham Book"/>
              <w:b/>
              <w:color w:val="404040"/>
              <w:sz w:val="22"/>
              <w:szCs w:val="22"/>
            </w:rPr>
            <w:t>1</w:t>
          </w:r>
        </w:p>
      </w:tc>
      <w:tc>
        <w:tcPr>
          <w:tcW w:w="3328" w:type="dxa"/>
          <w:noWrap/>
          <w:vAlign w:val="bottom"/>
          <w:hideMark/>
        </w:tcPr>
        <w:p w14:paraId="1CBA666B" w14:textId="77777777" w:rsidR="005F3FCF" w:rsidRPr="006723EF" w:rsidRDefault="005F3FCF" w:rsidP="005F3FCF">
          <w:pPr>
            <w:pStyle w:val="Title"/>
            <w:spacing w:after="120"/>
            <w:ind w:right="360"/>
            <w:rPr>
              <w:rFonts w:ascii="Calibri" w:eastAsia="Times New Roman" w:hAnsi="Calibri"/>
              <w:color w:val="404040"/>
              <w:szCs w:val="20"/>
            </w:rPr>
          </w:pPr>
          <w:r w:rsidRPr="005F3FCF">
            <w:rPr>
              <w:rFonts w:ascii="Gotham Book" w:hAnsi="Gotham Book"/>
              <w:b/>
              <w:color w:val="404040"/>
              <w:sz w:val="22"/>
              <w:szCs w:val="22"/>
            </w:rPr>
            <w:t>Excess match</w:t>
          </w:r>
          <w:r w:rsidRPr="006723EF">
            <w:rPr>
              <w:rFonts w:ascii="Calibri" w:eastAsia="Times New Roman" w:hAnsi="Calibri"/>
              <w:color w:val="404040"/>
              <w:szCs w:val="20"/>
            </w:rPr>
            <w:t xml:space="preserve"> from prior Federal fiscal year</w:t>
          </w:r>
        </w:p>
      </w:tc>
      <w:tc>
        <w:tcPr>
          <w:tcW w:w="1530" w:type="dxa"/>
          <w:tcBorders>
            <w:top w:val="nil"/>
            <w:left w:val="nil"/>
            <w:bottom w:val="single" w:sz="4" w:space="0" w:color="auto"/>
            <w:right w:val="single" w:sz="4" w:space="0" w:color="auto"/>
          </w:tcBorders>
          <w:shd w:val="clear" w:color="auto" w:fill="auto"/>
          <w:noWrap/>
          <w:vAlign w:val="bottom"/>
          <w:hideMark/>
        </w:tcPr>
        <w:p w14:paraId="35F7D43D" w14:textId="77777777" w:rsidR="005F3FCF" w:rsidRPr="0058335F" w:rsidRDefault="005F3FCF" w:rsidP="00816745">
          <w:pPr>
            <w:rPr>
              <w:rFonts w:ascii="Calibri" w:eastAsia="Times New Roman" w:hAnsi="Calibri"/>
              <w:color w:val="404040"/>
              <w:szCs w:val="20"/>
              <w:highlight w:val="yellow"/>
            </w:rPr>
          </w:pPr>
          <w:r w:rsidRPr="00DA7248">
            <w:rPr>
              <w:rFonts w:ascii="Calibri" w:eastAsia="Times New Roman" w:hAnsi="Calibri"/>
              <w:color w:val="404040"/>
              <w:szCs w:val="20"/>
            </w:rPr>
            <w:t xml:space="preserve"> $   47,328</w:t>
          </w:r>
        </w:p>
      </w:tc>
      <w:tc>
        <w:tcPr>
          <w:tcW w:w="1400" w:type="dxa"/>
          <w:tcBorders>
            <w:top w:val="nil"/>
            <w:left w:val="nil"/>
            <w:bottom w:val="single" w:sz="4" w:space="0" w:color="auto"/>
            <w:right w:val="single" w:sz="4" w:space="0" w:color="auto"/>
          </w:tcBorders>
          <w:shd w:val="clear" w:color="000000" w:fill="D9D9D9"/>
          <w:noWrap/>
          <w:vAlign w:val="bottom"/>
          <w:hideMark/>
        </w:tcPr>
        <w:p w14:paraId="7F95F8EE" w14:textId="77777777" w:rsidR="005F3FCF" w:rsidRPr="006723EF" w:rsidRDefault="005F3FCF" w:rsidP="00816745">
          <w:pPr>
            <w:rPr>
              <w:rFonts w:ascii="Calibri" w:eastAsia="Times New Roman" w:hAnsi="Calibri"/>
              <w:color w:val="404040"/>
              <w:szCs w:val="20"/>
            </w:rPr>
          </w:pPr>
          <w:r>
            <w:rPr>
              <w:rFonts w:ascii="Calibri" w:eastAsia="Times New Roman" w:hAnsi="Calibri"/>
              <w:color w:val="404040"/>
              <w:szCs w:val="20"/>
            </w:rPr>
            <w:t> </w:t>
          </w:r>
        </w:p>
      </w:tc>
    </w:tr>
    <w:tr w:rsidR="005F3FCF" w:rsidRPr="006723EF" w14:paraId="66EB3EEC" w14:textId="77777777" w:rsidTr="005F3FCF">
      <w:tc>
        <w:tcPr>
          <w:tcW w:w="6608" w:type="dxa"/>
          <w:noWrap/>
          <w:vAlign w:val="bottom"/>
          <w:hideMark/>
        </w:tcPr>
        <w:p w14:paraId="20CE122E" w14:textId="77777777" w:rsidR="005F3FCF" w:rsidRPr="005F3FCF" w:rsidRDefault="005F3FCF" w:rsidP="005F3FCF">
          <w:pPr>
            <w:pStyle w:val="Title"/>
            <w:spacing w:after="120"/>
            <w:ind w:right="360"/>
            <w:jc w:val="left"/>
            <w:rPr>
              <w:rFonts w:ascii="Gotham Book" w:hAnsi="Gotham Book"/>
              <w:b/>
              <w:color w:val="404040"/>
              <w:sz w:val="22"/>
              <w:szCs w:val="22"/>
            </w:rPr>
          </w:pPr>
          <w:r w:rsidRPr="005F3FCF">
            <w:rPr>
              <w:rFonts w:ascii="Gotham Book" w:hAnsi="Gotham Book"/>
              <w:b/>
              <w:color w:val="404040"/>
              <w:sz w:val="22"/>
              <w:szCs w:val="22"/>
            </w:rPr>
            <w:t>2</w:t>
          </w:r>
        </w:p>
      </w:tc>
      <w:tc>
        <w:tcPr>
          <w:tcW w:w="3328" w:type="dxa"/>
          <w:noWrap/>
          <w:vAlign w:val="bottom"/>
          <w:hideMark/>
        </w:tcPr>
        <w:p w14:paraId="1C9C3CF0" w14:textId="77777777" w:rsidR="005F3FCF" w:rsidRPr="006723EF" w:rsidRDefault="005F3FCF" w:rsidP="005F3FCF">
          <w:pPr>
            <w:pStyle w:val="Title"/>
            <w:spacing w:after="120"/>
            <w:ind w:right="360"/>
            <w:rPr>
              <w:rFonts w:ascii="Calibri" w:eastAsia="Times New Roman" w:hAnsi="Calibri"/>
              <w:color w:val="404040"/>
              <w:szCs w:val="20"/>
            </w:rPr>
          </w:pPr>
          <w:r w:rsidRPr="005F3FCF">
            <w:rPr>
              <w:rFonts w:ascii="Gotham Book" w:hAnsi="Gotham Book"/>
              <w:b/>
              <w:color w:val="404040"/>
              <w:sz w:val="22"/>
              <w:szCs w:val="22"/>
            </w:rPr>
            <w:t>Match contributed</w:t>
          </w:r>
          <w:r w:rsidRPr="006723EF">
            <w:rPr>
              <w:rFonts w:ascii="Calibri" w:eastAsia="Times New Roman" w:hAnsi="Calibri"/>
              <w:color w:val="404040"/>
              <w:szCs w:val="20"/>
            </w:rPr>
            <w:t xml:space="preserve"> during current Federal fiscal year</w:t>
          </w:r>
        </w:p>
      </w:tc>
      <w:tc>
        <w:tcPr>
          <w:tcW w:w="1530" w:type="dxa"/>
          <w:tcBorders>
            <w:top w:val="nil"/>
            <w:left w:val="nil"/>
            <w:bottom w:val="single" w:sz="4" w:space="0" w:color="auto"/>
            <w:right w:val="single" w:sz="4" w:space="0" w:color="auto"/>
          </w:tcBorders>
          <w:shd w:val="clear" w:color="auto" w:fill="auto"/>
          <w:noWrap/>
          <w:vAlign w:val="bottom"/>
          <w:hideMark/>
        </w:tcPr>
        <w:p w14:paraId="30DA8EF1" w14:textId="77777777" w:rsidR="005F3FCF" w:rsidRPr="001A7496" w:rsidRDefault="005F3FCF" w:rsidP="001A7496">
          <w:pPr>
            <w:rPr>
              <w:rFonts w:ascii="Calibri" w:eastAsia="Times New Roman" w:hAnsi="Calibri"/>
              <w:color w:val="404040"/>
              <w:szCs w:val="20"/>
            </w:rPr>
          </w:pPr>
          <w:r w:rsidRPr="001A7496">
            <w:rPr>
              <w:rFonts w:ascii="Calibri" w:eastAsia="Times New Roman" w:hAnsi="Calibri"/>
              <w:color w:val="404040"/>
              <w:szCs w:val="20"/>
            </w:rPr>
            <w:t xml:space="preserve"> $  </w:t>
          </w:r>
          <w:r>
            <w:rPr>
              <w:rFonts w:ascii="Calibri" w:eastAsia="Times New Roman" w:hAnsi="Calibri"/>
              <w:color w:val="404040"/>
              <w:szCs w:val="20"/>
            </w:rPr>
            <w:t>550</w:t>
          </w:r>
          <w:r w:rsidRPr="001A7496">
            <w:rPr>
              <w:rFonts w:ascii="Calibri" w:eastAsia="Times New Roman" w:hAnsi="Calibri"/>
              <w:color w:val="404040"/>
              <w:szCs w:val="20"/>
            </w:rPr>
            <w:t>,000</w:t>
          </w:r>
        </w:p>
      </w:tc>
      <w:tc>
        <w:tcPr>
          <w:tcW w:w="1400" w:type="dxa"/>
          <w:tcBorders>
            <w:top w:val="nil"/>
            <w:left w:val="nil"/>
            <w:bottom w:val="single" w:sz="4" w:space="0" w:color="auto"/>
            <w:right w:val="single" w:sz="4" w:space="0" w:color="auto"/>
          </w:tcBorders>
          <w:shd w:val="clear" w:color="000000" w:fill="D9D9D9"/>
          <w:noWrap/>
          <w:vAlign w:val="bottom"/>
          <w:hideMark/>
        </w:tcPr>
        <w:p w14:paraId="4BAA7F87" w14:textId="77777777" w:rsidR="005F3FCF" w:rsidRPr="001A7496" w:rsidRDefault="005F3FCF" w:rsidP="00816745">
          <w:pPr>
            <w:rPr>
              <w:rFonts w:ascii="Calibri" w:eastAsia="Times New Roman" w:hAnsi="Calibri"/>
              <w:color w:val="404040"/>
              <w:szCs w:val="20"/>
            </w:rPr>
          </w:pPr>
          <w:r w:rsidRPr="001A7496">
            <w:rPr>
              <w:rFonts w:ascii="Calibri" w:eastAsia="Times New Roman" w:hAnsi="Calibri"/>
              <w:color w:val="404040"/>
              <w:szCs w:val="20"/>
            </w:rPr>
            <w:t> </w:t>
          </w:r>
        </w:p>
      </w:tc>
    </w:tr>
    <w:tr w:rsidR="005F3FCF" w:rsidRPr="006723EF" w14:paraId="55513A83" w14:textId="77777777" w:rsidTr="005F3FCF">
      <w:tc>
        <w:tcPr>
          <w:tcW w:w="6608" w:type="dxa"/>
          <w:noWrap/>
          <w:vAlign w:val="bottom"/>
          <w:hideMark/>
        </w:tcPr>
        <w:p w14:paraId="69D9DE9D" w14:textId="77777777" w:rsidR="005F3FCF" w:rsidRPr="005F3FCF" w:rsidRDefault="005F3FCF" w:rsidP="005F3FCF">
          <w:pPr>
            <w:pStyle w:val="Title"/>
            <w:spacing w:after="120"/>
            <w:ind w:right="360"/>
            <w:jc w:val="left"/>
            <w:rPr>
              <w:rFonts w:ascii="Gotham Book" w:hAnsi="Gotham Book"/>
              <w:b/>
              <w:color w:val="404040"/>
              <w:sz w:val="22"/>
              <w:szCs w:val="22"/>
            </w:rPr>
          </w:pPr>
          <w:r w:rsidRPr="005F3FCF">
            <w:rPr>
              <w:rFonts w:ascii="Gotham Book" w:hAnsi="Gotham Book"/>
              <w:b/>
              <w:color w:val="404040"/>
              <w:sz w:val="22"/>
              <w:szCs w:val="22"/>
            </w:rPr>
            <w:t>3</w:t>
          </w:r>
        </w:p>
      </w:tc>
      <w:tc>
        <w:tcPr>
          <w:tcW w:w="3328" w:type="dxa"/>
          <w:noWrap/>
          <w:vAlign w:val="bottom"/>
          <w:hideMark/>
        </w:tcPr>
        <w:p w14:paraId="663E290A" w14:textId="77777777" w:rsidR="005F3FCF" w:rsidRPr="006723EF" w:rsidRDefault="005F3FCF" w:rsidP="005F3FCF">
          <w:pPr>
            <w:pStyle w:val="Title"/>
            <w:spacing w:after="120"/>
            <w:ind w:right="360"/>
            <w:rPr>
              <w:rFonts w:ascii="Calibri" w:eastAsia="Times New Roman" w:hAnsi="Calibri"/>
              <w:color w:val="404040"/>
              <w:szCs w:val="20"/>
            </w:rPr>
          </w:pPr>
          <w:r w:rsidRPr="005F3FCF">
            <w:rPr>
              <w:rFonts w:ascii="Gotham Book" w:hAnsi="Gotham Book"/>
              <w:b/>
              <w:color w:val="404040"/>
              <w:sz w:val="22"/>
              <w:szCs w:val="22"/>
            </w:rPr>
            <w:t>Total match</w:t>
          </w:r>
          <w:r w:rsidRPr="006723EF">
            <w:rPr>
              <w:rFonts w:ascii="Calibri" w:eastAsia="Times New Roman" w:hAnsi="Calibri"/>
              <w:color w:val="404040"/>
              <w:szCs w:val="20"/>
            </w:rPr>
            <w:t xml:space="preserve"> available for current Federal fiscal year (Line 1 plus Line 2)</w:t>
          </w:r>
        </w:p>
      </w:tc>
      <w:tc>
        <w:tcPr>
          <w:tcW w:w="1530" w:type="dxa"/>
          <w:tcBorders>
            <w:top w:val="nil"/>
            <w:left w:val="nil"/>
            <w:bottom w:val="single" w:sz="4" w:space="0" w:color="auto"/>
            <w:right w:val="single" w:sz="4" w:space="0" w:color="auto"/>
          </w:tcBorders>
          <w:shd w:val="clear" w:color="000000" w:fill="D9D9D9"/>
          <w:noWrap/>
          <w:vAlign w:val="bottom"/>
          <w:hideMark/>
        </w:tcPr>
        <w:p w14:paraId="79B95612" w14:textId="77777777" w:rsidR="005F3FCF" w:rsidRPr="001A7496" w:rsidRDefault="005F3FCF" w:rsidP="00816745">
          <w:pPr>
            <w:rPr>
              <w:rFonts w:ascii="Calibri" w:eastAsia="Times New Roman" w:hAnsi="Calibri"/>
              <w:color w:val="404040"/>
              <w:szCs w:val="20"/>
            </w:rPr>
          </w:pPr>
          <w:r w:rsidRPr="001A7496">
            <w:rPr>
              <w:rFonts w:ascii="Calibri" w:eastAsia="Times New Roman" w:hAnsi="Calibri"/>
              <w:color w:val="404040"/>
              <w:szCs w:val="20"/>
            </w:rPr>
            <w:t> </w:t>
          </w:r>
        </w:p>
      </w:tc>
      <w:tc>
        <w:tcPr>
          <w:tcW w:w="1400" w:type="dxa"/>
          <w:tcBorders>
            <w:top w:val="nil"/>
            <w:left w:val="nil"/>
            <w:bottom w:val="single" w:sz="4" w:space="0" w:color="auto"/>
            <w:right w:val="single" w:sz="4" w:space="0" w:color="auto"/>
          </w:tcBorders>
          <w:shd w:val="clear" w:color="auto" w:fill="auto"/>
          <w:noWrap/>
          <w:vAlign w:val="bottom"/>
          <w:hideMark/>
        </w:tcPr>
        <w:p w14:paraId="5627F0E4" w14:textId="77777777" w:rsidR="005F3FCF" w:rsidRPr="001A7496" w:rsidRDefault="005F3FCF" w:rsidP="001A7496">
          <w:pPr>
            <w:rPr>
              <w:rFonts w:ascii="Calibri" w:eastAsia="Times New Roman" w:hAnsi="Calibri"/>
              <w:color w:val="404040"/>
              <w:szCs w:val="20"/>
            </w:rPr>
          </w:pPr>
          <w:r w:rsidRPr="001A7496">
            <w:rPr>
              <w:rFonts w:ascii="Calibri" w:eastAsia="Times New Roman" w:hAnsi="Calibri"/>
              <w:color w:val="404040"/>
              <w:szCs w:val="20"/>
            </w:rPr>
            <w:t xml:space="preserve"> $ </w:t>
          </w:r>
          <w:r>
            <w:rPr>
              <w:rFonts w:ascii="Calibri" w:eastAsia="Times New Roman" w:hAnsi="Calibri"/>
              <w:color w:val="404040"/>
              <w:szCs w:val="20"/>
            </w:rPr>
            <w:t>597,328</w:t>
          </w:r>
          <w:r w:rsidRPr="001A7496">
            <w:rPr>
              <w:rFonts w:ascii="Calibri" w:eastAsia="Times New Roman" w:hAnsi="Calibri"/>
              <w:color w:val="404040"/>
              <w:szCs w:val="20"/>
            </w:rPr>
            <w:t xml:space="preserve"> </w:t>
          </w:r>
        </w:p>
      </w:tc>
    </w:tr>
    <w:tr w:rsidR="005F3FCF" w:rsidRPr="006723EF" w14:paraId="4299C505" w14:textId="77777777" w:rsidTr="005F3FCF">
      <w:tc>
        <w:tcPr>
          <w:tcW w:w="6608" w:type="dxa"/>
          <w:noWrap/>
          <w:vAlign w:val="bottom"/>
          <w:hideMark/>
        </w:tcPr>
        <w:p w14:paraId="283E8BB5" w14:textId="77777777" w:rsidR="005F3FCF" w:rsidRPr="005F3FCF" w:rsidRDefault="005F3FCF" w:rsidP="005F3FCF">
          <w:pPr>
            <w:pStyle w:val="Title"/>
            <w:spacing w:after="120"/>
            <w:ind w:right="360"/>
            <w:jc w:val="left"/>
            <w:rPr>
              <w:rFonts w:ascii="Gotham Book" w:hAnsi="Gotham Book"/>
              <w:b/>
              <w:color w:val="404040"/>
              <w:sz w:val="22"/>
              <w:szCs w:val="22"/>
            </w:rPr>
          </w:pPr>
          <w:r w:rsidRPr="005F3FCF">
            <w:rPr>
              <w:rFonts w:ascii="Gotham Book" w:hAnsi="Gotham Book"/>
              <w:b/>
              <w:color w:val="404040"/>
              <w:sz w:val="22"/>
              <w:szCs w:val="22"/>
            </w:rPr>
            <w:t>4</w:t>
          </w:r>
        </w:p>
      </w:tc>
      <w:tc>
        <w:tcPr>
          <w:tcW w:w="3328" w:type="dxa"/>
          <w:noWrap/>
          <w:vAlign w:val="bottom"/>
          <w:hideMark/>
        </w:tcPr>
        <w:p w14:paraId="0282699D" w14:textId="77777777" w:rsidR="005F3FCF" w:rsidRPr="006723EF" w:rsidRDefault="005F3FCF" w:rsidP="005F3FCF">
          <w:pPr>
            <w:pStyle w:val="Title"/>
            <w:spacing w:after="120"/>
            <w:ind w:right="360"/>
            <w:rPr>
              <w:rFonts w:ascii="Calibri" w:eastAsia="Times New Roman" w:hAnsi="Calibri"/>
              <w:color w:val="404040"/>
              <w:szCs w:val="20"/>
            </w:rPr>
          </w:pPr>
          <w:r w:rsidRPr="005F3FCF">
            <w:rPr>
              <w:rFonts w:ascii="Gotham Book" w:hAnsi="Gotham Book"/>
              <w:b/>
              <w:color w:val="404040"/>
              <w:sz w:val="22"/>
              <w:szCs w:val="22"/>
            </w:rPr>
            <w:t>Match liability</w:t>
          </w:r>
          <w:r w:rsidRPr="006723EF">
            <w:rPr>
              <w:rFonts w:ascii="Calibri" w:eastAsia="Times New Roman" w:hAnsi="Calibri"/>
              <w:color w:val="404040"/>
              <w:szCs w:val="20"/>
            </w:rPr>
            <w:t xml:space="preserve"> for current Federal fiscal year</w:t>
          </w:r>
        </w:p>
      </w:tc>
      <w:tc>
        <w:tcPr>
          <w:tcW w:w="1530" w:type="dxa"/>
          <w:tcBorders>
            <w:top w:val="nil"/>
            <w:left w:val="nil"/>
            <w:bottom w:val="single" w:sz="4" w:space="0" w:color="auto"/>
            <w:right w:val="single" w:sz="4" w:space="0" w:color="auto"/>
          </w:tcBorders>
          <w:shd w:val="clear" w:color="000000" w:fill="D9D9D9"/>
          <w:noWrap/>
          <w:vAlign w:val="bottom"/>
          <w:hideMark/>
        </w:tcPr>
        <w:p w14:paraId="601A4AC1" w14:textId="77777777" w:rsidR="005F3FCF" w:rsidRPr="001A7496" w:rsidRDefault="005F3FCF" w:rsidP="00816745">
          <w:pPr>
            <w:rPr>
              <w:rFonts w:ascii="Calibri" w:eastAsia="Times New Roman" w:hAnsi="Calibri"/>
              <w:color w:val="404040"/>
              <w:szCs w:val="20"/>
            </w:rPr>
          </w:pPr>
          <w:r w:rsidRPr="001A7496">
            <w:rPr>
              <w:rFonts w:ascii="Calibri" w:eastAsia="Times New Roman" w:hAnsi="Calibri"/>
              <w:color w:val="404040"/>
              <w:szCs w:val="20"/>
            </w:rPr>
            <w:t> </w:t>
          </w:r>
        </w:p>
      </w:tc>
      <w:tc>
        <w:tcPr>
          <w:tcW w:w="1400" w:type="dxa"/>
          <w:tcBorders>
            <w:top w:val="nil"/>
            <w:left w:val="nil"/>
            <w:bottom w:val="single" w:sz="4" w:space="0" w:color="auto"/>
            <w:right w:val="single" w:sz="4" w:space="0" w:color="auto"/>
          </w:tcBorders>
          <w:shd w:val="clear" w:color="auto" w:fill="auto"/>
          <w:noWrap/>
          <w:vAlign w:val="bottom"/>
          <w:hideMark/>
        </w:tcPr>
        <w:p w14:paraId="6BB2BA16" w14:textId="77777777" w:rsidR="005F3FCF" w:rsidRPr="001A7496" w:rsidRDefault="005F3FCF" w:rsidP="00816745">
          <w:pPr>
            <w:rPr>
              <w:rFonts w:ascii="Calibri" w:eastAsia="Times New Roman" w:hAnsi="Calibri"/>
              <w:color w:val="404040"/>
              <w:szCs w:val="20"/>
            </w:rPr>
          </w:pPr>
          <w:r w:rsidRPr="001A7496">
            <w:rPr>
              <w:rFonts w:ascii="Calibri" w:eastAsia="Times New Roman" w:hAnsi="Calibri"/>
              <w:color w:val="404040"/>
              <w:szCs w:val="20"/>
            </w:rPr>
            <w:t xml:space="preserve"> $ 58,523</w:t>
          </w:r>
        </w:p>
      </w:tc>
    </w:tr>
    <w:tr w:rsidR="005F3FCF" w:rsidRPr="006723EF" w14:paraId="3D606819" w14:textId="77777777" w:rsidTr="005F3FCF">
      <w:tc>
        <w:tcPr>
          <w:tcW w:w="6608" w:type="dxa"/>
          <w:noWrap/>
          <w:vAlign w:val="bottom"/>
          <w:hideMark/>
        </w:tcPr>
        <w:p w14:paraId="2028215E" w14:textId="77777777" w:rsidR="005F3FCF" w:rsidRPr="005F3FCF" w:rsidRDefault="005F3FCF" w:rsidP="005F3FCF">
          <w:pPr>
            <w:pStyle w:val="Title"/>
            <w:spacing w:after="120"/>
            <w:ind w:right="360"/>
            <w:jc w:val="left"/>
            <w:rPr>
              <w:rFonts w:ascii="Gotham Book" w:hAnsi="Gotham Book"/>
              <w:b/>
              <w:color w:val="404040"/>
              <w:sz w:val="22"/>
              <w:szCs w:val="22"/>
            </w:rPr>
          </w:pPr>
          <w:r w:rsidRPr="005F3FCF">
            <w:rPr>
              <w:rFonts w:ascii="Gotham Book" w:hAnsi="Gotham Book"/>
              <w:b/>
              <w:color w:val="404040"/>
              <w:sz w:val="22"/>
              <w:szCs w:val="22"/>
            </w:rPr>
            <w:t>5</w:t>
          </w:r>
        </w:p>
      </w:tc>
      <w:tc>
        <w:tcPr>
          <w:tcW w:w="3328" w:type="dxa"/>
          <w:noWrap/>
          <w:vAlign w:val="bottom"/>
          <w:hideMark/>
        </w:tcPr>
        <w:p w14:paraId="3E94D0BD" w14:textId="77777777" w:rsidR="005F3FCF" w:rsidRPr="006723EF" w:rsidRDefault="005F3FCF" w:rsidP="005F3FCF">
          <w:pPr>
            <w:pStyle w:val="Title"/>
            <w:spacing w:after="120"/>
            <w:ind w:right="360"/>
            <w:rPr>
              <w:rFonts w:ascii="Calibri" w:eastAsia="Times New Roman" w:hAnsi="Calibri"/>
              <w:color w:val="404040"/>
              <w:szCs w:val="20"/>
            </w:rPr>
          </w:pPr>
          <w:r w:rsidRPr="005F3FCF">
            <w:rPr>
              <w:rFonts w:ascii="Gotham Book" w:hAnsi="Gotham Book"/>
              <w:b/>
              <w:color w:val="404040"/>
              <w:sz w:val="22"/>
              <w:szCs w:val="22"/>
            </w:rPr>
            <w:t>Excess match</w:t>
          </w:r>
          <w:r w:rsidRPr="006723EF">
            <w:rPr>
              <w:rFonts w:ascii="Calibri" w:eastAsia="Times New Roman" w:hAnsi="Calibri"/>
              <w:color w:val="404040"/>
              <w:szCs w:val="20"/>
            </w:rPr>
            <w:t xml:space="preserve"> carried over to next Federal fiscal year (Line 3 minus Line 4)</w:t>
          </w:r>
        </w:p>
      </w:tc>
      <w:tc>
        <w:tcPr>
          <w:tcW w:w="1530" w:type="dxa"/>
          <w:tcBorders>
            <w:top w:val="nil"/>
            <w:left w:val="nil"/>
            <w:bottom w:val="single" w:sz="4" w:space="0" w:color="auto"/>
            <w:right w:val="single" w:sz="4" w:space="0" w:color="auto"/>
          </w:tcBorders>
          <w:shd w:val="clear" w:color="000000" w:fill="D9D9D9"/>
          <w:noWrap/>
          <w:vAlign w:val="bottom"/>
          <w:hideMark/>
        </w:tcPr>
        <w:p w14:paraId="6E18C856" w14:textId="77777777" w:rsidR="005F3FCF" w:rsidRPr="001A7496" w:rsidRDefault="005F3FCF" w:rsidP="00816745">
          <w:pPr>
            <w:rPr>
              <w:rFonts w:ascii="Calibri" w:eastAsia="Times New Roman" w:hAnsi="Calibri"/>
              <w:color w:val="404040"/>
              <w:szCs w:val="20"/>
            </w:rPr>
          </w:pPr>
          <w:r w:rsidRPr="001A7496">
            <w:rPr>
              <w:rFonts w:ascii="Calibri" w:eastAsia="Times New Roman" w:hAnsi="Calibri"/>
              <w:color w:val="404040"/>
              <w:szCs w:val="20"/>
            </w:rPr>
            <w:t> </w:t>
          </w:r>
        </w:p>
      </w:tc>
      <w:tc>
        <w:tcPr>
          <w:tcW w:w="1400" w:type="dxa"/>
          <w:tcBorders>
            <w:top w:val="nil"/>
            <w:left w:val="nil"/>
            <w:bottom w:val="single" w:sz="4" w:space="0" w:color="auto"/>
            <w:right w:val="single" w:sz="4" w:space="0" w:color="auto"/>
          </w:tcBorders>
          <w:shd w:val="clear" w:color="auto" w:fill="auto"/>
          <w:noWrap/>
          <w:vAlign w:val="bottom"/>
          <w:hideMark/>
        </w:tcPr>
        <w:p w14:paraId="47CA77BD" w14:textId="77777777" w:rsidR="005F3FCF" w:rsidRPr="001A7496" w:rsidRDefault="005F3FCF" w:rsidP="001A7496">
          <w:pPr>
            <w:rPr>
              <w:rFonts w:ascii="Calibri" w:eastAsia="Times New Roman" w:hAnsi="Calibri"/>
              <w:color w:val="404040"/>
              <w:szCs w:val="20"/>
            </w:rPr>
          </w:pPr>
          <w:r w:rsidRPr="001A7496">
            <w:rPr>
              <w:rFonts w:ascii="Calibri" w:eastAsia="Times New Roman" w:hAnsi="Calibri"/>
              <w:color w:val="404040"/>
              <w:szCs w:val="20"/>
            </w:rPr>
            <w:t xml:space="preserve"> $ </w:t>
          </w:r>
          <w:r>
            <w:rPr>
              <w:rFonts w:ascii="Calibri" w:eastAsia="Times New Roman" w:hAnsi="Calibri"/>
              <w:color w:val="404040"/>
              <w:szCs w:val="20"/>
            </w:rPr>
            <w:t>538,805</w:t>
          </w:r>
        </w:p>
      </w:tc>
    </w:tr>
  </w:tbl>
  <w:p w14:paraId="36866A23" w14:textId="77777777" w:rsidR="005F3FCF" w:rsidRPr="005F3FCF" w:rsidRDefault="005F3FCF" w:rsidP="005F3FCF">
    <w:pPr>
      <w:pStyle w:val="Title"/>
      <w:spacing w:after="120"/>
      <w:ind w:left="360"/>
      <w:rPr>
        <w:rFonts w:ascii="Gotham Book" w:hAnsi="Gotham Book"/>
        <w:color w:val="404040"/>
        <w:sz w:val="22"/>
        <w:szCs w:val="22"/>
      </w:rPr>
    </w:pPr>
  </w:p>
  <w:p w14:paraId="5DA29F7F" w14:textId="77777777" w:rsidR="005F3FCF" w:rsidRPr="005F3FCF" w:rsidRDefault="005F3FCF" w:rsidP="005F3FCF">
    <w:pPr>
      <w:pStyle w:val="Title"/>
      <w:spacing w:after="120"/>
      <w:ind w:left="360"/>
      <w:rPr>
        <w:rFonts w:ascii="Gotham Book" w:hAnsi="Gotham Book"/>
        <w:color w:val="404040"/>
        <w:sz w:val="22"/>
        <w:szCs w:val="22"/>
      </w:rPr>
    </w:pPr>
  </w:p>
  <w:p w14:paraId="42CDC2B9" w14:textId="77777777" w:rsidR="005F3FCF" w:rsidRPr="005F3FCF" w:rsidRDefault="005F3FCF" w:rsidP="005F3FCF">
    <w:pPr>
      <w:pStyle w:val="Title"/>
      <w:spacing w:after="120"/>
      <w:rPr>
        <w:rFonts w:ascii="Gotham Book" w:hAnsi="Gotham Book"/>
        <w:b/>
        <w:color w:val="323E4F"/>
        <w:sz w:val="24"/>
      </w:rPr>
    </w:pPr>
  </w:p>
  <w:p w14:paraId="6AB40926" w14:textId="77777777" w:rsidR="005F3FCF" w:rsidRPr="005F3FCF" w:rsidRDefault="005F3FCF" w:rsidP="005F3FCF">
    <w:pPr>
      <w:pStyle w:val="Title"/>
      <w:spacing w:after="120"/>
      <w:ind w:left="360"/>
      <w:rPr>
        <w:rFonts w:ascii="Calibri" w:hAnsi="Calibri" w:cs="Calibri"/>
        <w:i/>
        <w:color w:val="44546A"/>
        <w:sz w:val="18"/>
        <w:szCs w:val="18"/>
      </w:rPr>
    </w:pPr>
    <w:r w:rsidRPr="005F3FCF">
      <w:rPr>
        <w:rFonts w:ascii="Gotham Book" w:hAnsi="Gotham Book"/>
        <w:b/>
        <w:color w:val="323E4F"/>
        <w:sz w:val="24"/>
      </w:rPr>
      <w:t>Table</w:t>
    </w:r>
    <w:r w:rsidRPr="005F3FCF">
      <w:rPr>
        <w:rFonts w:ascii="Calibri" w:hAnsi="Calibri" w:cs="Calibri"/>
        <w:b/>
        <w:color w:val="44546A"/>
        <w:sz w:val="24"/>
      </w:rPr>
      <w:t xml:space="preserve"> 6 – Match Contribution for the</w:t>
    </w:r>
    <w:r w:rsidRPr="005F3FCF">
      <w:rPr>
        <w:rFonts w:ascii="Calibri" w:hAnsi="Calibri" w:cs="Calibri"/>
        <w:i/>
        <w:color w:val="44546A"/>
        <w:sz w:val="18"/>
        <w:szCs w:val="18"/>
      </w:rPr>
      <w:t xml:space="preserve"> Federal Fiscal Year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8"/>
      <w:gridCol w:w="3328"/>
    </w:tblGrid>
    <w:tr w:rsidR="005F3FCF" w:rsidRPr="006723EF" w14:paraId="1C7B24FC" w14:textId="77777777" w:rsidTr="005F3FCF">
      <w:trPr>
        <w:gridAfter w:val="1"/>
        <w:wAfter w:w="3328" w:type="dxa"/>
      </w:trPr>
      <w:tc>
        <w:tcPr>
          <w:tcW w:w="6608" w:type="dxa"/>
          <w:noWrap/>
          <w:vAlign w:val="bottom"/>
          <w:hideMark/>
        </w:tcPr>
        <w:p w14:paraId="17CFDDC2" w14:textId="77777777" w:rsidR="005F3FCF" w:rsidRPr="006723EF" w:rsidRDefault="005F3FCF" w:rsidP="005F3FCF">
          <w:pPr>
            <w:pStyle w:val="Title"/>
            <w:spacing w:after="120"/>
            <w:ind w:right="360"/>
            <w:jc w:val="left"/>
            <w:rPr>
              <w:rFonts w:ascii="Calibri" w:eastAsia="Times New Roman" w:hAnsi="Calibri"/>
              <w:b/>
              <w:bCs/>
              <w:color w:val="404040"/>
              <w:szCs w:val="20"/>
            </w:rPr>
          </w:pPr>
          <w:r w:rsidRPr="005F3FCF">
            <w:rPr>
              <w:rFonts w:ascii="Gotham Book" w:hAnsi="Gotham Book"/>
              <w:b/>
              <w:color w:val="404040"/>
              <w:sz w:val="22"/>
              <w:szCs w:val="22"/>
            </w:rPr>
            <w:t xml:space="preserve">Match </w:t>
          </w:r>
          <w:r w:rsidRPr="006723EF">
            <w:rPr>
              <w:rFonts w:ascii="Calibri" w:eastAsia="Times New Roman" w:hAnsi="Calibri"/>
              <w:b/>
              <w:bCs/>
              <w:color w:val="404040"/>
              <w:szCs w:val="20"/>
            </w:rPr>
            <w:t>Contribution</w:t>
          </w:r>
        </w:p>
      </w:tc>
    </w:tr>
    <w:tr w:rsidR="005F3FCF" w:rsidRPr="006723EF" w14:paraId="150341FB" w14:textId="77777777" w:rsidTr="005F3FCF">
      <w:tc>
        <w:tcPr>
          <w:tcW w:w="6608" w:type="dxa"/>
          <w:vAlign w:val="bottom"/>
          <w:hideMark/>
        </w:tcPr>
        <w:p w14:paraId="3B46924B" w14:textId="77777777" w:rsidR="005F3FCF" w:rsidRPr="006723EF" w:rsidRDefault="005F3FCF" w:rsidP="005F3FCF">
          <w:pPr>
            <w:pStyle w:val="Title"/>
            <w:spacing w:after="120"/>
            <w:ind w:right="360"/>
            <w:jc w:val="left"/>
            <w:rPr>
              <w:rFonts w:ascii="Calibri" w:eastAsia="Times New Roman" w:hAnsi="Calibri"/>
              <w:color w:val="404040"/>
              <w:szCs w:val="20"/>
            </w:rPr>
          </w:pPr>
          <w:r w:rsidRPr="005F3FCF">
            <w:rPr>
              <w:rFonts w:ascii="Gotham Book" w:hAnsi="Gotham Book"/>
              <w:b/>
              <w:color w:val="404040"/>
              <w:sz w:val="22"/>
              <w:szCs w:val="22"/>
            </w:rPr>
            <w:t xml:space="preserve">Project </w:t>
          </w:r>
          <w:r w:rsidRPr="006723EF">
            <w:rPr>
              <w:rFonts w:ascii="Calibri" w:eastAsia="Times New Roman" w:hAnsi="Calibri"/>
              <w:color w:val="404040"/>
              <w:szCs w:val="20"/>
            </w:rPr>
            <w:t>No. or Other ID</w:t>
          </w:r>
        </w:p>
      </w:tc>
      <w:tc>
        <w:tcPr>
          <w:tcW w:w="3328" w:type="dxa"/>
          <w:vAlign w:val="bottom"/>
          <w:hideMark/>
        </w:tcPr>
        <w:p w14:paraId="1D670A4F" w14:textId="77777777" w:rsidR="005F3FCF" w:rsidRPr="006723EF" w:rsidRDefault="005F3FCF" w:rsidP="005F3FCF">
          <w:pPr>
            <w:pStyle w:val="Title"/>
            <w:spacing w:after="120"/>
            <w:ind w:right="360"/>
            <w:rPr>
              <w:rFonts w:ascii="Calibri" w:eastAsia="Times New Roman" w:hAnsi="Calibri"/>
              <w:color w:val="404040"/>
              <w:szCs w:val="20"/>
            </w:rPr>
          </w:pPr>
          <w:r w:rsidRPr="005F3FCF">
            <w:rPr>
              <w:rFonts w:ascii="Gotham Book" w:hAnsi="Gotham Book"/>
              <w:b/>
              <w:color w:val="404040"/>
              <w:sz w:val="22"/>
              <w:szCs w:val="22"/>
            </w:rPr>
            <w:t>Waived Impact</w:t>
          </w:r>
          <w:r w:rsidRPr="006723EF">
            <w:rPr>
              <w:rFonts w:ascii="Calibri" w:eastAsia="Times New Roman" w:hAnsi="Calibri"/>
              <w:color w:val="404040"/>
              <w:szCs w:val="20"/>
            </w:rPr>
            <w:t xml:space="preserve"> Fees</w:t>
          </w:r>
        </w:p>
      </w:tc>
    </w:tr>
    <w:tr w:rsidR="005F3FCF" w:rsidRPr="006723EF" w14:paraId="7E966B7B" w14:textId="77777777" w:rsidTr="005F3FCF">
      <w:tc>
        <w:tcPr>
          <w:tcW w:w="6608" w:type="dxa"/>
          <w:vAlign w:val="bottom"/>
          <w:hideMark/>
        </w:tcPr>
        <w:p w14:paraId="39070663" w14:textId="77777777" w:rsidR="005F3FCF" w:rsidRPr="006723EF" w:rsidRDefault="005F3FCF" w:rsidP="005F3FCF">
          <w:pPr>
            <w:pStyle w:val="Title"/>
            <w:spacing w:after="120"/>
            <w:ind w:right="360"/>
            <w:jc w:val="left"/>
            <w:rPr>
              <w:rFonts w:ascii="Calibri" w:eastAsia="Times New Roman" w:hAnsi="Calibri"/>
              <w:color w:val="404040"/>
              <w:szCs w:val="20"/>
            </w:rPr>
          </w:pPr>
          <w:r w:rsidRPr="005F3FCF">
            <w:rPr>
              <w:rFonts w:ascii="Gotham Book" w:hAnsi="Gotham Book"/>
              <w:b/>
              <w:color w:val="404040"/>
              <w:sz w:val="22"/>
              <w:szCs w:val="22"/>
            </w:rPr>
            <w:t xml:space="preserve">Date </w:t>
          </w:r>
          <w:r w:rsidRPr="006723EF">
            <w:rPr>
              <w:rFonts w:ascii="Calibri" w:eastAsia="Times New Roman" w:hAnsi="Calibri"/>
              <w:color w:val="404040"/>
              <w:szCs w:val="20"/>
            </w:rPr>
            <w:t>of Contribution</w:t>
          </w:r>
        </w:p>
      </w:tc>
      <w:tc>
        <w:tcPr>
          <w:tcW w:w="3328" w:type="dxa"/>
          <w:noWrap/>
          <w:vAlign w:val="bottom"/>
          <w:hideMark/>
        </w:tcPr>
        <w:p w14:paraId="5D8CD363" w14:textId="77777777" w:rsidR="005F3FCF" w:rsidRPr="006723EF" w:rsidRDefault="005F3FCF" w:rsidP="005F3FCF">
          <w:pPr>
            <w:pStyle w:val="Title"/>
            <w:spacing w:after="120"/>
            <w:ind w:right="360"/>
            <w:rPr>
              <w:rFonts w:ascii="Calibri" w:eastAsia="Times New Roman" w:hAnsi="Calibri"/>
              <w:color w:val="404040"/>
              <w:szCs w:val="20"/>
            </w:rPr>
          </w:pPr>
          <w:r w:rsidRPr="005F3FCF">
            <w:rPr>
              <w:rFonts w:ascii="Gotham Book" w:hAnsi="Gotham Book"/>
              <w:b/>
              <w:color w:val="404040"/>
              <w:sz w:val="22"/>
              <w:szCs w:val="22"/>
            </w:rPr>
            <w:t>N/A</w:t>
          </w:r>
        </w:p>
      </w:tc>
    </w:tr>
    <w:tr w:rsidR="005F3FCF" w:rsidRPr="006723EF" w14:paraId="05041568" w14:textId="77777777" w:rsidTr="005F3FCF">
      <w:tc>
        <w:tcPr>
          <w:tcW w:w="6608" w:type="dxa"/>
          <w:vAlign w:val="bottom"/>
          <w:hideMark/>
        </w:tcPr>
        <w:p w14:paraId="6BA64AD0" w14:textId="77777777" w:rsidR="005F3FCF" w:rsidRPr="006723EF" w:rsidRDefault="005F3FCF" w:rsidP="005F3FCF">
          <w:pPr>
            <w:pStyle w:val="Title"/>
            <w:spacing w:after="120"/>
            <w:ind w:right="360"/>
            <w:jc w:val="left"/>
            <w:rPr>
              <w:rFonts w:ascii="Calibri" w:eastAsia="Times New Roman" w:hAnsi="Calibri"/>
              <w:color w:val="404040"/>
              <w:szCs w:val="20"/>
            </w:rPr>
          </w:pPr>
          <w:r w:rsidRPr="005F3FCF">
            <w:rPr>
              <w:rFonts w:ascii="Gotham Book" w:hAnsi="Gotham Book"/>
              <w:b/>
              <w:color w:val="404040"/>
              <w:sz w:val="22"/>
              <w:szCs w:val="22"/>
            </w:rPr>
            <w:t xml:space="preserve">Cash </w:t>
          </w:r>
          <w:r w:rsidRPr="006723EF">
            <w:rPr>
              <w:rFonts w:ascii="Calibri" w:eastAsia="Times New Roman" w:hAnsi="Calibri"/>
              <w:color w:val="404040"/>
              <w:szCs w:val="20"/>
            </w:rPr>
            <w:t>(non-Federal sources)</w:t>
          </w:r>
        </w:p>
      </w:tc>
      <w:tc>
        <w:tcPr>
          <w:tcW w:w="3328" w:type="dxa"/>
          <w:noWrap/>
          <w:vAlign w:val="bottom"/>
          <w:hideMark/>
        </w:tcPr>
        <w:p w14:paraId="6590F496" w14:textId="77777777" w:rsidR="005F3FCF" w:rsidRPr="006723EF" w:rsidRDefault="005F3FCF" w:rsidP="005F3FCF">
          <w:pPr>
            <w:pStyle w:val="Title"/>
            <w:spacing w:after="120"/>
            <w:ind w:right="360"/>
            <w:rPr>
              <w:rFonts w:ascii="Calibri" w:eastAsia="Times New Roman" w:hAnsi="Calibri"/>
              <w:color w:val="404040"/>
              <w:szCs w:val="20"/>
            </w:rPr>
          </w:pPr>
          <w:r w:rsidRPr="005F3FCF">
            <w:rPr>
              <w:rFonts w:ascii="Gotham Book" w:hAnsi="Gotham Book"/>
              <w:b/>
              <w:color w:val="404040"/>
              <w:sz w:val="22"/>
              <w:szCs w:val="22"/>
            </w:rPr>
            <w:t xml:space="preserve"> $                    </w:t>
          </w:r>
          <w:r>
            <w:rPr>
              <w:rFonts w:ascii="Calibri" w:eastAsia="Times New Roman" w:hAnsi="Calibri"/>
              <w:color w:val="404040"/>
              <w:szCs w:val="20"/>
            </w:rPr>
            <w:t xml:space="preserve">550,000                </w:t>
          </w:r>
        </w:p>
      </w:tc>
    </w:tr>
    <w:tr w:rsidR="005F3FCF" w:rsidRPr="006723EF" w14:paraId="32FC0BEF" w14:textId="77777777" w:rsidTr="005F3FCF">
      <w:tc>
        <w:tcPr>
          <w:tcW w:w="6608" w:type="dxa"/>
          <w:vAlign w:val="bottom"/>
          <w:hideMark/>
        </w:tcPr>
        <w:p w14:paraId="08B5F460" w14:textId="77777777" w:rsidR="005F3FCF" w:rsidRPr="006723EF" w:rsidRDefault="005F3FCF" w:rsidP="005F3FCF">
          <w:pPr>
            <w:pStyle w:val="Title"/>
            <w:spacing w:after="120"/>
            <w:ind w:right="360"/>
            <w:jc w:val="left"/>
            <w:rPr>
              <w:rFonts w:ascii="Calibri" w:eastAsia="Times New Roman" w:hAnsi="Calibri"/>
              <w:color w:val="404040"/>
              <w:szCs w:val="20"/>
            </w:rPr>
          </w:pPr>
          <w:r w:rsidRPr="005F3FCF">
            <w:rPr>
              <w:rFonts w:ascii="Gotham Book" w:hAnsi="Gotham Book"/>
              <w:b/>
              <w:color w:val="404040"/>
              <w:sz w:val="22"/>
              <w:szCs w:val="22"/>
            </w:rPr>
            <w:t xml:space="preserve">Foregone </w:t>
          </w:r>
          <w:r w:rsidRPr="006723EF">
            <w:rPr>
              <w:rFonts w:ascii="Calibri" w:eastAsia="Times New Roman" w:hAnsi="Calibri"/>
              <w:color w:val="404040"/>
              <w:szCs w:val="20"/>
            </w:rPr>
            <w:t>Taxes, Fees, Charges</w:t>
          </w:r>
        </w:p>
      </w:tc>
      <w:tc>
        <w:tcPr>
          <w:tcW w:w="3328" w:type="dxa"/>
          <w:noWrap/>
          <w:vAlign w:val="bottom"/>
          <w:hideMark/>
        </w:tcPr>
        <w:p w14:paraId="476CC630" w14:textId="77777777" w:rsidR="005F3FCF" w:rsidRPr="006723EF" w:rsidRDefault="005F3FCF" w:rsidP="005F3FCF">
          <w:pPr>
            <w:pStyle w:val="Title"/>
            <w:spacing w:after="120"/>
            <w:ind w:right="360"/>
            <w:rPr>
              <w:rFonts w:ascii="Calibri" w:eastAsia="Times New Roman" w:hAnsi="Calibri"/>
              <w:color w:val="404040"/>
              <w:szCs w:val="20"/>
            </w:rPr>
          </w:pPr>
          <w:r w:rsidRPr="005F3FCF">
            <w:rPr>
              <w:rFonts w:ascii="Gotham Book" w:hAnsi="Gotham Book"/>
              <w:b/>
              <w:color w:val="404040"/>
              <w:sz w:val="22"/>
              <w:szCs w:val="22"/>
            </w:rPr>
            <w:t xml:space="preserve"> $                                       </w:t>
          </w:r>
          <w:r w:rsidRPr="006723EF">
            <w:rPr>
              <w:rFonts w:ascii="Calibri" w:eastAsia="Times New Roman" w:hAnsi="Calibri"/>
              <w:color w:val="404040"/>
              <w:szCs w:val="20"/>
            </w:rPr>
            <w:t xml:space="preserve">-   </w:t>
          </w:r>
        </w:p>
      </w:tc>
    </w:tr>
    <w:tr w:rsidR="005F3FCF" w:rsidRPr="006723EF" w14:paraId="2E97947A" w14:textId="77777777" w:rsidTr="005F3FCF">
      <w:tc>
        <w:tcPr>
          <w:tcW w:w="6608" w:type="dxa"/>
          <w:vAlign w:val="bottom"/>
          <w:hideMark/>
        </w:tcPr>
        <w:p w14:paraId="0A62AA44" w14:textId="77777777" w:rsidR="005F3FCF" w:rsidRPr="006723EF" w:rsidRDefault="005F3FCF" w:rsidP="005F3FCF">
          <w:pPr>
            <w:pStyle w:val="Title"/>
            <w:spacing w:after="120"/>
            <w:ind w:right="360"/>
            <w:jc w:val="left"/>
            <w:rPr>
              <w:rFonts w:ascii="Calibri" w:eastAsia="Times New Roman" w:hAnsi="Calibri"/>
              <w:color w:val="404040"/>
              <w:szCs w:val="20"/>
            </w:rPr>
          </w:pPr>
          <w:r w:rsidRPr="005F3FCF">
            <w:rPr>
              <w:rFonts w:ascii="Gotham Book" w:hAnsi="Gotham Book"/>
              <w:b/>
              <w:color w:val="404040"/>
              <w:sz w:val="22"/>
              <w:szCs w:val="22"/>
            </w:rPr>
            <w:t xml:space="preserve">Appraised </w:t>
          </w:r>
          <w:r w:rsidRPr="006723EF">
            <w:rPr>
              <w:rFonts w:ascii="Calibri" w:eastAsia="Times New Roman" w:hAnsi="Calibri"/>
              <w:color w:val="404040"/>
              <w:szCs w:val="20"/>
            </w:rPr>
            <w:t>Land/Real Property</w:t>
          </w:r>
        </w:p>
      </w:tc>
      <w:tc>
        <w:tcPr>
          <w:tcW w:w="3328" w:type="dxa"/>
          <w:noWrap/>
          <w:vAlign w:val="bottom"/>
          <w:hideMark/>
        </w:tcPr>
        <w:p w14:paraId="062AAF66" w14:textId="77777777" w:rsidR="005F3FCF" w:rsidRPr="006723EF" w:rsidRDefault="005F3FCF" w:rsidP="005F3FCF">
          <w:pPr>
            <w:pStyle w:val="Title"/>
            <w:spacing w:after="120"/>
            <w:ind w:right="360"/>
            <w:rPr>
              <w:rFonts w:ascii="Calibri" w:eastAsia="Times New Roman" w:hAnsi="Calibri"/>
              <w:color w:val="404040"/>
              <w:szCs w:val="20"/>
            </w:rPr>
          </w:pPr>
          <w:r w:rsidRPr="005F3FCF">
            <w:rPr>
              <w:rFonts w:ascii="Gotham Book" w:hAnsi="Gotham Book"/>
              <w:b/>
              <w:color w:val="404040"/>
              <w:sz w:val="22"/>
              <w:szCs w:val="22"/>
            </w:rPr>
            <w:t xml:space="preserve"> $                                       </w:t>
          </w:r>
          <w:r w:rsidRPr="006723EF">
            <w:rPr>
              <w:rFonts w:ascii="Calibri" w:eastAsia="Times New Roman" w:hAnsi="Calibri"/>
              <w:color w:val="404040"/>
              <w:szCs w:val="20"/>
            </w:rPr>
            <w:t xml:space="preserve">-   </w:t>
          </w:r>
        </w:p>
      </w:tc>
    </w:tr>
    <w:tr w:rsidR="005F3FCF" w:rsidRPr="006723EF" w14:paraId="2E09F6A4" w14:textId="77777777" w:rsidTr="005F3FCF">
      <w:tc>
        <w:tcPr>
          <w:tcW w:w="6608" w:type="dxa"/>
          <w:vAlign w:val="bottom"/>
          <w:hideMark/>
        </w:tcPr>
        <w:p w14:paraId="0827DD8C" w14:textId="77777777" w:rsidR="005F3FCF" w:rsidRPr="006723EF" w:rsidRDefault="005F3FCF" w:rsidP="005F3FCF">
          <w:pPr>
            <w:pStyle w:val="Title"/>
            <w:spacing w:after="120"/>
            <w:ind w:right="360"/>
            <w:jc w:val="left"/>
            <w:rPr>
              <w:rFonts w:ascii="Calibri" w:eastAsia="Times New Roman" w:hAnsi="Calibri"/>
              <w:color w:val="404040"/>
              <w:szCs w:val="20"/>
            </w:rPr>
          </w:pPr>
          <w:r w:rsidRPr="005F3FCF">
            <w:rPr>
              <w:rFonts w:ascii="Gotham Book" w:hAnsi="Gotham Book"/>
              <w:b/>
              <w:color w:val="404040"/>
              <w:sz w:val="22"/>
              <w:szCs w:val="22"/>
            </w:rPr>
            <w:t xml:space="preserve">Required </w:t>
          </w:r>
          <w:r w:rsidRPr="006723EF">
            <w:rPr>
              <w:rFonts w:ascii="Calibri" w:eastAsia="Times New Roman" w:hAnsi="Calibri"/>
              <w:color w:val="404040"/>
              <w:szCs w:val="20"/>
            </w:rPr>
            <w:t>Infrastructure</w:t>
          </w:r>
        </w:p>
      </w:tc>
      <w:tc>
        <w:tcPr>
          <w:tcW w:w="3328" w:type="dxa"/>
          <w:noWrap/>
          <w:vAlign w:val="bottom"/>
          <w:hideMark/>
        </w:tcPr>
        <w:p w14:paraId="7C6AF36F" w14:textId="77777777" w:rsidR="005F3FCF" w:rsidRPr="006723EF" w:rsidRDefault="005F3FCF" w:rsidP="005F3FCF">
          <w:pPr>
            <w:pStyle w:val="Title"/>
            <w:spacing w:after="120"/>
            <w:ind w:right="360"/>
            <w:rPr>
              <w:rFonts w:ascii="Calibri" w:eastAsia="Times New Roman" w:hAnsi="Calibri"/>
              <w:color w:val="404040"/>
              <w:szCs w:val="20"/>
            </w:rPr>
          </w:pPr>
          <w:r w:rsidRPr="005F3FCF">
            <w:rPr>
              <w:rFonts w:ascii="Gotham Book" w:hAnsi="Gotham Book"/>
              <w:b/>
              <w:color w:val="404040"/>
              <w:sz w:val="22"/>
              <w:szCs w:val="22"/>
            </w:rPr>
            <w:t xml:space="preserve"> $                                       </w:t>
          </w:r>
          <w:r w:rsidRPr="006723EF">
            <w:rPr>
              <w:rFonts w:ascii="Calibri" w:eastAsia="Times New Roman" w:hAnsi="Calibri"/>
              <w:color w:val="404040"/>
              <w:szCs w:val="20"/>
            </w:rPr>
            <w:t xml:space="preserve">-   </w:t>
          </w:r>
        </w:p>
      </w:tc>
    </w:tr>
    <w:tr w:rsidR="005F3FCF" w:rsidRPr="006723EF" w14:paraId="66CCEA80" w14:textId="77777777" w:rsidTr="005F3FCF">
      <w:tc>
        <w:tcPr>
          <w:tcW w:w="6608" w:type="dxa"/>
          <w:vAlign w:val="bottom"/>
          <w:hideMark/>
        </w:tcPr>
        <w:p w14:paraId="4F47BB3B" w14:textId="77777777" w:rsidR="005F3FCF" w:rsidRPr="006723EF" w:rsidRDefault="005F3FCF" w:rsidP="005F3FCF">
          <w:pPr>
            <w:pStyle w:val="Title"/>
            <w:spacing w:after="120"/>
            <w:ind w:right="360"/>
            <w:jc w:val="left"/>
            <w:rPr>
              <w:rFonts w:ascii="Calibri" w:eastAsia="Times New Roman" w:hAnsi="Calibri"/>
              <w:color w:val="404040"/>
              <w:szCs w:val="20"/>
            </w:rPr>
          </w:pPr>
          <w:r w:rsidRPr="005F3FCF">
            <w:rPr>
              <w:rFonts w:ascii="Gotham Book" w:hAnsi="Gotham Book"/>
              <w:b/>
              <w:color w:val="404040"/>
              <w:sz w:val="22"/>
              <w:szCs w:val="22"/>
            </w:rPr>
            <w:t xml:space="preserve">Site </w:t>
          </w:r>
          <w:r w:rsidRPr="006723EF">
            <w:rPr>
              <w:rFonts w:ascii="Calibri" w:eastAsia="Times New Roman" w:hAnsi="Calibri"/>
              <w:color w:val="404040"/>
              <w:szCs w:val="20"/>
            </w:rPr>
            <w:t>Preparation, Construction Materials, Donated Labor</w:t>
          </w:r>
        </w:p>
      </w:tc>
      <w:tc>
        <w:tcPr>
          <w:tcW w:w="3328" w:type="dxa"/>
          <w:noWrap/>
          <w:vAlign w:val="bottom"/>
          <w:hideMark/>
        </w:tcPr>
        <w:p w14:paraId="0DE6B57B" w14:textId="77777777" w:rsidR="005F3FCF" w:rsidRPr="006723EF" w:rsidRDefault="005F3FCF" w:rsidP="005F3FCF">
          <w:pPr>
            <w:pStyle w:val="Title"/>
            <w:spacing w:after="120"/>
            <w:ind w:right="360"/>
            <w:rPr>
              <w:rFonts w:ascii="Calibri" w:eastAsia="Times New Roman" w:hAnsi="Calibri"/>
              <w:color w:val="404040"/>
              <w:szCs w:val="20"/>
            </w:rPr>
          </w:pPr>
          <w:r w:rsidRPr="005F3FCF">
            <w:rPr>
              <w:rFonts w:ascii="Gotham Book" w:hAnsi="Gotham Book"/>
              <w:b/>
              <w:color w:val="404040"/>
              <w:sz w:val="22"/>
              <w:szCs w:val="22"/>
            </w:rPr>
            <w:t xml:space="preserve"> $                                       </w:t>
          </w:r>
          <w:r w:rsidRPr="006723EF">
            <w:rPr>
              <w:rFonts w:ascii="Calibri" w:eastAsia="Times New Roman" w:hAnsi="Calibri"/>
              <w:color w:val="404040"/>
              <w:szCs w:val="20"/>
            </w:rPr>
            <w:t xml:space="preserve">-   </w:t>
          </w:r>
        </w:p>
      </w:tc>
    </w:tr>
    <w:tr w:rsidR="005F3FCF" w:rsidRPr="006723EF" w14:paraId="53A76745" w14:textId="77777777" w:rsidTr="005F3FCF">
      <w:tc>
        <w:tcPr>
          <w:tcW w:w="6608" w:type="dxa"/>
          <w:vAlign w:val="bottom"/>
          <w:hideMark/>
        </w:tcPr>
        <w:p w14:paraId="5E4D20E4" w14:textId="77777777" w:rsidR="005F3FCF" w:rsidRPr="006723EF" w:rsidRDefault="005F3FCF" w:rsidP="005F3FCF">
          <w:pPr>
            <w:pStyle w:val="Title"/>
            <w:spacing w:after="120"/>
            <w:ind w:right="360"/>
            <w:jc w:val="left"/>
            <w:rPr>
              <w:rFonts w:ascii="Calibri" w:eastAsia="Times New Roman" w:hAnsi="Calibri"/>
              <w:color w:val="404040"/>
              <w:szCs w:val="20"/>
            </w:rPr>
          </w:pPr>
          <w:r w:rsidRPr="005F3FCF">
            <w:rPr>
              <w:rFonts w:ascii="Gotham Book" w:hAnsi="Gotham Book"/>
              <w:b/>
              <w:color w:val="404040"/>
              <w:sz w:val="22"/>
              <w:szCs w:val="22"/>
            </w:rPr>
            <w:t xml:space="preserve">Bond </w:t>
          </w:r>
          <w:r w:rsidRPr="006723EF">
            <w:rPr>
              <w:rFonts w:ascii="Calibri" w:eastAsia="Times New Roman" w:hAnsi="Calibri"/>
              <w:color w:val="404040"/>
              <w:szCs w:val="20"/>
            </w:rPr>
            <w:t>Financing</w:t>
          </w:r>
        </w:p>
      </w:tc>
      <w:tc>
        <w:tcPr>
          <w:tcW w:w="3328" w:type="dxa"/>
          <w:noWrap/>
          <w:vAlign w:val="bottom"/>
          <w:hideMark/>
        </w:tcPr>
        <w:p w14:paraId="4FF3B659" w14:textId="77777777" w:rsidR="005F3FCF" w:rsidRPr="006723EF" w:rsidRDefault="005F3FCF" w:rsidP="005F3FCF">
          <w:pPr>
            <w:pStyle w:val="Title"/>
            <w:spacing w:after="120"/>
            <w:ind w:right="360"/>
            <w:rPr>
              <w:rFonts w:ascii="Calibri" w:eastAsia="Times New Roman" w:hAnsi="Calibri"/>
              <w:color w:val="404040"/>
              <w:szCs w:val="20"/>
            </w:rPr>
          </w:pPr>
          <w:r w:rsidRPr="005F3FCF">
            <w:rPr>
              <w:rFonts w:ascii="Gotham Book" w:hAnsi="Gotham Book"/>
              <w:b/>
              <w:color w:val="404040"/>
              <w:sz w:val="22"/>
              <w:szCs w:val="22"/>
            </w:rPr>
            <w:t xml:space="preserve"> $                                       </w:t>
          </w:r>
          <w:r w:rsidRPr="006723EF">
            <w:rPr>
              <w:rFonts w:ascii="Calibri" w:eastAsia="Times New Roman" w:hAnsi="Calibri"/>
              <w:color w:val="404040"/>
              <w:szCs w:val="20"/>
            </w:rPr>
            <w:t xml:space="preserve">-   </w:t>
          </w:r>
        </w:p>
      </w:tc>
    </w:tr>
    <w:tr w:rsidR="005F3FCF" w:rsidRPr="006723EF" w14:paraId="7CA51662" w14:textId="77777777" w:rsidTr="005F3FCF">
      <w:tc>
        <w:tcPr>
          <w:tcW w:w="6608" w:type="dxa"/>
          <w:vAlign w:val="bottom"/>
          <w:hideMark/>
        </w:tcPr>
        <w:p w14:paraId="5831B455" w14:textId="77777777" w:rsidR="005F3FCF" w:rsidRPr="006723EF" w:rsidRDefault="005F3FCF" w:rsidP="005F3FCF">
          <w:pPr>
            <w:pStyle w:val="Title"/>
            <w:spacing w:after="120"/>
            <w:ind w:right="360"/>
            <w:jc w:val="left"/>
            <w:rPr>
              <w:rFonts w:ascii="Calibri" w:eastAsia="Times New Roman" w:hAnsi="Calibri"/>
              <w:b/>
              <w:color w:val="404040"/>
              <w:szCs w:val="20"/>
            </w:rPr>
          </w:pPr>
          <w:r w:rsidRPr="005F3FCF">
            <w:rPr>
              <w:rFonts w:ascii="Gotham Book" w:hAnsi="Gotham Book"/>
              <w:b/>
              <w:color w:val="404040"/>
              <w:sz w:val="22"/>
              <w:szCs w:val="22"/>
            </w:rPr>
            <w:t xml:space="preserve">Total </w:t>
          </w:r>
          <w:r w:rsidRPr="006723EF">
            <w:rPr>
              <w:rFonts w:ascii="Calibri" w:eastAsia="Times New Roman" w:hAnsi="Calibri"/>
              <w:b/>
              <w:color w:val="404040"/>
              <w:szCs w:val="20"/>
            </w:rPr>
            <w:t>Match</w:t>
          </w:r>
        </w:p>
      </w:tc>
      <w:tc>
        <w:tcPr>
          <w:tcW w:w="3328" w:type="dxa"/>
          <w:noWrap/>
          <w:vAlign w:val="bottom"/>
          <w:hideMark/>
        </w:tcPr>
        <w:p w14:paraId="05DFFACC" w14:textId="77777777" w:rsidR="005F3FCF" w:rsidRPr="006723EF" w:rsidRDefault="005F3FCF" w:rsidP="005F3FCF">
          <w:pPr>
            <w:pStyle w:val="Title"/>
            <w:spacing w:after="120"/>
            <w:ind w:right="360"/>
            <w:rPr>
              <w:rFonts w:ascii="Calibri" w:eastAsia="Times New Roman" w:hAnsi="Calibri"/>
              <w:b/>
              <w:color w:val="404040"/>
              <w:szCs w:val="20"/>
            </w:rPr>
          </w:pPr>
          <w:r w:rsidRPr="005F3FCF">
            <w:rPr>
              <w:rFonts w:ascii="Gotham Book" w:hAnsi="Gotham Book"/>
              <w:b/>
              <w:color w:val="404040"/>
              <w:sz w:val="22"/>
              <w:szCs w:val="22"/>
            </w:rPr>
            <w:t xml:space="preserve"> $                           </w:t>
          </w:r>
          <w:r>
            <w:rPr>
              <w:rFonts w:ascii="Calibri" w:eastAsia="Times New Roman" w:hAnsi="Calibri"/>
              <w:b/>
              <w:color w:val="404040"/>
              <w:szCs w:val="20"/>
            </w:rPr>
            <w:t>550,000</w:t>
          </w:r>
        </w:p>
      </w:tc>
    </w:tr>
  </w:tbl>
  <w:p w14:paraId="6458A93B" w14:textId="77777777" w:rsidR="005F3FCF" w:rsidRPr="005F3FCF" w:rsidRDefault="005F3FCF" w:rsidP="005F3FCF">
    <w:pPr>
      <w:pStyle w:val="Title"/>
      <w:spacing w:after="120"/>
      <w:ind w:left="360"/>
      <w:rPr>
        <w:rFonts w:ascii="Gotham Book" w:hAnsi="Gotham Book"/>
        <w:color w:val="404040"/>
        <w:sz w:val="22"/>
        <w:szCs w:val="22"/>
      </w:rPr>
    </w:pPr>
  </w:p>
  <w:p w14:paraId="3861318C" w14:textId="77777777" w:rsidR="005F3FCF" w:rsidRPr="005F3FCF" w:rsidRDefault="005F3FCF" w:rsidP="005F3FCF">
    <w:pPr>
      <w:pStyle w:val="Title"/>
      <w:spacing w:after="120"/>
      <w:ind w:left="360"/>
      <w:rPr>
        <w:rFonts w:ascii="Gotham Book" w:hAnsi="Gotham Book"/>
        <w:color w:val="404040"/>
        <w:sz w:val="22"/>
        <w:szCs w:val="22"/>
      </w:rPr>
    </w:pPr>
  </w:p>
  <w:p w14:paraId="03B69E08" w14:textId="77777777" w:rsidR="005F3FCF" w:rsidRPr="006723EF" w:rsidRDefault="005F3FCF" w:rsidP="005F3FCF">
    <w:pPr>
      <w:pStyle w:val="Title"/>
      <w:spacing w:after="120"/>
      <w:rPr>
        <w:rFonts w:asciiTheme="minorHAnsi" w:hAnsiTheme="minorHAnsi" w:cstheme="minorHAnsi"/>
        <w:b/>
        <w:color w:val="404040" w:themeColor="text1" w:themeTint="BF"/>
        <w:szCs w:val="20"/>
      </w:rPr>
    </w:pPr>
    <w:r w:rsidRPr="005F3FCF">
      <w:rPr>
        <w:rFonts w:ascii="Gotham Book" w:hAnsi="Gotham Book"/>
        <w:b/>
        <w:color w:val="323E4F"/>
        <w:sz w:val="24"/>
      </w:rPr>
      <w:t>HOME</w:t>
    </w:r>
    <w:r w:rsidRPr="006723EF">
      <w:rPr>
        <w:rFonts w:asciiTheme="minorHAnsi" w:hAnsiTheme="minorHAnsi" w:cstheme="minorHAnsi"/>
        <w:b/>
        <w:color w:val="404040" w:themeColor="text1" w:themeTint="BF"/>
        <w:szCs w:val="20"/>
      </w:rPr>
      <w:t xml:space="preserve"> MBE/WBE REPORT</w:t>
    </w:r>
  </w:p>
  <w:p w14:paraId="0FD9480A" w14:textId="77777777" w:rsidR="005F3FCF" w:rsidRPr="005F3FCF" w:rsidRDefault="005F3FCF" w:rsidP="005F3FCF">
    <w:pPr>
      <w:pStyle w:val="Title"/>
      <w:spacing w:after="120"/>
      <w:ind w:left="360"/>
      <w:rPr>
        <w:rFonts w:ascii="Gotham Book" w:hAnsi="Gotham Book"/>
        <w:b/>
        <w:color w:val="323E4F"/>
        <w:sz w:val="24"/>
      </w:rPr>
    </w:pPr>
  </w:p>
  <w:p w14:paraId="1DAD64C7" w14:textId="77777777" w:rsidR="005F3FCF" w:rsidRPr="005F3FCF" w:rsidRDefault="005F3FCF" w:rsidP="005F3FCF">
    <w:pPr>
      <w:pStyle w:val="Title"/>
      <w:spacing w:after="120"/>
      <w:ind w:left="360"/>
      <w:rPr>
        <w:rFonts w:ascii="Calibri" w:hAnsi="Calibri" w:cs="Calibri"/>
        <w:i/>
        <w:color w:val="44546A"/>
        <w:sz w:val="18"/>
        <w:szCs w:val="18"/>
      </w:rPr>
    </w:pPr>
    <w:r w:rsidRPr="005F3FCF">
      <w:rPr>
        <w:rFonts w:ascii="Calibri" w:hAnsi="Calibri" w:cs="Calibri"/>
        <w:b/>
        <w:color w:val="44546A"/>
        <w:sz w:val="24"/>
      </w:rPr>
      <w:t xml:space="preserve">Table 7 – HOME Program Income </w:t>
    </w:r>
  </w:p>
  <w:tbl>
    <w:tblPr>
      <w:tblW w:w="0" w:type="auto"/>
      <w:tblInd w:w="360" w:type="dxa"/>
      <w:tblLook w:val="04A0" w:firstRow="1" w:lastRow="0" w:firstColumn="1" w:lastColumn="0" w:noHBand="0" w:noVBand="1"/>
    </w:tblPr>
    <w:tblGrid>
      <w:gridCol w:w="6608"/>
      <w:gridCol w:w="3328"/>
      <w:gridCol w:w="2300"/>
      <w:gridCol w:w="1570"/>
      <w:gridCol w:w="1930"/>
    </w:tblGrid>
    <w:tr w:rsidR="005F3FCF" w:rsidRPr="006723EF" w14:paraId="16C881E9" w14:textId="77777777" w:rsidTr="005F3FCF">
      <w:tc>
        <w:tcPr>
          <w:tcW w:w="6608" w:type="dxa"/>
          <w:vAlign w:val="bottom"/>
          <w:hideMark/>
        </w:tcPr>
        <w:p w14:paraId="1FFFE22A" w14:textId="77777777" w:rsidR="005F3FCF" w:rsidRPr="006723EF" w:rsidRDefault="005F3FCF" w:rsidP="005F3FCF">
          <w:pPr>
            <w:pStyle w:val="Title"/>
            <w:spacing w:after="120"/>
            <w:ind w:right="360"/>
            <w:jc w:val="left"/>
            <w:rPr>
              <w:rFonts w:ascii="Calibri" w:eastAsia="Times New Roman" w:hAnsi="Calibri"/>
              <w:b/>
              <w:bCs/>
              <w:color w:val="404040" w:themeColor="text1" w:themeTint="BF"/>
              <w:szCs w:val="20"/>
            </w:rPr>
          </w:pPr>
          <w:r w:rsidRPr="005F3FCF">
            <w:rPr>
              <w:rFonts w:ascii="Gotham Book" w:hAnsi="Gotham Book"/>
              <w:b/>
              <w:color w:val="404040"/>
              <w:sz w:val="22"/>
              <w:szCs w:val="22"/>
            </w:rPr>
            <w:t xml:space="preserve">Balance </w:t>
          </w:r>
          <w:r w:rsidRPr="006723EF">
            <w:rPr>
              <w:rFonts w:ascii="Calibri" w:eastAsia="Times New Roman" w:hAnsi="Calibri"/>
              <w:b/>
              <w:bCs/>
              <w:color w:val="404040" w:themeColor="text1" w:themeTint="BF"/>
              <w:szCs w:val="20"/>
            </w:rPr>
            <w:t>on hand at beginning of reporting period</w:t>
          </w:r>
        </w:p>
      </w:tc>
      <w:tc>
        <w:tcPr>
          <w:tcW w:w="3328" w:type="dxa"/>
          <w:vAlign w:val="bottom"/>
          <w:hideMark/>
        </w:tcPr>
        <w:p w14:paraId="36941DC1" w14:textId="77777777" w:rsidR="005F3FCF" w:rsidRPr="006723EF" w:rsidRDefault="005F3FCF" w:rsidP="005F3FCF">
          <w:pPr>
            <w:pStyle w:val="Title"/>
            <w:spacing w:after="120"/>
            <w:ind w:right="360"/>
            <w:rPr>
              <w:rFonts w:ascii="Calibri" w:eastAsia="Times New Roman" w:hAnsi="Calibri"/>
              <w:b/>
              <w:bCs/>
              <w:color w:val="404040" w:themeColor="text1" w:themeTint="BF"/>
              <w:szCs w:val="20"/>
            </w:rPr>
          </w:pPr>
          <w:r w:rsidRPr="005F3FCF">
            <w:rPr>
              <w:rFonts w:ascii="Gotham Book" w:hAnsi="Gotham Book"/>
              <w:b/>
              <w:color w:val="404040"/>
              <w:sz w:val="22"/>
              <w:szCs w:val="22"/>
            </w:rPr>
            <w:t>Amount received</w:t>
          </w:r>
          <w:r w:rsidRPr="006723EF">
            <w:rPr>
              <w:rFonts w:ascii="Calibri" w:eastAsia="Times New Roman" w:hAnsi="Calibri"/>
              <w:b/>
              <w:bCs/>
              <w:color w:val="404040" w:themeColor="text1" w:themeTint="BF"/>
              <w:szCs w:val="20"/>
            </w:rPr>
            <w:t xml:space="preserve"> during reporting period</w:t>
          </w:r>
        </w:p>
      </w:tc>
      <w:tc>
        <w:tcPr>
          <w:tcW w:w="2300" w:type="dxa"/>
          <w:tcBorders>
            <w:top w:val="single" w:sz="4" w:space="0" w:color="auto"/>
            <w:left w:val="nil"/>
            <w:bottom w:val="single" w:sz="4" w:space="0" w:color="auto"/>
            <w:right w:val="single" w:sz="4" w:space="0" w:color="auto"/>
          </w:tcBorders>
          <w:shd w:val="clear" w:color="auto" w:fill="C6D9F1" w:themeFill="text2" w:themeFillTint="33"/>
          <w:vAlign w:val="bottom"/>
          <w:hideMark/>
        </w:tcPr>
        <w:p w14:paraId="6B464D4D" w14:textId="77777777" w:rsidR="005F3FCF" w:rsidRPr="006723EF" w:rsidRDefault="005F3FCF"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Total amount expended during reporting period</w:t>
          </w:r>
        </w:p>
      </w:tc>
      <w:tc>
        <w:tcPr>
          <w:tcW w:w="1570" w:type="dxa"/>
          <w:tcBorders>
            <w:top w:val="single" w:sz="4" w:space="0" w:color="auto"/>
            <w:left w:val="nil"/>
            <w:bottom w:val="single" w:sz="4" w:space="0" w:color="auto"/>
            <w:right w:val="single" w:sz="4" w:space="0" w:color="auto"/>
          </w:tcBorders>
          <w:shd w:val="clear" w:color="auto" w:fill="C6D9F1" w:themeFill="text2" w:themeFillTint="33"/>
          <w:vAlign w:val="bottom"/>
          <w:hideMark/>
        </w:tcPr>
        <w:p w14:paraId="03107B29" w14:textId="77777777" w:rsidR="005F3FCF" w:rsidRPr="006723EF" w:rsidRDefault="005F3FCF"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Amount expended for TBRA</w:t>
          </w:r>
        </w:p>
      </w:tc>
      <w:tc>
        <w:tcPr>
          <w:tcW w:w="1930" w:type="dxa"/>
          <w:tcBorders>
            <w:top w:val="single" w:sz="4" w:space="0" w:color="auto"/>
            <w:left w:val="nil"/>
            <w:bottom w:val="single" w:sz="4" w:space="0" w:color="auto"/>
            <w:right w:val="single" w:sz="4" w:space="0" w:color="auto"/>
          </w:tcBorders>
          <w:shd w:val="clear" w:color="auto" w:fill="C6D9F1" w:themeFill="text2" w:themeFillTint="33"/>
          <w:vAlign w:val="bottom"/>
          <w:hideMark/>
        </w:tcPr>
        <w:p w14:paraId="2A5194DC" w14:textId="77777777" w:rsidR="005F3FCF" w:rsidRPr="006723EF" w:rsidRDefault="005F3FCF"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Balance on hand at end of reporting period</w:t>
          </w:r>
        </w:p>
      </w:tc>
    </w:tr>
    <w:tr w:rsidR="005F3FCF" w:rsidRPr="006723EF" w14:paraId="7B8E6BA2" w14:textId="77777777" w:rsidTr="005F3FCF">
      <w:tc>
        <w:tcPr>
          <w:tcW w:w="6608" w:type="dxa"/>
          <w:noWrap/>
          <w:vAlign w:val="bottom"/>
          <w:hideMark/>
        </w:tcPr>
        <w:p w14:paraId="252C84CA" w14:textId="77777777" w:rsidR="005F3FCF" w:rsidRPr="0058335F" w:rsidRDefault="005F3FCF" w:rsidP="005F3FCF">
          <w:pPr>
            <w:pStyle w:val="Title"/>
            <w:spacing w:after="120"/>
            <w:ind w:right="360"/>
            <w:jc w:val="left"/>
            <w:rPr>
              <w:rFonts w:ascii="Calibri" w:eastAsia="Times New Roman" w:hAnsi="Calibri"/>
              <w:color w:val="404040" w:themeColor="text1" w:themeTint="BF"/>
              <w:szCs w:val="20"/>
              <w:highlight w:val="yellow"/>
            </w:rPr>
          </w:pPr>
          <w:r w:rsidRPr="005F3FCF">
            <w:rPr>
              <w:rFonts w:ascii="Gotham Book" w:hAnsi="Gotham Book"/>
              <w:b/>
              <w:color w:val="404040"/>
              <w:sz w:val="22"/>
              <w:szCs w:val="22"/>
            </w:rPr>
            <w:t xml:space="preserve"> $</w:t>
          </w:r>
          <w:r w:rsidRPr="00DA7248">
            <w:rPr>
              <w:rFonts w:ascii="Calibri" w:eastAsia="Times New Roman" w:hAnsi="Calibri"/>
              <w:color w:val="404040" w:themeColor="text1" w:themeTint="BF"/>
              <w:szCs w:val="20"/>
            </w:rPr>
            <w:t xml:space="preserve">          0                                       </w:t>
          </w:r>
        </w:p>
      </w:tc>
      <w:tc>
        <w:tcPr>
          <w:tcW w:w="3328" w:type="dxa"/>
          <w:noWrap/>
          <w:vAlign w:val="bottom"/>
          <w:hideMark/>
        </w:tcPr>
        <w:p w14:paraId="37EEF540" w14:textId="77777777" w:rsidR="005F3FCF" w:rsidRPr="0058335F" w:rsidRDefault="005F3FCF" w:rsidP="005F3FCF">
          <w:pPr>
            <w:pStyle w:val="Title"/>
            <w:spacing w:after="120"/>
            <w:ind w:right="360"/>
            <w:rPr>
              <w:rFonts w:ascii="Calibri" w:eastAsia="Times New Roman" w:hAnsi="Calibri"/>
              <w:color w:val="404040" w:themeColor="text1" w:themeTint="BF"/>
              <w:szCs w:val="20"/>
              <w:highlight w:val="yellow"/>
            </w:rPr>
          </w:pPr>
          <w:r w:rsidRPr="005F3FCF">
            <w:rPr>
              <w:rFonts w:ascii="Gotham Book" w:hAnsi="Gotham Book"/>
              <w:b/>
              <w:color w:val="404040"/>
              <w:sz w:val="22"/>
              <w:szCs w:val="22"/>
            </w:rPr>
            <w:t>$   342,000</w:t>
          </w:r>
        </w:p>
      </w:tc>
      <w:tc>
        <w:tcPr>
          <w:tcW w:w="2300" w:type="dxa"/>
          <w:tcBorders>
            <w:top w:val="nil"/>
            <w:left w:val="nil"/>
            <w:bottom w:val="single" w:sz="4" w:space="0" w:color="auto"/>
            <w:right w:val="single" w:sz="4" w:space="0" w:color="auto"/>
          </w:tcBorders>
          <w:shd w:val="clear" w:color="auto" w:fill="auto"/>
          <w:noWrap/>
          <w:vAlign w:val="bottom"/>
          <w:hideMark/>
        </w:tcPr>
        <w:p w14:paraId="6543771B" w14:textId="77777777" w:rsidR="005F3FCF" w:rsidRPr="0058335F" w:rsidRDefault="005F3FCF" w:rsidP="00816745">
          <w:pPr>
            <w:jc w:val="center"/>
            <w:rPr>
              <w:rFonts w:ascii="Calibri" w:eastAsia="Times New Roman" w:hAnsi="Calibri"/>
              <w:color w:val="404040" w:themeColor="text1" w:themeTint="BF"/>
              <w:szCs w:val="20"/>
            </w:rPr>
          </w:pPr>
          <w:r w:rsidRPr="0058335F">
            <w:rPr>
              <w:rFonts w:ascii="Calibri" w:eastAsia="Times New Roman" w:hAnsi="Calibri"/>
              <w:color w:val="404040" w:themeColor="text1" w:themeTint="BF"/>
              <w:szCs w:val="20"/>
            </w:rPr>
            <w:t xml:space="preserve">$   </w:t>
          </w:r>
          <w:r>
            <w:rPr>
              <w:rFonts w:ascii="Calibri" w:eastAsia="Times New Roman" w:hAnsi="Calibri"/>
              <w:color w:val="404040" w:themeColor="text1" w:themeTint="BF"/>
              <w:szCs w:val="20"/>
            </w:rPr>
            <w:t>342,000</w:t>
          </w:r>
        </w:p>
      </w:tc>
      <w:tc>
        <w:tcPr>
          <w:tcW w:w="1570" w:type="dxa"/>
          <w:tcBorders>
            <w:top w:val="nil"/>
            <w:left w:val="nil"/>
            <w:bottom w:val="single" w:sz="4" w:space="0" w:color="auto"/>
            <w:right w:val="single" w:sz="4" w:space="0" w:color="auto"/>
          </w:tcBorders>
          <w:shd w:val="clear" w:color="auto" w:fill="auto"/>
          <w:noWrap/>
          <w:vAlign w:val="bottom"/>
          <w:hideMark/>
        </w:tcPr>
        <w:p w14:paraId="683D455C" w14:textId="77777777" w:rsidR="005F3FCF" w:rsidRPr="0058335F" w:rsidRDefault="005F3FCF" w:rsidP="00816745">
          <w:pPr>
            <w:jc w:val="center"/>
            <w:rPr>
              <w:rFonts w:ascii="Calibri" w:eastAsia="Times New Roman" w:hAnsi="Calibri"/>
              <w:color w:val="404040" w:themeColor="text1" w:themeTint="BF"/>
              <w:szCs w:val="20"/>
              <w:highlight w:val="yellow"/>
            </w:rPr>
          </w:pPr>
          <w:r w:rsidRPr="0058335F">
            <w:rPr>
              <w:rFonts w:ascii="Calibri" w:eastAsia="Times New Roman" w:hAnsi="Calibri"/>
              <w:color w:val="404040" w:themeColor="text1" w:themeTint="BF"/>
              <w:szCs w:val="20"/>
            </w:rPr>
            <w:t>$</w:t>
          </w:r>
          <w:r>
            <w:rPr>
              <w:rFonts w:ascii="Calibri" w:eastAsia="Times New Roman" w:hAnsi="Calibri"/>
              <w:color w:val="404040" w:themeColor="text1" w:themeTint="BF"/>
              <w:szCs w:val="20"/>
            </w:rPr>
            <w:t xml:space="preserve">   </w:t>
          </w:r>
          <w:r w:rsidRPr="0058335F">
            <w:rPr>
              <w:rFonts w:ascii="Calibri" w:eastAsia="Times New Roman" w:hAnsi="Calibri"/>
              <w:color w:val="404040" w:themeColor="text1" w:themeTint="BF"/>
              <w:szCs w:val="20"/>
            </w:rPr>
            <w:t>270,000</w:t>
          </w:r>
        </w:p>
      </w:tc>
      <w:tc>
        <w:tcPr>
          <w:tcW w:w="1930" w:type="dxa"/>
          <w:tcBorders>
            <w:top w:val="nil"/>
            <w:left w:val="nil"/>
            <w:bottom w:val="single" w:sz="4" w:space="0" w:color="auto"/>
            <w:right w:val="single" w:sz="4" w:space="0" w:color="auto"/>
          </w:tcBorders>
          <w:shd w:val="clear" w:color="auto" w:fill="auto"/>
          <w:noWrap/>
          <w:vAlign w:val="bottom"/>
          <w:hideMark/>
        </w:tcPr>
        <w:p w14:paraId="119AD29C" w14:textId="77777777" w:rsidR="005F3FCF" w:rsidRPr="0058335F" w:rsidRDefault="005F3FCF" w:rsidP="00816745">
          <w:pPr>
            <w:jc w:val="center"/>
            <w:rPr>
              <w:rFonts w:ascii="Calibri" w:eastAsia="Times New Roman" w:hAnsi="Calibri"/>
              <w:color w:val="404040" w:themeColor="text1" w:themeTint="BF"/>
              <w:szCs w:val="20"/>
              <w:highlight w:val="yellow"/>
            </w:rPr>
          </w:pPr>
          <w:r w:rsidRPr="00760262">
            <w:rPr>
              <w:rFonts w:ascii="Calibri" w:eastAsia="Times New Roman" w:hAnsi="Calibri"/>
              <w:color w:val="404040" w:themeColor="text1" w:themeTint="BF"/>
              <w:szCs w:val="20"/>
            </w:rPr>
            <w:t>$  0</w:t>
          </w:r>
        </w:p>
      </w:tc>
    </w:tr>
  </w:tbl>
  <w:p w14:paraId="21C41233" w14:textId="77777777" w:rsidR="005F3FCF" w:rsidRPr="005F3FCF" w:rsidRDefault="005F3FCF" w:rsidP="005F3FCF">
    <w:pPr>
      <w:pStyle w:val="Title"/>
      <w:spacing w:after="120"/>
      <w:ind w:left="360"/>
      <w:rPr>
        <w:rFonts w:ascii="Gotham Book" w:hAnsi="Gotham Book"/>
        <w:color w:val="404040"/>
        <w:sz w:val="22"/>
        <w:szCs w:val="22"/>
      </w:rPr>
    </w:pPr>
  </w:p>
  <w:p w14:paraId="79FAFB2D" w14:textId="77777777" w:rsidR="005F3FCF" w:rsidRPr="005F3FCF" w:rsidRDefault="005F3FCF" w:rsidP="005F3FCF">
    <w:pPr>
      <w:pStyle w:val="Title"/>
      <w:spacing w:after="120"/>
      <w:ind w:left="360"/>
      <w:rPr>
        <w:rFonts w:ascii="Gotham Book" w:hAnsi="Gotham Book"/>
        <w:color w:val="404040"/>
        <w:sz w:val="22"/>
        <w:szCs w:val="22"/>
      </w:rPr>
    </w:pPr>
  </w:p>
  <w:p w14:paraId="2C82E695" w14:textId="77777777" w:rsidR="005F3FCF" w:rsidRDefault="005F3FCF" w:rsidP="005F3FCF">
    <w:pPr>
      <w:pStyle w:val="Title"/>
      <w:spacing w:after="120"/>
      <w:rPr>
        <w:rFonts w:asciiTheme="minorHAnsi" w:hAnsiTheme="minorHAnsi" w:cstheme="minorHAnsi"/>
        <w:color w:val="404040" w:themeColor="text1" w:themeTint="BF"/>
        <w:szCs w:val="20"/>
      </w:rPr>
    </w:pPr>
    <w:r w:rsidRPr="005F3FCF">
      <w:rPr>
        <w:rFonts w:ascii="Gotham Book" w:hAnsi="Gotham Book"/>
        <w:b/>
        <w:color w:val="323E4F"/>
        <w:sz w:val="24"/>
      </w:rPr>
      <w:t>Salt</w:t>
    </w:r>
    <w:r>
      <w:rPr>
        <w:rFonts w:asciiTheme="minorHAnsi" w:hAnsiTheme="minorHAnsi" w:cstheme="minorHAnsi"/>
        <w:color w:val="404040" w:themeColor="text1" w:themeTint="BF"/>
        <w:szCs w:val="20"/>
      </w:rPr>
      <w:t xml:space="preserve"> Lake City generated </w:t>
    </w:r>
    <w:r w:rsidRPr="00DA7248">
      <w:rPr>
        <w:rFonts w:asciiTheme="minorHAnsi" w:hAnsiTheme="minorHAnsi" w:cstheme="minorHAnsi"/>
        <w:color w:val="404040" w:themeColor="text1" w:themeTint="BF"/>
        <w:szCs w:val="20"/>
      </w:rPr>
      <w:t>$3</w:t>
    </w:r>
    <w:r>
      <w:rPr>
        <w:rFonts w:asciiTheme="minorHAnsi" w:hAnsiTheme="minorHAnsi" w:cstheme="minorHAnsi"/>
        <w:color w:val="404040" w:themeColor="text1" w:themeTint="BF"/>
        <w:szCs w:val="20"/>
      </w:rPr>
      <w:t xml:space="preserve">42,000 in HOME program income during the year, and expended a total of </w:t>
    </w:r>
    <w:r w:rsidRPr="00DA7248">
      <w:rPr>
        <w:rFonts w:asciiTheme="minorHAnsi" w:hAnsiTheme="minorHAnsi" w:cstheme="minorHAnsi"/>
        <w:color w:val="404040" w:themeColor="text1" w:themeTint="BF"/>
        <w:szCs w:val="20"/>
      </w:rPr>
      <w:t>$</w:t>
    </w:r>
    <w:r>
      <w:rPr>
        <w:rFonts w:asciiTheme="minorHAnsi" w:hAnsiTheme="minorHAnsi" w:cstheme="minorHAnsi"/>
        <w:color w:val="404040" w:themeColor="text1" w:themeTint="BF"/>
        <w:szCs w:val="20"/>
      </w:rPr>
      <w:t>342,000 leaving a balance of $0.</w:t>
    </w:r>
  </w:p>
  <w:p w14:paraId="34D4B813" w14:textId="77777777" w:rsidR="005F3FCF" w:rsidRPr="005F3FCF" w:rsidRDefault="005F3FCF" w:rsidP="005F3FCF">
    <w:pPr>
      <w:pStyle w:val="Title"/>
      <w:spacing w:after="120"/>
      <w:ind w:left="360"/>
      <w:rPr>
        <w:rFonts w:ascii="Gotham Book" w:hAnsi="Gotham Book"/>
        <w:b/>
        <w:color w:val="323E4F"/>
        <w:sz w:val="24"/>
      </w:rPr>
    </w:pPr>
  </w:p>
  <w:p w14:paraId="5FA6717D" w14:textId="77777777" w:rsidR="005F3FCF" w:rsidRPr="005F3FCF" w:rsidRDefault="005F3FCF" w:rsidP="005F3FCF">
    <w:pPr>
      <w:pStyle w:val="Title"/>
      <w:spacing w:after="120"/>
      <w:ind w:left="360"/>
      <w:rPr>
        <w:rFonts w:ascii="Calibri" w:hAnsi="Calibri" w:cs="Calibri"/>
        <w:i/>
        <w:color w:val="44546A"/>
        <w:sz w:val="18"/>
        <w:szCs w:val="18"/>
      </w:rPr>
    </w:pPr>
    <w:r w:rsidRPr="005F3FCF">
      <w:rPr>
        <w:rFonts w:ascii="Calibri" w:hAnsi="Calibri" w:cs="Calibri"/>
        <w:b/>
        <w:color w:val="44546A"/>
        <w:sz w:val="24"/>
      </w:rPr>
      <w:t xml:space="preserve">Table 8 - Minority Business and </w:t>
    </w:r>
    <w:r w:rsidRPr="005F3FCF">
      <w:rPr>
        <w:rFonts w:ascii="Calibri" w:hAnsi="Calibri" w:cs="Calibri"/>
        <w:i/>
        <w:color w:val="44546A"/>
        <w:sz w:val="18"/>
        <w:szCs w:val="18"/>
      </w:rPr>
      <w:t xml:space="preserve">Women Business Enterprises </w:t>
    </w:r>
  </w:p>
  <w:tbl>
    <w:tblPr>
      <w:tblW w:w="0" w:type="auto"/>
      <w:tblInd w:w="360" w:type="dxa"/>
      <w:tblLook w:val="04A0" w:firstRow="1" w:lastRow="0" w:firstColumn="1" w:lastColumn="0" w:noHBand="0" w:noVBand="1"/>
    </w:tblPr>
    <w:tblGrid>
      <w:gridCol w:w="6608"/>
      <w:gridCol w:w="3328"/>
      <w:gridCol w:w="1244"/>
      <w:gridCol w:w="1000"/>
      <w:gridCol w:w="1000"/>
      <w:gridCol w:w="1000"/>
      <w:gridCol w:w="1000"/>
    </w:tblGrid>
    <w:tr w:rsidR="005F3FCF" w:rsidRPr="006723EF" w14:paraId="74F6BB4D" w14:textId="77777777" w:rsidTr="005F3FCF">
      <w:trPr>
        <w:cantSplit/>
      </w:trPr>
      <w:tc>
        <w:tcPr>
          <w:tcW w:w="6608" w:type="dxa"/>
          <w:vMerge w:val="restart"/>
          <w:vAlign w:val="center"/>
          <w:hideMark/>
        </w:tcPr>
        <w:p w14:paraId="0F5CB848" w14:textId="77777777" w:rsidR="005F3FCF" w:rsidRPr="005F3FCF" w:rsidRDefault="005F3FCF" w:rsidP="005F3FCF">
          <w:pPr>
            <w:pStyle w:val="Title"/>
            <w:spacing w:after="120"/>
            <w:ind w:right="360"/>
            <w:jc w:val="left"/>
            <w:rPr>
              <w:rFonts w:ascii="Gotham Book" w:hAnsi="Gotham Book"/>
              <w:b/>
              <w:color w:val="404040"/>
              <w:sz w:val="22"/>
              <w:szCs w:val="22"/>
            </w:rPr>
          </w:pPr>
          <w:r w:rsidRPr="005F3FCF">
            <w:rPr>
              <w:rFonts w:ascii="Gotham Book" w:hAnsi="Gotham Book"/>
              <w:b/>
              <w:color w:val="404040"/>
              <w:sz w:val="22"/>
              <w:szCs w:val="22"/>
            </w:rPr>
            <w:t> </w:t>
          </w:r>
        </w:p>
      </w:tc>
      <w:tc>
        <w:tcPr>
          <w:tcW w:w="3328" w:type="dxa"/>
          <w:vMerge w:val="restart"/>
          <w:vAlign w:val="center"/>
          <w:hideMark/>
        </w:tcPr>
        <w:p w14:paraId="73165CE6"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Total</w:t>
          </w:r>
        </w:p>
      </w:tc>
      <w:tc>
        <w:tcPr>
          <w:tcW w:w="4244" w:type="dxa"/>
          <w:gridSpan w:val="4"/>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3BF6CCFB" w14:textId="77777777" w:rsidR="005F3FCF" w:rsidRPr="006723EF" w:rsidRDefault="005F3FCF" w:rsidP="00816745">
          <w:pPr>
            <w:jc w:val="center"/>
            <w:rPr>
              <w:rFonts w:asciiTheme="minorHAnsi" w:eastAsia="Times New Roman" w:hAnsiTheme="minorHAnsi"/>
              <w:b/>
              <w:bCs/>
              <w:color w:val="404040" w:themeColor="text1" w:themeTint="BF"/>
              <w:szCs w:val="20"/>
            </w:rPr>
          </w:pPr>
          <w:r w:rsidRPr="006723EF">
            <w:rPr>
              <w:rFonts w:asciiTheme="minorHAnsi" w:eastAsia="Times New Roman" w:hAnsiTheme="minorHAnsi"/>
              <w:b/>
              <w:bCs/>
              <w:color w:val="404040" w:themeColor="text1" w:themeTint="BF"/>
              <w:szCs w:val="20"/>
            </w:rPr>
            <w:t>Minority Business Enterprises</w:t>
          </w:r>
        </w:p>
      </w:tc>
      <w:tc>
        <w:tcPr>
          <w:tcW w:w="100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14:paraId="0622828B" w14:textId="77777777" w:rsidR="005F3FCF" w:rsidRPr="006723EF" w:rsidRDefault="005F3FCF" w:rsidP="00816745">
          <w:pPr>
            <w:jc w:val="center"/>
            <w:rPr>
              <w:rFonts w:asciiTheme="minorHAnsi" w:eastAsia="Times New Roman" w:hAnsiTheme="minorHAnsi"/>
              <w:b/>
              <w:bCs/>
              <w:color w:val="404040" w:themeColor="text1" w:themeTint="BF"/>
              <w:szCs w:val="20"/>
            </w:rPr>
          </w:pPr>
          <w:r w:rsidRPr="006723EF">
            <w:rPr>
              <w:rFonts w:asciiTheme="minorHAnsi" w:eastAsia="Times New Roman" w:hAnsiTheme="minorHAnsi"/>
              <w:b/>
              <w:bCs/>
              <w:color w:val="404040" w:themeColor="text1" w:themeTint="BF"/>
              <w:szCs w:val="20"/>
            </w:rPr>
            <w:t>White Non-Hispanic</w:t>
          </w:r>
        </w:p>
      </w:tc>
    </w:tr>
    <w:tr w:rsidR="005F3FCF" w:rsidRPr="006723EF" w14:paraId="4A3EB62B" w14:textId="77777777" w:rsidTr="005F3FCF">
      <w:tc>
        <w:tcPr>
          <w:tcW w:w="6608" w:type="dxa"/>
          <w:vMerge/>
          <w:vAlign w:val="center"/>
          <w:hideMark/>
        </w:tcPr>
        <w:p w14:paraId="387C6AA4" w14:textId="77777777" w:rsidR="005F3FCF" w:rsidRPr="005F3FCF" w:rsidRDefault="005F3FCF" w:rsidP="005F3FCF">
          <w:pPr>
            <w:pStyle w:val="Title"/>
            <w:spacing w:after="120"/>
            <w:ind w:right="360"/>
            <w:jc w:val="left"/>
            <w:rPr>
              <w:rFonts w:ascii="Gotham Book" w:hAnsi="Gotham Book"/>
              <w:b/>
              <w:color w:val="404040"/>
              <w:sz w:val="22"/>
              <w:szCs w:val="22"/>
            </w:rPr>
          </w:pPr>
        </w:p>
      </w:tc>
      <w:tc>
        <w:tcPr>
          <w:tcW w:w="3328" w:type="dxa"/>
          <w:vMerge/>
          <w:vAlign w:val="center"/>
          <w:hideMark/>
        </w:tcPr>
        <w:p w14:paraId="1813DE30" w14:textId="77777777" w:rsidR="005F3FCF" w:rsidRPr="005F3FCF" w:rsidRDefault="005F3FCF" w:rsidP="005F3FCF">
          <w:pPr>
            <w:pStyle w:val="Title"/>
            <w:spacing w:after="120"/>
            <w:ind w:right="360"/>
            <w:rPr>
              <w:rFonts w:ascii="Gotham Book" w:hAnsi="Gotham Book"/>
              <w:b/>
              <w:color w:val="404040"/>
              <w:sz w:val="22"/>
              <w:szCs w:val="22"/>
            </w:rPr>
          </w:pPr>
        </w:p>
      </w:tc>
      <w:tc>
        <w:tcPr>
          <w:tcW w:w="1244" w:type="dxa"/>
          <w:tcBorders>
            <w:top w:val="nil"/>
            <w:left w:val="nil"/>
            <w:bottom w:val="single" w:sz="8" w:space="0" w:color="auto"/>
            <w:right w:val="single" w:sz="8" w:space="0" w:color="auto"/>
          </w:tcBorders>
          <w:shd w:val="clear" w:color="auto" w:fill="C6D9F1" w:themeFill="text2" w:themeFillTint="33"/>
          <w:vAlign w:val="center"/>
          <w:hideMark/>
        </w:tcPr>
        <w:p w14:paraId="4D3F8B4A" w14:textId="77777777" w:rsidR="005F3FCF" w:rsidRPr="006723EF" w:rsidRDefault="005F3FCF" w:rsidP="00816745">
          <w:pPr>
            <w:jc w:val="center"/>
            <w:rPr>
              <w:rFonts w:asciiTheme="minorHAnsi" w:eastAsia="Times New Roman" w:hAnsiTheme="minorHAnsi"/>
              <w:b/>
              <w:bCs/>
              <w:color w:val="404040" w:themeColor="text1" w:themeTint="BF"/>
              <w:szCs w:val="20"/>
            </w:rPr>
          </w:pPr>
          <w:r w:rsidRPr="006723EF">
            <w:rPr>
              <w:rFonts w:asciiTheme="minorHAnsi" w:eastAsia="Times New Roman" w:hAnsiTheme="minorHAnsi"/>
              <w:b/>
              <w:bCs/>
              <w:color w:val="404040" w:themeColor="text1" w:themeTint="BF"/>
              <w:szCs w:val="20"/>
            </w:rPr>
            <w:t>Alaskan Native or American Indian</w:t>
          </w:r>
        </w:p>
      </w:tc>
      <w:tc>
        <w:tcPr>
          <w:tcW w:w="1000" w:type="dxa"/>
          <w:tcBorders>
            <w:top w:val="nil"/>
            <w:left w:val="nil"/>
            <w:bottom w:val="single" w:sz="8" w:space="0" w:color="auto"/>
            <w:right w:val="single" w:sz="8" w:space="0" w:color="auto"/>
          </w:tcBorders>
          <w:shd w:val="clear" w:color="auto" w:fill="C6D9F1" w:themeFill="text2" w:themeFillTint="33"/>
          <w:vAlign w:val="center"/>
          <w:hideMark/>
        </w:tcPr>
        <w:p w14:paraId="19CF6409" w14:textId="77777777" w:rsidR="005F3FCF" w:rsidRPr="006723EF" w:rsidRDefault="005F3FCF" w:rsidP="00816745">
          <w:pPr>
            <w:jc w:val="center"/>
            <w:rPr>
              <w:rFonts w:asciiTheme="minorHAnsi" w:eastAsia="Times New Roman" w:hAnsiTheme="minorHAnsi"/>
              <w:b/>
              <w:bCs/>
              <w:color w:val="404040" w:themeColor="text1" w:themeTint="BF"/>
              <w:szCs w:val="20"/>
            </w:rPr>
          </w:pPr>
          <w:r w:rsidRPr="006723EF">
            <w:rPr>
              <w:rFonts w:asciiTheme="minorHAnsi" w:eastAsia="Times New Roman" w:hAnsiTheme="minorHAnsi"/>
              <w:b/>
              <w:bCs/>
              <w:color w:val="404040" w:themeColor="text1" w:themeTint="BF"/>
              <w:szCs w:val="20"/>
            </w:rPr>
            <w:t>Asian or Pacific Islander</w:t>
          </w:r>
        </w:p>
      </w:tc>
      <w:tc>
        <w:tcPr>
          <w:tcW w:w="1000" w:type="dxa"/>
          <w:tcBorders>
            <w:top w:val="nil"/>
            <w:left w:val="nil"/>
            <w:bottom w:val="single" w:sz="8" w:space="0" w:color="auto"/>
            <w:right w:val="single" w:sz="8" w:space="0" w:color="auto"/>
          </w:tcBorders>
          <w:shd w:val="clear" w:color="auto" w:fill="C6D9F1" w:themeFill="text2" w:themeFillTint="33"/>
          <w:vAlign w:val="center"/>
          <w:hideMark/>
        </w:tcPr>
        <w:p w14:paraId="443D720E" w14:textId="77777777" w:rsidR="005F3FCF" w:rsidRPr="006723EF" w:rsidRDefault="005F3FCF" w:rsidP="00816745">
          <w:pPr>
            <w:jc w:val="center"/>
            <w:rPr>
              <w:rFonts w:asciiTheme="minorHAnsi" w:eastAsia="Times New Roman" w:hAnsiTheme="minorHAnsi"/>
              <w:b/>
              <w:bCs/>
              <w:color w:val="404040" w:themeColor="text1" w:themeTint="BF"/>
              <w:szCs w:val="20"/>
            </w:rPr>
          </w:pPr>
          <w:r w:rsidRPr="006723EF">
            <w:rPr>
              <w:rFonts w:asciiTheme="minorHAnsi" w:eastAsia="Times New Roman" w:hAnsiTheme="minorHAnsi"/>
              <w:b/>
              <w:bCs/>
              <w:color w:val="404040" w:themeColor="text1" w:themeTint="BF"/>
              <w:szCs w:val="20"/>
            </w:rPr>
            <w:t>Black Non-Hispanic</w:t>
          </w:r>
        </w:p>
      </w:tc>
      <w:tc>
        <w:tcPr>
          <w:tcW w:w="1000" w:type="dxa"/>
          <w:tcBorders>
            <w:top w:val="nil"/>
            <w:left w:val="nil"/>
            <w:bottom w:val="single" w:sz="8" w:space="0" w:color="auto"/>
            <w:right w:val="single" w:sz="8" w:space="0" w:color="auto"/>
          </w:tcBorders>
          <w:shd w:val="clear" w:color="auto" w:fill="C6D9F1" w:themeFill="text2" w:themeFillTint="33"/>
          <w:vAlign w:val="center"/>
          <w:hideMark/>
        </w:tcPr>
        <w:p w14:paraId="044D5330" w14:textId="77777777" w:rsidR="005F3FCF" w:rsidRPr="006723EF" w:rsidRDefault="005F3FCF" w:rsidP="00816745">
          <w:pPr>
            <w:jc w:val="center"/>
            <w:rPr>
              <w:rFonts w:asciiTheme="minorHAnsi" w:eastAsia="Times New Roman" w:hAnsiTheme="minorHAnsi"/>
              <w:b/>
              <w:bCs/>
              <w:color w:val="404040" w:themeColor="text1" w:themeTint="BF"/>
              <w:szCs w:val="20"/>
            </w:rPr>
          </w:pPr>
          <w:r w:rsidRPr="006723EF">
            <w:rPr>
              <w:rFonts w:asciiTheme="minorHAnsi" w:eastAsia="Times New Roman" w:hAnsiTheme="minorHAnsi"/>
              <w:b/>
              <w:bCs/>
              <w:color w:val="404040" w:themeColor="text1" w:themeTint="BF"/>
              <w:szCs w:val="20"/>
            </w:rPr>
            <w:t>Hispanic</w:t>
          </w:r>
        </w:p>
      </w:tc>
      <w:tc>
        <w:tcPr>
          <w:tcW w:w="1000" w:type="dxa"/>
          <w:vMerge/>
          <w:tcBorders>
            <w:top w:val="single" w:sz="8" w:space="0" w:color="auto"/>
            <w:left w:val="single" w:sz="8" w:space="0" w:color="auto"/>
            <w:bottom w:val="single" w:sz="8" w:space="0" w:color="000000"/>
            <w:right w:val="single" w:sz="8" w:space="0" w:color="auto"/>
          </w:tcBorders>
          <w:vAlign w:val="center"/>
          <w:hideMark/>
        </w:tcPr>
        <w:p w14:paraId="257D1295" w14:textId="77777777" w:rsidR="005F3FCF" w:rsidRPr="006723EF" w:rsidRDefault="005F3FCF" w:rsidP="00816745">
          <w:pPr>
            <w:rPr>
              <w:rFonts w:asciiTheme="minorHAnsi" w:eastAsia="Times New Roman" w:hAnsiTheme="minorHAnsi"/>
              <w:b/>
              <w:bCs/>
              <w:color w:val="404040" w:themeColor="text1" w:themeTint="BF"/>
              <w:szCs w:val="20"/>
            </w:rPr>
          </w:pPr>
        </w:p>
      </w:tc>
    </w:tr>
    <w:tr w:rsidR="005F3FCF" w:rsidRPr="006723EF" w14:paraId="32532938" w14:textId="77777777" w:rsidTr="005F3FCF">
      <w:trPr>
        <w:gridAfter w:val="6"/>
        <w:wAfter w:w="8572" w:type="dxa"/>
        <w:cantSplit/>
      </w:trPr>
      <w:tc>
        <w:tcPr>
          <w:tcW w:w="6608" w:type="dxa"/>
          <w:vAlign w:val="center"/>
          <w:hideMark/>
        </w:tcPr>
        <w:p w14:paraId="62DF79DE" w14:textId="77777777" w:rsidR="005F3FCF" w:rsidRPr="005F3FCF" w:rsidRDefault="005F3FCF" w:rsidP="005F3FCF">
          <w:pPr>
            <w:pStyle w:val="Title"/>
            <w:spacing w:after="120"/>
            <w:ind w:right="360"/>
            <w:jc w:val="left"/>
            <w:rPr>
              <w:rFonts w:ascii="Gotham Book" w:hAnsi="Gotham Book"/>
              <w:b/>
              <w:color w:val="404040"/>
              <w:sz w:val="22"/>
              <w:szCs w:val="22"/>
            </w:rPr>
          </w:pPr>
          <w:r w:rsidRPr="005F3FCF">
            <w:rPr>
              <w:rFonts w:ascii="Gotham Book" w:hAnsi="Gotham Book"/>
              <w:b/>
              <w:color w:val="404040"/>
              <w:sz w:val="22"/>
              <w:szCs w:val="22"/>
            </w:rPr>
            <w:t>Contracts</w:t>
          </w:r>
        </w:p>
      </w:tc>
    </w:tr>
    <w:tr w:rsidR="005F3FCF" w:rsidRPr="006723EF" w14:paraId="2F6FAF48" w14:textId="77777777" w:rsidTr="005F3FCF">
      <w:trPr>
        <w:cantSplit/>
      </w:trPr>
      <w:tc>
        <w:tcPr>
          <w:tcW w:w="6608" w:type="dxa"/>
          <w:vAlign w:val="center"/>
          <w:hideMark/>
        </w:tcPr>
        <w:p w14:paraId="3B610E94" w14:textId="77777777" w:rsidR="005F3FCF" w:rsidRPr="006723EF" w:rsidRDefault="005F3FCF" w:rsidP="005F3FCF">
          <w:pPr>
            <w:pStyle w:val="Title"/>
            <w:spacing w:after="120"/>
            <w:ind w:right="360"/>
            <w:jc w:val="left"/>
            <w:rPr>
              <w:rFonts w:asciiTheme="minorHAnsi" w:eastAsia="Times New Roman" w:hAnsiTheme="minorHAnsi"/>
              <w:color w:val="404040" w:themeColor="text1" w:themeTint="BF"/>
              <w:szCs w:val="20"/>
            </w:rPr>
          </w:pPr>
          <w:r w:rsidRPr="005F3FCF">
            <w:rPr>
              <w:rFonts w:ascii="Gotham Book" w:hAnsi="Gotham Book"/>
              <w:b/>
              <w:color w:val="404040"/>
              <w:sz w:val="22"/>
              <w:szCs w:val="22"/>
            </w:rPr>
            <w:t xml:space="preserve">Dollar </w:t>
          </w:r>
          <w:r w:rsidRPr="006723EF">
            <w:rPr>
              <w:rFonts w:asciiTheme="minorHAnsi" w:eastAsia="Times New Roman" w:hAnsiTheme="minorHAnsi"/>
              <w:color w:val="404040" w:themeColor="text1" w:themeTint="BF"/>
              <w:szCs w:val="20"/>
            </w:rPr>
            <w:t>Amount</w:t>
          </w:r>
        </w:p>
      </w:tc>
      <w:tc>
        <w:tcPr>
          <w:tcW w:w="3328" w:type="dxa"/>
          <w:vAlign w:val="center"/>
          <w:hideMark/>
        </w:tcPr>
        <w:p w14:paraId="15791750"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0</w:t>
          </w:r>
        </w:p>
      </w:tc>
      <w:tc>
        <w:tcPr>
          <w:tcW w:w="1244" w:type="dxa"/>
          <w:tcBorders>
            <w:top w:val="nil"/>
            <w:left w:val="nil"/>
            <w:bottom w:val="single" w:sz="8" w:space="0" w:color="auto"/>
            <w:right w:val="single" w:sz="8" w:space="0" w:color="auto"/>
          </w:tcBorders>
          <w:shd w:val="clear" w:color="auto" w:fill="auto"/>
          <w:vAlign w:val="center"/>
          <w:hideMark/>
        </w:tcPr>
        <w:p w14:paraId="61801FD8"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0B527BC3"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76629698"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3F382C3F"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69063D6F"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r>
    <w:tr w:rsidR="005F3FCF" w:rsidRPr="006723EF" w14:paraId="3F7AAC70" w14:textId="77777777" w:rsidTr="005F3FCF">
      <w:trPr>
        <w:cantSplit/>
      </w:trPr>
      <w:tc>
        <w:tcPr>
          <w:tcW w:w="6608" w:type="dxa"/>
          <w:vAlign w:val="center"/>
          <w:hideMark/>
        </w:tcPr>
        <w:p w14:paraId="6AA41C78" w14:textId="77777777" w:rsidR="005F3FCF" w:rsidRPr="005F3FCF" w:rsidRDefault="005F3FCF" w:rsidP="005F3FCF">
          <w:pPr>
            <w:pStyle w:val="Title"/>
            <w:spacing w:after="120"/>
            <w:ind w:right="360"/>
            <w:jc w:val="left"/>
            <w:rPr>
              <w:rFonts w:ascii="Gotham Book" w:hAnsi="Gotham Book"/>
              <w:b/>
              <w:color w:val="404040"/>
              <w:sz w:val="22"/>
              <w:szCs w:val="22"/>
            </w:rPr>
          </w:pPr>
          <w:r w:rsidRPr="005F3FCF">
            <w:rPr>
              <w:rFonts w:ascii="Gotham Book" w:hAnsi="Gotham Book"/>
              <w:b/>
              <w:color w:val="404040"/>
              <w:sz w:val="22"/>
              <w:szCs w:val="22"/>
            </w:rPr>
            <w:t>Number</w:t>
          </w:r>
        </w:p>
      </w:tc>
      <w:tc>
        <w:tcPr>
          <w:tcW w:w="3328" w:type="dxa"/>
          <w:vAlign w:val="center"/>
          <w:hideMark/>
        </w:tcPr>
        <w:p w14:paraId="34E51417"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0</w:t>
          </w:r>
        </w:p>
      </w:tc>
      <w:tc>
        <w:tcPr>
          <w:tcW w:w="1244" w:type="dxa"/>
          <w:tcBorders>
            <w:top w:val="nil"/>
            <w:left w:val="nil"/>
            <w:bottom w:val="single" w:sz="8" w:space="0" w:color="auto"/>
            <w:right w:val="single" w:sz="8" w:space="0" w:color="auto"/>
          </w:tcBorders>
          <w:shd w:val="clear" w:color="auto" w:fill="auto"/>
          <w:vAlign w:val="center"/>
          <w:hideMark/>
        </w:tcPr>
        <w:p w14:paraId="534090CB"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6EFF9ECC"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5F7BFD41"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32AF9E46"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1657C058"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r>
    <w:tr w:rsidR="005F3FCF" w:rsidRPr="006723EF" w14:paraId="638DC723" w14:textId="77777777" w:rsidTr="005F3FCF">
      <w:tc>
        <w:tcPr>
          <w:tcW w:w="6608" w:type="dxa"/>
          <w:noWrap/>
          <w:vAlign w:val="center"/>
          <w:hideMark/>
        </w:tcPr>
        <w:p w14:paraId="60360E91" w14:textId="77777777" w:rsidR="005F3FCF" w:rsidRPr="005F3FCF" w:rsidRDefault="005F3FCF" w:rsidP="005F3FCF">
          <w:pPr>
            <w:pStyle w:val="Title"/>
            <w:spacing w:after="120"/>
            <w:ind w:right="360"/>
            <w:jc w:val="left"/>
            <w:rPr>
              <w:rFonts w:ascii="Gotham Book" w:hAnsi="Gotham Book"/>
              <w:b/>
              <w:color w:val="404040"/>
              <w:sz w:val="22"/>
              <w:szCs w:val="22"/>
            </w:rPr>
          </w:pPr>
        </w:p>
      </w:tc>
      <w:tc>
        <w:tcPr>
          <w:tcW w:w="3328" w:type="dxa"/>
          <w:noWrap/>
          <w:vAlign w:val="bottom"/>
          <w:hideMark/>
        </w:tcPr>
        <w:p w14:paraId="14D9AE44" w14:textId="77777777" w:rsidR="005F3FCF" w:rsidRPr="005F3FCF" w:rsidRDefault="005F3FCF" w:rsidP="005F3FCF">
          <w:pPr>
            <w:pStyle w:val="Title"/>
            <w:spacing w:after="120"/>
            <w:ind w:right="360"/>
            <w:rPr>
              <w:rFonts w:ascii="Gotham Book" w:hAnsi="Gotham Book"/>
              <w:b/>
              <w:color w:val="404040"/>
              <w:sz w:val="22"/>
              <w:szCs w:val="22"/>
            </w:rPr>
          </w:pPr>
        </w:p>
      </w:tc>
      <w:tc>
        <w:tcPr>
          <w:tcW w:w="1244" w:type="dxa"/>
          <w:tcBorders>
            <w:top w:val="nil"/>
            <w:left w:val="nil"/>
            <w:bottom w:val="nil"/>
            <w:right w:val="nil"/>
          </w:tcBorders>
          <w:shd w:val="clear" w:color="auto" w:fill="auto"/>
          <w:noWrap/>
          <w:vAlign w:val="bottom"/>
          <w:hideMark/>
        </w:tcPr>
        <w:p w14:paraId="7DFF1528" w14:textId="77777777" w:rsidR="005F3FCF" w:rsidRPr="006723EF" w:rsidRDefault="005F3FCF" w:rsidP="00816745">
          <w:pPr>
            <w:rPr>
              <w:rFonts w:asciiTheme="minorHAnsi" w:eastAsia="Times New Roman" w:hAnsiTheme="minorHAnsi"/>
              <w:color w:val="404040" w:themeColor="text1" w:themeTint="BF"/>
              <w:szCs w:val="20"/>
            </w:rPr>
          </w:pPr>
        </w:p>
      </w:tc>
      <w:tc>
        <w:tcPr>
          <w:tcW w:w="1000" w:type="dxa"/>
          <w:tcBorders>
            <w:top w:val="nil"/>
            <w:left w:val="nil"/>
            <w:bottom w:val="nil"/>
            <w:right w:val="nil"/>
          </w:tcBorders>
          <w:shd w:val="clear" w:color="auto" w:fill="auto"/>
          <w:noWrap/>
          <w:vAlign w:val="bottom"/>
          <w:hideMark/>
        </w:tcPr>
        <w:p w14:paraId="3DDB910C" w14:textId="77777777" w:rsidR="005F3FCF" w:rsidRPr="006723EF" w:rsidRDefault="005F3FCF" w:rsidP="00816745">
          <w:pPr>
            <w:rPr>
              <w:rFonts w:asciiTheme="minorHAnsi" w:eastAsia="Times New Roman" w:hAnsiTheme="minorHAnsi"/>
              <w:color w:val="404040" w:themeColor="text1" w:themeTint="BF"/>
              <w:szCs w:val="20"/>
            </w:rPr>
          </w:pPr>
        </w:p>
      </w:tc>
      <w:tc>
        <w:tcPr>
          <w:tcW w:w="1000" w:type="dxa"/>
          <w:tcBorders>
            <w:top w:val="nil"/>
            <w:left w:val="nil"/>
            <w:bottom w:val="nil"/>
            <w:right w:val="nil"/>
          </w:tcBorders>
          <w:shd w:val="clear" w:color="auto" w:fill="auto"/>
          <w:noWrap/>
          <w:vAlign w:val="bottom"/>
          <w:hideMark/>
        </w:tcPr>
        <w:p w14:paraId="2B585A65" w14:textId="77777777" w:rsidR="005F3FCF" w:rsidRPr="006723EF" w:rsidRDefault="005F3FCF" w:rsidP="00816745">
          <w:pPr>
            <w:rPr>
              <w:rFonts w:asciiTheme="minorHAnsi" w:eastAsia="Times New Roman" w:hAnsiTheme="minorHAnsi"/>
              <w:color w:val="404040" w:themeColor="text1" w:themeTint="BF"/>
              <w:szCs w:val="20"/>
            </w:rPr>
          </w:pPr>
        </w:p>
      </w:tc>
      <w:tc>
        <w:tcPr>
          <w:tcW w:w="1000" w:type="dxa"/>
          <w:tcBorders>
            <w:top w:val="nil"/>
            <w:left w:val="nil"/>
            <w:bottom w:val="nil"/>
            <w:right w:val="nil"/>
          </w:tcBorders>
          <w:shd w:val="clear" w:color="auto" w:fill="auto"/>
          <w:noWrap/>
          <w:vAlign w:val="bottom"/>
          <w:hideMark/>
        </w:tcPr>
        <w:p w14:paraId="779090C8" w14:textId="77777777" w:rsidR="005F3FCF" w:rsidRPr="006723EF" w:rsidRDefault="005F3FCF" w:rsidP="00816745">
          <w:pPr>
            <w:rPr>
              <w:rFonts w:asciiTheme="minorHAnsi" w:eastAsia="Times New Roman" w:hAnsiTheme="minorHAnsi"/>
              <w:color w:val="404040" w:themeColor="text1" w:themeTint="BF"/>
              <w:szCs w:val="20"/>
            </w:rPr>
          </w:pPr>
        </w:p>
      </w:tc>
      <w:tc>
        <w:tcPr>
          <w:tcW w:w="1000" w:type="dxa"/>
          <w:tcBorders>
            <w:top w:val="nil"/>
            <w:left w:val="nil"/>
            <w:bottom w:val="nil"/>
            <w:right w:val="nil"/>
          </w:tcBorders>
          <w:shd w:val="clear" w:color="auto" w:fill="auto"/>
          <w:noWrap/>
          <w:vAlign w:val="bottom"/>
          <w:hideMark/>
        </w:tcPr>
        <w:p w14:paraId="000F3C6D" w14:textId="77777777" w:rsidR="005F3FCF" w:rsidRPr="006723EF" w:rsidRDefault="005F3FCF" w:rsidP="00816745">
          <w:pPr>
            <w:rPr>
              <w:rFonts w:asciiTheme="minorHAnsi" w:eastAsia="Times New Roman" w:hAnsiTheme="minorHAnsi"/>
              <w:color w:val="404040" w:themeColor="text1" w:themeTint="BF"/>
              <w:szCs w:val="20"/>
            </w:rPr>
          </w:pPr>
        </w:p>
      </w:tc>
    </w:tr>
    <w:tr w:rsidR="005F3FCF" w:rsidRPr="006723EF" w14:paraId="6F83FDC3" w14:textId="77777777" w:rsidTr="005F3FCF">
      <w:trPr>
        <w:gridAfter w:val="6"/>
        <w:wAfter w:w="8572" w:type="dxa"/>
        <w:cantSplit/>
      </w:trPr>
      <w:tc>
        <w:tcPr>
          <w:tcW w:w="6608" w:type="dxa"/>
          <w:vAlign w:val="center"/>
          <w:hideMark/>
        </w:tcPr>
        <w:p w14:paraId="511D63A1" w14:textId="77777777" w:rsidR="005F3FCF" w:rsidRPr="005F3FCF" w:rsidRDefault="005F3FCF" w:rsidP="005F3FCF">
          <w:pPr>
            <w:pStyle w:val="Title"/>
            <w:spacing w:after="120"/>
            <w:ind w:right="360"/>
            <w:jc w:val="left"/>
            <w:rPr>
              <w:rFonts w:ascii="Gotham Book" w:hAnsi="Gotham Book"/>
              <w:b/>
              <w:color w:val="404040"/>
              <w:sz w:val="22"/>
              <w:szCs w:val="22"/>
            </w:rPr>
          </w:pPr>
          <w:r w:rsidRPr="005F3FCF">
            <w:rPr>
              <w:rFonts w:ascii="Gotham Book" w:hAnsi="Gotham Book"/>
              <w:b/>
              <w:color w:val="404040"/>
              <w:sz w:val="22"/>
              <w:szCs w:val="22"/>
            </w:rPr>
            <w:t>Sub-Contracts</w:t>
          </w:r>
        </w:p>
      </w:tc>
    </w:tr>
    <w:tr w:rsidR="005F3FCF" w:rsidRPr="006723EF" w14:paraId="45344EDF" w14:textId="77777777" w:rsidTr="005F3FCF">
      <w:trPr>
        <w:cantSplit/>
      </w:trPr>
      <w:tc>
        <w:tcPr>
          <w:tcW w:w="6608" w:type="dxa"/>
          <w:vAlign w:val="center"/>
          <w:hideMark/>
        </w:tcPr>
        <w:p w14:paraId="35AB1FB8" w14:textId="77777777" w:rsidR="005F3FCF" w:rsidRPr="005F3FCF" w:rsidRDefault="005F3FCF" w:rsidP="005F3FCF">
          <w:pPr>
            <w:pStyle w:val="Title"/>
            <w:spacing w:after="120"/>
            <w:ind w:right="360"/>
            <w:jc w:val="left"/>
            <w:rPr>
              <w:rFonts w:ascii="Gotham Book" w:hAnsi="Gotham Book"/>
              <w:b/>
              <w:color w:val="404040"/>
              <w:sz w:val="22"/>
              <w:szCs w:val="22"/>
            </w:rPr>
          </w:pPr>
          <w:r w:rsidRPr="005F3FCF">
            <w:rPr>
              <w:rFonts w:ascii="Gotham Book" w:hAnsi="Gotham Book"/>
              <w:b/>
              <w:color w:val="404040"/>
              <w:sz w:val="22"/>
              <w:szCs w:val="22"/>
            </w:rPr>
            <w:t>Number</w:t>
          </w:r>
        </w:p>
      </w:tc>
      <w:tc>
        <w:tcPr>
          <w:tcW w:w="3328" w:type="dxa"/>
          <w:vAlign w:val="center"/>
          <w:hideMark/>
        </w:tcPr>
        <w:p w14:paraId="00ECB5AE"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0</w:t>
          </w:r>
        </w:p>
      </w:tc>
      <w:tc>
        <w:tcPr>
          <w:tcW w:w="1244" w:type="dxa"/>
          <w:tcBorders>
            <w:top w:val="nil"/>
            <w:left w:val="nil"/>
            <w:bottom w:val="single" w:sz="8" w:space="0" w:color="auto"/>
            <w:right w:val="single" w:sz="8" w:space="0" w:color="auto"/>
          </w:tcBorders>
          <w:shd w:val="clear" w:color="auto" w:fill="auto"/>
          <w:vAlign w:val="center"/>
          <w:hideMark/>
        </w:tcPr>
        <w:p w14:paraId="140293E7"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41F0C788"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4D237DBE"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659BAF33"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209D14D1"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r>
    <w:tr w:rsidR="005F3FCF" w:rsidRPr="006723EF" w14:paraId="750AA3B9" w14:textId="77777777" w:rsidTr="005F3FCF">
      <w:trPr>
        <w:cantSplit/>
      </w:trPr>
      <w:tc>
        <w:tcPr>
          <w:tcW w:w="6608" w:type="dxa"/>
          <w:vAlign w:val="center"/>
          <w:hideMark/>
        </w:tcPr>
        <w:p w14:paraId="02C29CA7" w14:textId="77777777" w:rsidR="005F3FCF" w:rsidRPr="006723EF" w:rsidRDefault="005F3FCF" w:rsidP="005F3FCF">
          <w:pPr>
            <w:pStyle w:val="Title"/>
            <w:spacing w:after="120"/>
            <w:ind w:right="360"/>
            <w:jc w:val="left"/>
            <w:rPr>
              <w:rFonts w:asciiTheme="minorHAnsi" w:eastAsia="Times New Roman" w:hAnsiTheme="minorHAnsi"/>
              <w:color w:val="404040" w:themeColor="text1" w:themeTint="BF"/>
              <w:szCs w:val="20"/>
            </w:rPr>
          </w:pPr>
          <w:r w:rsidRPr="005F3FCF">
            <w:rPr>
              <w:rFonts w:ascii="Gotham Book" w:hAnsi="Gotham Book"/>
              <w:b/>
              <w:color w:val="404040"/>
              <w:sz w:val="22"/>
              <w:szCs w:val="22"/>
            </w:rPr>
            <w:t xml:space="preserve">Dollar </w:t>
          </w:r>
          <w:r w:rsidRPr="006723EF">
            <w:rPr>
              <w:rFonts w:asciiTheme="minorHAnsi" w:eastAsia="Times New Roman" w:hAnsiTheme="minorHAnsi"/>
              <w:color w:val="404040" w:themeColor="text1" w:themeTint="BF"/>
              <w:szCs w:val="20"/>
            </w:rPr>
            <w:t>Amount</w:t>
          </w:r>
        </w:p>
      </w:tc>
      <w:tc>
        <w:tcPr>
          <w:tcW w:w="3328" w:type="dxa"/>
          <w:vAlign w:val="center"/>
          <w:hideMark/>
        </w:tcPr>
        <w:p w14:paraId="7F006BC3"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0</w:t>
          </w:r>
        </w:p>
      </w:tc>
      <w:tc>
        <w:tcPr>
          <w:tcW w:w="1244" w:type="dxa"/>
          <w:tcBorders>
            <w:top w:val="nil"/>
            <w:left w:val="nil"/>
            <w:bottom w:val="single" w:sz="8" w:space="0" w:color="auto"/>
            <w:right w:val="single" w:sz="8" w:space="0" w:color="auto"/>
          </w:tcBorders>
          <w:shd w:val="clear" w:color="auto" w:fill="auto"/>
          <w:vAlign w:val="center"/>
          <w:hideMark/>
        </w:tcPr>
        <w:p w14:paraId="4E33016A"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15CA2DBB"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084919D5"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7770AB03"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385D797E"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r>
    <w:tr w:rsidR="005F3FCF" w:rsidRPr="006723EF" w14:paraId="101C6A40" w14:textId="77777777" w:rsidTr="005F3FCF">
      <w:tc>
        <w:tcPr>
          <w:tcW w:w="6608" w:type="dxa"/>
          <w:noWrap/>
          <w:vAlign w:val="center"/>
          <w:hideMark/>
        </w:tcPr>
        <w:p w14:paraId="3437DEF4" w14:textId="77777777" w:rsidR="005F3FCF" w:rsidRPr="005F3FCF" w:rsidRDefault="005F3FCF" w:rsidP="005F3FCF">
          <w:pPr>
            <w:pStyle w:val="Title"/>
            <w:spacing w:after="120"/>
            <w:ind w:right="360"/>
            <w:jc w:val="left"/>
            <w:rPr>
              <w:rFonts w:ascii="Gotham Book" w:hAnsi="Gotham Book"/>
              <w:b/>
              <w:color w:val="404040"/>
              <w:sz w:val="22"/>
              <w:szCs w:val="22"/>
            </w:rPr>
          </w:pPr>
        </w:p>
      </w:tc>
      <w:tc>
        <w:tcPr>
          <w:tcW w:w="3328" w:type="dxa"/>
          <w:noWrap/>
          <w:vAlign w:val="bottom"/>
          <w:hideMark/>
        </w:tcPr>
        <w:p w14:paraId="5E70FC19" w14:textId="77777777" w:rsidR="005F3FCF" w:rsidRPr="005F3FCF" w:rsidRDefault="005F3FCF" w:rsidP="005F3FCF">
          <w:pPr>
            <w:pStyle w:val="Title"/>
            <w:spacing w:after="120"/>
            <w:ind w:right="360"/>
            <w:rPr>
              <w:rFonts w:ascii="Gotham Book" w:hAnsi="Gotham Book"/>
              <w:b/>
              <w:color w:val="404040"/>
              <w:sz w:val="22"/>
              <w:szCs w:val="22"/>
            </w:rPr>
          </w:pPr>
        </w:p>
      </w:tc>
      <w:tc>
        <w:tcPr>
          <w:tcW w:w="1244" w:type="dxa"/>
          <w:tcBorders>
            <w:top w:val="nil"/>
            <w:left w:val="nil"/>
            <w:bottom w:val="nil"/>
            <w:right w:val="nil"/>
          </w:tcBorders>
          <w:shd w:val="clear" w:color="auto" w:fill="auto"/>
          <w:noWrap/>
          <w:vAlign w:val="bottom"/>
          <w:hideMark/>
        </w:tcPr>
        <w:p w14:paraId="2F843389" w14:textId="77777777" w:rsidR="005F3FCF" w:rsidRPr="006723EF" w:rsidRDefault="005F3FCF" w:rsidP="00816745">
          <w:pPr>
            <w:rPr>
              <w:rFonts w:asciiTheme="minorHAnsi" w:eastAsia="Times New Roman" w:hAnsiTheme="minorHAnsi"/>
              <w:color w:val="404040" w:themeColor="text1" w:themeTint="BF"/>
              <w:szCs w:val="20"/>
            </w:rPr>
          </w:pPr>
        </w:p>
      </w:tc>
      <w:tc>
        <w:tcPr>
          <w:tcW w:w="1000" w:type="dxa"/>
          <w:tcBorders>
            <w:top w:val="nil"/>
            <w:left w:val="nil"/>
            <w:bottom w:val="nil"/>
            <w:right w:val="nil"/>
          </w:tcBorders>
          <w:shd w:val="clear" w:color="auto" w:fill="auto"/>
          <w:noWrap/>
          <w:vAlign w:val="bottom"/>
          <w:hideMark/>
        </w:tcPr>
        <w:p w14:paraId="7DB9CA2F" w14:textId="77777777" w:rsidR="005F3FCF" w:rsidRPr="006723EF" w:rsidRDefault="005F3FCF" w:rsidP="00816745">
          <w:pPr>
            <w:rPr>
              <w:rFonts w:asciiTheme="minorHAnsi" w:eastAsia="Times New Roman" w:hAnsiTheme="minorHAnsi"/>
              <w:color w:val="404040" w:themeColor="text1" w:themeTint="BF"/>
              <w:szCs w:val="20"/>
            </w:rPr>
          </w:pPr>
        </w:p>
      </w:tc>
      <w:tc>
        <w:tcPr>
          <w:tcW w:w="1000" w:type="dxa"/>
          <w:tcBorders>
            <w:top w:val="nil"/>
            <w:left w:val="nil"/>
            <w:bottom w:val="nil"/>
            <w:right w:val="nil"/>
          </w:tcBorders>
          <w:shd w:val="clear" w:color="auto" w:fill="auto"/>
          <w:noWrap/>
          <w:vAlign w:val="bottom"/>
          <w:hideMark/>
        </w:tcPr>
        <w:p w14:paraId="5B8E6ED9" w14:textId="77777777" w:rsidR="005F3FCF" w:rsidRPr="006723EF" w:rsidRDefault="005F3FCF" w:rsidP="00816745">
          <w:pPr>
            <w:rPr>
              <w:rFonts w:asciiTheme="minorHAnsi" w:eastAsia="Times New Roman" w:hAnsiTheme="minorHAnsi"/>
              <w:color w:val="404040" w:themeColor="text1" w:themeTint="BF"/>
              <w:szCs w:val="20"/>
            </w:rPr>
          </w:pPr>
        </w:p>
      </w:tc>
      <w:tc>
        <w:tcPr>
          <w:tcW w:w="1000" w:type="dxa"/>
          <w:tcBorders>
            <w:top w:val="nil"/>
            <w:left w:val="nil"/>
            <w:bottom w:val="nil"/>
            <w:right w:val="nil"/>
          </w:tcBorders>
          <w:shd w:val="clear" w:color="auto" w:fill="auto"/>
          <w:noWrap/>
          <w:vAlign w:val="bottom"/>
          <w:hideMark/>
        </w:tcPr>
        <w:p w14:paraId="023F6BC1" w14:textId="77777777" w:rsidR="005F3FCF" w:rsidRPr="006723EF" w:rsidRDefault="005F3FCF" w:rsidP="00816745">
          <w:pPr>
            <w:rPr>
              <w:rFonts w:asciiTheme="minorHAnsi" w:eastAsia="Times New Roman" w:hAnsiTheme="minorHAnsi"/>
              <w:color w:val="404040" w:themeColor="text1" w:themeTint="BF"/>
              <w:szCs w:val="20"/>
            </w:rPr>
          </w:pPr>
        </w:p>
      </w:tc>
      <w:tc>
        <w:tcPr>
          <w:tcW w:w="1000" w:type="dxa"/>
          <w:tcBorders>
            <w:top w:val="nil"/>
            <w:left w:val="nil"/>
            <w:bottom w:val="nil"/>
            <w:right w:val="nil"/>
          </w:tcBorders>
          <w:shd w:val="clear" w:color="auto" w:fill="auto"/>
          <w:noWrap/>
          <w:vAlign w:val="bottom"/>
          <w:hideMark/>
        </w:tcPr>
        <w:p w14:paraId="56157453" w14:textId="77777777" w:rsidR="005F3FCF" w:rsidRPr="006723EF" w:rsidRDefault="005F3FCF" w:rsidP="00816745">
          <w:pPr>
            <w:rPr>
              <w:rFonts w:asciiTheme="minorHAnsi" w:eastAsia="Times New Roman" w:hAnsiTheme="minorHAnsi"/>
              <w:color w:val="404040" w:themeColor="text1" w:themeTint="BF"/>
              <w:szCs w:val="20"/>
            </w:rPr>
          </w:pPr>
        </w:p>
      </w:tc>
    </w:tr>
    <w:tr w:rsidR="005F3FCF" w:rsidRPr="006723EF" w14:paraId="380465FC" w14:textId="77777777" w:rsidTr="005F3FCF">
      <w:trPr>
        <w:gridAfter w:val="3"/>
        <w:wAfter w:w="3000" w:type="dxa"/>
        <w:cantSplit/>
      </w:trPr>
      <w:tc>
        <w:tcPr>
          <w:tcW w:w="6608" w:type="dxa"/>
          <w:vAlign w:val="center"/>
          <w:hideMark/>
        </w:tcPr>
        <w:p w14:paraId="2D24D86B" w14:textId="77777777" w:rsidR="005F3FCF" w:rsidRPr="005F3FCF" w:rsidRDefault="005F3FCF" w:rsidP="005F3FCF">
          <w:pPr>
            <w:pStyle w:val="Title"/>
            <w:spacing w:after="120"/>
            <w:ind w:right="360"/>
            <w:jc w:val="left"/>
            <w:rPr>
              <w:rFonts w:ascii="Gotham Book" w:hAnsi="Gotham Book"/>
              <w:b/>
              <w:color w:val="404040"/>
              <w:sz w:val="22"/>
              <w:szCs w:val="22"/>
            </w:rPr>
          </w:pPr>
          <w:r w:rsidRPr="005F3FCF">
            <w:rPr>
              <w:rFonts w:ascii="Gotham Book" w:hAnsi="Gotham Book"/>
              <w:b/>
              <w:color w:val="404040"/>
              <w:sz w:val="22"/>
              <w:szCs w:val="22"/>
            </w:rPr>
            <w:t> </w:t>
          </w:r>
        </w:p>
      </w:tc>
      <w:tc>
        <w:tcPr>
          <w:tcW w:w="3328" w:type="dxa"/>
          <w:vAlign w:val="center"/>
          <w:hideMark/>
        </w:tcPr>
        <w:p w14:paraId="798F3910"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Total</w:t>
          </w:r>
        </w:p>
      </w:tc>
      <w:tc>
        <w:tcPr>
          <w:tcW w:w="124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68D23DC" w14:textId="77777777" w:rsidR="005F3FCF" w:rsidRPr="006723EF" w:rsidRDefault="005F3FCF" w:rsidP="00816745">
          <w:pPr>
            <w:jc w:val="center"/>
            <w:rPr>
              <w:rFonts w:asciiTheme="minorHAnsi" w:eastAsia="Times New Roman" w:hAnsiTheme="minorHAnsi"/>
              <w:b/>
              <w:bCs/>
              <w:color w:val="404040" w:themeColor="text1" w:themeTint="BF"/>
              <w:szCs w:val="20"/>
            </w:rPr>
          </w:pPr>
          <w:r w:rsidRPr="006723EF">
            <w:rPr>
              <w:rFonts w:asciiTheme="minorHAnsi" w:eastAsia="Times New Roman" w:hAnsiTheme="minorHAnsi"/>
              <w:b/>
              <w:bCs/>
              <w:color w:val="404040" w:themeColor="text1" w:themeTint="BF"/>
              <w:szCs w:val="20"/>
            </w:rPr>
            <w:t>Women Business Enterprises</w:t>
          </w:r>
        </w:p>
      </w:tc>
      <w:tc>
        <w:tcPr>
          <w:tcW w:w="10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FA56AF0" w14:textId="77777777" w:rsidR="005F3FCF" w:rsidRPr="006723EF" w:rsidRDefault="005F3FCF" w:rsidP="00816745">
          <w:pPr>
            <w:jc w:val="center"/>
            <w:rPr>
              <w:rFonts w:asciiTheme="minorHAnsi" w:eastAsia="Times New Roman" w:hAnsiTheme="minorHAnsi"/>
              <w:b/>
              <w:bCs/>
              <w:color w:val="404040" w:themeColor="text1" w:themeTint="BF"/>
              <w:szCs w:val="20"/>
            </w:rPr>
          </w:pPr>
          <w:r w:rsidRPr="006723EF">
            <w:rPr>
              <w:rFonts w:asciiTheme="minorHAnsi" w:eastAsia="Times New Roman" w:hAnsiTheme="minorHAnsi"/>
              <w:b/>
              <w:bCs/>
              <w:color w:val="404040" w:themeColor="text1" w:themeTint="BF"/>
              <w:szCs w:val="20"/>
            </w:rPr>
            <w:t>Male</w:t>
          </w:r>
        </w:p>
      </w:tc>
    </w:tr>
    <w:tr w:rsidR="005F3FCF" w:rsidRPr="006723EF" w14:paraId="13558EB6" w14:textId="77777777" w:rsidTr="005F3FCF">
      <w:trPr>
        <w:gridAfter w:val="6"/>
        <w:wAfter w:w="8572" w:type="dxa"/>
        <w:cantSplit/>
      </w:trPr>
      <w:tc>
        <w:tcPr>
          <w:tcW w:w="6608" w:type="dxa"/>
          <w:vAlign w:val="center"/>
          <w:hideMark/>
        </w:tcPr>
        <w:p w14:paraId="1BC9447F" w14:textId="77777777" w:rsidR="005F3FCF" w:rsidRPr="005F3FCF" w:rsidRDefault="005F3FCF" w:rsidP="005F3FCF">
          <w:pPr>
            <w:pStyle w:val="Title"/>
            <w:spacing w:after="120"/>
            <w:ind w:right="360"/>
            <w:jc w:val="left"/>
            <w:rPr>
              <w:rFonts w:ascii="Gotham Book" w:hAnsi="Gotham Book"/>
              <w:b/>
              <w:color w:val="404040"/>
              <w:sz w:val="22"/>
              <w:szCs w:val="22"/>
            </w:rPr>
          </w:pPr>
          <w:r w:rsidRPr="005F3FCF">
            <w:rPr>
              <w:rFonts w:ascii="Gotham Book" w:hAnsi="Gotham Book"/>
              <w:b/>
              <w:color w:val="404040"/>
              <w:sz w:val="22"/>
              <w:szCs w:val="22"/>
            </w:rPr>
            <w:t>Contracts</w:t>
          </w:r>
        </w:p>
      </w:tc>
    </w:tr>
    <w:tr w:rsidR="005F3FCF" w:rsidRPr="006723EF" w14:paraId="18E80B87" w14:textId="77777777" w:rsidTr="005F3FCF">
      <w:trPr>
        <w:gridAfter w:val="3"/>
        <w:wAfter w:w="3000" w:type="dxa"/>
        <w:cantSplit/>
      </w:trPr>
      <w:tc>
        <w:tcPr>
          <w:tcW w:w="6608" w:type="dxa"/>
          <w:vAlign w:val="center"/>
          <w:hideMark/>
        </w:tcPr>
        <w:p w14:paraId="54509609" w14:textId="77777777" w:rsidR="005F3FCF" w:rsidRPr="006723EF" w:rsidRDefault="005F3FCF" w:rsidP="005F3FCF">
          <w:pPr>
            <w:pStyle w:val="Title"/>
            <w:spacing w:after="120"/>
            <w:ind w:right="360"/>
            <w:jc w:val="left"/>
            <w:rPr>
              <w:rFonts w:asciiTheme="minorHAnsi" w:eastAsia="Times New Roman" w:hAnsiTheme="minorHAnsi"/>
              <w:color w:val="404040" w:themeColor="text1" w:themeTint="BF"/>
              <w:szCs w:val="20"/>
            </w:rPr>
          </w:pPr>
          <w:r w:rsidRPr="005F3FCF">
            <w:rPr>
              <w:rFonts w:ascii="Gotham Book" w:hAnsi="Gotham Book"/>
              <w:b/>
              <w:color w:val="404040"/>
              <w:sz w:val="22"/>
              <w:szCs w:val="22"/>
            </w:rPr>
            <w:t xml:space="preserve">Dollar </w:t>
          </w:r>
          <w:r w:rsidRPr="006723EF">
            <w:rPr>
              <w:rFonts w:asciiTheme="minorHAnsi" w:eastAsia="Times New Roman" w:hAnsiTheme="minorHAnsi"/>
              <w:color w:val="404040" w:themeColor="text1" w:themeTint="BF"/>
              <w:szCs w:val="20"/>
            </w:rPr>
            <w:t>Amount</w:t>
          </w:r>
        </w:p>
      </w:tc>
      <w:tc>
        <w:tcPr>
          <w:tcW w:w="3328" w:type="dxa"/>
          <w:vAlign w:val="center"/>
          <w:hideMark/>
        </w:tcPr>
        <w:p w14:paraId="3298C0C5"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0</w:t>
          </w:r>
        </w:p>
      </w:tc>
      <w:tc>
        <w:tcPr>
          <w:tcW w:w="1244" w:type="dxa"/>
          <w:tcBorders>
            <w:top w:val="nil"/>
            <w:left w:val="nil"/>
            <w:bottom w:val="single" w:sz="8" w:space="0" w:color="auto"/>
            <w:right w:val="single" w:sz="8" w:space="0" w:color="auto"/>
          </w:tcBorders>
          <w:shd w:val="clear" w:color="auto" w:fill="auto"/>
          <w:vAlign w:val="center"/>
          <w:hideMark/>
        </w:tcPr>
        <w:p w14:paraId="292815D1"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01D9BB03"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r>
    <w:tr w:rsidR="005F3FCF" w:rsidRPr="006723EF" w14:paraId="649C70F9" w14:textId="77777777" w:rsidTr="005F3FCF">
      <w:trPr>
        <w:gridAfter w:val="3"/>
        <w:wAfter w:w="3000" w:type="dxa"/>
        <w:cantSplit/>
      </w:trPr>
      <w:tc>
        <w:tcPr>
          <w:tcW w:w="6608" w:type="dxa"/>
          <w:vAlign w:val="center"/>
          <w:hideMark/>
        </w:tcPr>
        <w:p w14:paraId="190EFEAF" w14:textId="77777777" w:rsidR="005F3FCF" w:rsidRPr="005F3FCF" w:rsidRDefault="005F3FCF" w:rsidP="005F3FCF">
          <w:pPr>
            <w:pStyle w:val="Title"/>
            <w:spacing w:after="120"/>
            <w:ind w:right="360"/>
            <w:jc w:val="left"/>
            <w:rPr>
              <w:rFonts w:ascii="Gotham Book" w:hAnsi="Gotham Book"/>
              <w:b/>
              <w:color w:val="404040"/>
              <w:sz w:val="22"/>
              <w:szCs w:val="22"/>
            </w:rPr>
          </w:pPr>
          <w:r w:rsidRPr="005F3FCF">
            <w:rPr>
              <w:rFonts w:ascii="Gotham Book" w:hAnsi="Gotham Book"/>
              <w:b/>
              <w:color w:val="404040"/>
              <w:sz w:val="22"/>
              <w:szCs w:val="22"/>
            </w:rPr>
            <w:t>Number</w:t>
          </w:r>
        </w:p>
      </w:tc>
      <w:tc>
        <w:tcPr>
          <w:tcW w:w="3328" w:type="dxa"/>
          <w:vAlign w:val="center"/>
          <w:hideMark/>
        </w:tcPr>
        <w:p w14:paraId="6F4D325F"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0</w:t>
          </w:r>
        </w:p>
      </w:tc>
      <w:tc>
        <w:tcPr>
          <w:tcW w:w="1244" w:type="dxa"/>
          <w:tcBorders>
            <w:top w:val="nil"/>
            <w:left w:val="nil"/>
            <w:bottom w:val="single" w:sz="8" w:space="0" w:color="auto"/>
            <w:right w:val="single" w:sz="8" w:space="0" w:color="auto"/>
          </w:tcBorders>
          <w:shd w:val="clear" w:color="auto" w:fill="auto"/>
          <w:vAlign w:val="center"/>
          <w:hideMark/>
        </w:tcPr>
        <w:p w14:paraId="7F926C8E"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2F5B8224"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r>
    <w:tr w:rsidR="005F3FCF" w:rsidRPr="006723EF" w14:paraId="4B6C8639" w14:textId="77777777" w:rsidTr="005F3FCF">
      <w:trPr>
        <w:gridAfter w:val="3"/>
        <w:wAfter w:w="3000" w:type="dxa"/>
      </w:trPr>
      <w:tc>
        <w:tcPr>
          <w:tcW w:w="6608" w:type="dxa"/>
          <w:noWrap/>
          <w:vAlign w:val="center"/>
          <w:hideMark/>
        </w:tcPr>
        <w:p w14:paraId="60A6EEC0" w14:textId="77777777" w:rsidR="005F3FCF" w:rsidRPr="005F3FCF" w:rsidRDefault="005F3FCF" w:rsidP="005F3FCF">
          <w:pPr>
            <w:pStyle w:val="Title"/>
            <w:spacing w:after="120"/>
            <w:ind w:right="360"/>
            <w:jc w:val="left"/>
            <w:rPr>
              <w:rFonts w:ascii="Gotham Book" w:hAnsi="Gotham Book"/>
              <w:b/>
              <w:color w:val="404040"/>
              <w:sz w:val="22"/>
              <w:szCs w:val="22"/>
            </w:rPr>
          </w:pPr>
        </w:p>
      </w:tc>
      <w:tc>
        <w:tcPr>
          <w:tcW w:w="3328" w:type="dxa"/>
          <w:noWrap/>
          <w:vAlign w:val="bottom"/>
          <w:hideMark/>
        </w:tcPr>
        <w:p w14:paraId="7F2223F9" w14:textId="77777777" w:rsidR="005F3FCF" w:rsidRPr="005F3FCF" w:rsidRDefault="005F3FCF" w:rsidP="005F3FCF">
          <w:pPr>
            <w:pStyle w:val="Title"/>
            <w:spacing w:after="120"/>
            <w:ind w:right="360"/>
            <w:rPr>
              <w:rFonts w:ascii="Gotham Book" w:hAnsi="Gotham Book"/>
              <w:b/>
              <w:color w:val="404040"/>
              <w:sz w:val="22"/>
              <w:szCs w:val="22"/>
            </w:rPr>
          </w:pPr>
        </w:p>
      </w:tc>
      <w:tc>
        <w:tcPr>
          <w:tcW w:w="1244" w:type="dxa"/>
          <w:tcBorders>
            <w:top w:val="nil"/>
            <w:left w:val="nil"/>
            <w:bottom w:val="nil"/>
            <w:right w:val="nil"/>
          </w:tcBorders>
          <w:shd w:val="clear" w:color="auto" w:fill="auto"/>
          <w:noWrap/>
          <w:vAlign w:val="bottom"/>
          <w:hideMark/>
        </w:tcPr>
        <w:p w14:paraId="5BCAFAB2" w14:textId="77777777" w:rsidR="005F3FCF" w:rsidRPr="006723EF" w:rsidRDefault="005F3FCF" w:rsidP="00816745">
          <w:pPr>
            <w:rPr>
              <w:rFonts w:asciiTheme="minorHAnsi" w:eastAsia="Times New Roman" w:hAnsiTheme="minorHAnsi"/>
              <w:color w:val="404040" w:themeColor="text1" w:themeTint="BF"/>
              <w:szCs w:val="20"/>
            </w:rPr>
          </w:pPr>
        </w:p>
      </w:tc>
      <w:tc>
        <w:tcPr>
          <w:tcW w:w="1000" w:type="dxa"/>
          <w:tcBorders>
            <w:top w:val="nil"/>
            <w:left w:val="nil"/>
            <w:bottom w:val="nil"/>
            <w:right w:val="nil"/>
          </w:tcBorders>
          <w:shd w:val="clear" w:color="auto" w:fill="auto"/>
          <w:noWrap/>
          <w:vAlign w:val="bottom"/>
          <w:hideMark/>
        </w:tcPr>
        <w:p w14:paraId="15006698" w14:textId="77777777" w:rsidR="005F3FCF" w:rsidRPr="006723EF" w:rsidRDefault="005F3FCF" w:rsidP="00816745">
          <w:pPr>
            <w:rPr>
              <w:rFonts w:asciiTheme="minorHAnsi" w:eastAsia="Times New Roman" w:hAnsiTheme="minorHAnsi"/>
              <w:color w:val="404040" w:themeColor="text1" w:themeTint="BF"/>
              <w:szCs w:val="20"/>
            </w:rPr>
          </w:pPr>
        </w:p>
      </w:tc>
    </w:tr>
    <w:tr w:rsidR="005F3FCF" w:rsidRPr="006723EF" w14:paraId="6EB1A43D" w14:textId="77777777" w:rsidTr="005F3FCF">
      <w:trPr>
        <w:gridAfter w:val="6"/>
        <w:wAfter w:w="8572" w:type="dxa"/>
        <w:cantSplit/>
      </w:trPr>
      <w:tc>
        <w:tcPr>
          <w:tcW w:w="6608" w:type="dxa"/>
          <w:vAlign w:val="center"/>
          <w:hideMark/>
        </w:tcPr>
        <w:p w14:paraId="1D660A9B" w14:textId="77777777" w:rsidR="005F3FCF" w:rsidRPr="005F3FCF" w:rsidRDefault="005F3FCF" w:rsidP="005F3FCF">
          <w:pPr>
            <w:pStyle w:val="Title"/>
            <w:spacing w:after="120"/>
            <w:ind w:right="360"/>
            <w:jc w:val="left"/>
            <w:rPr>
              <w:rFonts w:ascii="Gotham Book" w:hAnsi="Gotham Book"/>
              <w:b/>
              <w:color w:val="404040"/>
              <w:sz w:val="22"/>
              <w:szCs w:val="22"/>
            </w:rPr>
          </w:pPr>
          <w:r w:rsidRPr="005F3FCF">
            <w:rPr>
              <w:rFonts w:ascii="Gotham Book" w:hAnsi="Gotham Book"/>
              <w:b/>
              <w:color w:val="404040"/>
              <w:sz w:val="22"/>
              <w:szCs w:val="22"/>
            </w:rPr>
            <w:t>Sub-Contracts</w:t>
          </w:r>
        </w:p>
      </w:tc>
    </w:tr>
    <w:tr w:rsidR="005F3FCF" w:rsidRPr="006723EF" w14:paraId="394D57C0" w14:textId="77777777" w:rsidTr="005F3FCF">
      <w:trPr>
        <w:gridAfter w:val="3"/>
        <w:wAfter w:w="3000" w:type="dxa"/>
        <w:cantSplit/>
      </w:trPr>
      <w:tc>
        <w:tcPr>
          <w:tcW w:w="6608" w:type="dxa"/>
          <w:vAlign w:val="center"/>
          <w:hideMark/>
        </w:tcPr>
        <w:p w14:paraId="2FF6A063" w14:textId="77777777" w:rsidR="005F3FCF" w:rsidRPr="005F3FCF" w:rsidRDefault="005F3FCF" w:rsidP="005F3FCF">
          <w:pPr>
            <w:pStyle w:val="Title"/>
            <w:spacing w:after="120"/>
            <w:ind w:right="360"/>
            <w:jc w:val="left"/>
            <w:rPr>
              <w:rFonts w:ascii="Gotham Book" w:hAnsi="Gotham Book"/>
              <w:b/>
              <w:color w:val="404040"/>
              <w:sz w:val="22"/>
              <w:szCs w:val="22"/>
            </w:rPr>
          </w:pPr>
          <w:r w:rsidRPr="005F3FCF">
            <w:rPr>
              <w:rFonts w:ascii="Gotham Book" w:hAnsi="Gotham Book"/>
              <w:b/>
              <w:color w:val="404040"/>
              <w:sz w:val="22"/>
              <w:szCs w:val="22"/>
            </w:rPr>
            <w:t>Number</w:t>
          </w:r>
        </w:p>
      </w:tc>
      <w:tc>
        <w:tcPr>
          <w:tcW w:w="3328" w:type="dxa"/>
          <w:vAlign w:val="center"/>
          <w:hideMark/>
        </w:tcPr>
        <w:p w14:paraId="2373C2EB"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0</w:t>
          </w:r>
        </w:p>
      </w:tc>
      <w:tc>
        <w:tcPr>
          <w:tcW w:w="1244" w:type="dxa"/>
          <w:tcBorders>
            <w:top w:val="nil"/>
            <w:left w:val="nil"/>
            <w:bottom w:val="single" w:sz="8" w:space="0" w:color="auto"/>
            <w:right w:val="single" w:sz="8" w:space="0" w:color="auto"/>
          </w:tcBorders>
          <w:shd w:val="clear" w:color="auto" w:fill="auto"/>
          <w:vAlign w:val="center"/>
          <w:hideMark/>
        </w:tcPr>
        <w:p w14:paraId="2B0979C1"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2590A66D"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r>
    <w:tr w:rsidR="005F3FCF" w:rsidRPr="006723EF" w14:paraId="4369DFC1" w14:textId="77777777" w:rsidTr="005F3FCF">
      <w:trPr>
        <w:gridAfter w:val="3"/>
        <w:wAfter w:w="3000" w:type="dxa"/>
        <w:cantSplit/>
      </w:trPr>
      <w:tc>
        <w:tcPr>
          <w:tcW w:w="6608" w:type="dxa"/>
          <w:vAlign w:val="center"/>
          <w:hideMark/>
        </w:tcPr>
        <w:p w14:paraId="672C2468" w14:textId="77777777" w:rsidR="005F3FCF" w:rsidRPr="006723EF" w:rsidRDefault="005F3FCF" w:rsidP="005F3FCF">
          <w:pPr>
            <w:pStyle w:val="Title"/>
            <w:spacing w:after="120"/>
            <w:ind w:right="360"/>
            <w:jc w:val="left"/>
            <w:rPr>
              <w:rFonts w:asciiTheme="minorHAnsi" w:eastAsia="Times New Roman" w:hAnsiTheme="minorHAnsi"/>
              <w:color w:val="404040" w:themeColor="text1" w:themeTint="BF"/>
              <w:szCs w:val="20"/>
            </w:rPr>
          </w:pPr>
          <w:r w:rsidRPr="005F3FCF">
            <w:rPr>
              <w:rFonts w:ascii="Gotham Book" w:hAnsi="Gotham Book"/>
              <w:b/>
              <w:color w:val="404040"/>
              <w:sz w:val="22"/>
              <w:szCs w:val="22"/>
            </w:rPr>
            <w:t xml:space="preserve">Dollar </w:t>
          </w:r>
          <w:r w:rsidRPr="006723EF">
            <w:rPr>
              <w:rFonts w:asciiTheme="minorHAnsi" w:eastAsia="Times New Roman" w:hAnsiTheme="minorHAnsi"/>
              <w:color w:val="404040" w:themeColor="text1" w:themeTint="BF"/>
              <w:szCs w:val="20"/>
            </w:rPr>
            <w:t>Amount</w:t>
          </w:r>
        </w:p>
      </w:tc>
      <w:tc>
        <w:tcPr>
          <w:tcW w:w="3328" w:type="dxa"/>
          <w:vAlign w:val="center"/>
          <w:hideMark/>
        </w:tcPr>
        <w:p w14:paraId="237DAACF"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0</w:t>
          </w:r>
        </w:p>
      </w:tc>
      <w:tc>
        <w:tcPr>
          <w:tcW w:w="1244" w:type="dxa"/>
          <w:tcBorders>
            <w:top w:val="nil"/>
            <w:left w:val="nil"/>
            <w:bottom w:val="single" w:sz="8" w:space="0" w:color="auto"/>
            <w:right w:val="single" w:sz="8" w:space="0" w:color="auto"/>
          </w:tcBorders>
          <w:shd w:val="clear" w:color="auto" w:fill="auto"/>
          <w:vAlign w:val="center"/>
          <w:hideMark/>
        </w:tcPr>
        <w:p w14:paraId="270E98CC"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76089C87" w14:textId="77777777" w:rsidR="005F3FCF" w:rsidRPr="006723EF" w:rsidRDefault="005F3FCF" w:rsidP="00816745">
          <w:pPr>
            <w:jc w:val="center"/>
            <w:rPr>
              <w:rFonts w:asciiTheme="minorHAnsi" w:eastAsia="Times New Roman" w:hAnsiTheme="minorHAnsi"/>
              <w:color w:val="404040" w:themeColor="text1" w:themeTint="BF"/>
              <w:szCs w:val="20"/>
            </w:rPr>
          </w:pPr>
          <w:r w:rsidRPr="006723EF">
            <w:rPr>
              <w:rFonts w:asciiTheme="minorHAnsi" w:eastAsia="Times New Roman" w:hAnsiTheme="minorHAnsi"/>
              <w:color w:val="404040" w:themeColor="text1" w:themeTint="BF"/>
              <w:szCs w:val="20"/>
            </w:rPr>
            <w:t>0</w:t>
          </w:r>
        </w:p>
      </w:tc>
    </w:tr>
  </w:tbl>
  <w:p w14:paraId="4FB9BA91" w14:textId="77777777" w:rsidR="005F3FCF" w:rsidRPr="005F3FCF" w:rsidRDefault="005F3FCF" w:rsidP="005F3FCF">
    <w:pPr>
      <w:pStyle w:val="Title"/>
      <w:spacing w:after="120"/>
      <w:ind w:left="360"/>
      <w:rPr>
        <w:rFonts w:ascii="Gotham Book" w:hAnsi="Gotham Book"/>
        <w:color w:val="404040"/>
        <w:sz w:val="22"/>
        <w:szCs w:val="22"/>
      </w:rPr>
    </w:pPr>
  </w:p>
  <w:p w14:paraId="23372325" w14:textId="77777777" w:rsidR="005F3FCF" w:rsidRPr="005F3FCF" w:rsidRDefault="005F3FCF" w:rsidP="005F3FCF">
    <w:pPr>
      <w:pStyle w:val="Title"/>
      <w:spacing w:after="120"/>
      <w:ind w:left="360"/>
      <w:rPr>
        <w:rFonts w:ascii="Gotham Book" w:hAnsi="Gotham Book"/>
        <w:color w:val="404040"/>
        <w:sz w:val="22"/>
        <w:szCs w:val="22"/>
      </w:rPr>
    </w:pPr>
  </w:p>
  <w:p w14:paraId="154C0D73" w14:textId="77777777" w:rsidR="005F3FCF" w:rsidRPr="006723EF" w:rsidRDefault="005F3FCF" w:rsidP="005F3FCF">
    <w:pPr>
      <w:pStyle w:val="Title"/>
      <w:spacing w:after="120"/>
      <w:rPr>
        <w:rFonts w:asciiTheme="minorHAnsi" w:hAnsiTheme="minorHAnsi" w:cstheme="minorHAnsi"/>
        <w:color w:val="404040" w:themeColor="text1" w:themeTint="BF"/>
        <w:szCs w:val="20"/>
      </w:rPr>
    </w:pPr>
    <w:r w:rsidRPr="005F3FCF">
      <w:rPr>
        <w:rFonts w:ascii="Gotham Book" w:hAnsi="Gotham Book"/>
        <w:b/>
        <w:color w:val="323E4F"/>
        <w:sz w:val="24"/>
      </w:rPr>
      <w:t>Salt</w:t>
    </w:r>
    <w:r w:rsidRPr="006723EF">
      <w:rPr>
        <w:rFonts w:asciiTheme="minorHAnsi" w:hAnsiTheme="minorHAnsi" w:cstheme="minorHAnsi"/>
        <w:color w:val="404040" w:themeColor="text1" w:themeTint="BF"/>
        <w:szCs w:val="20"/>
      </w:rPr>
      <w:t xml:space="preserve"> Lake City looks to support Section 3 businesses, Women Owned Business, and Minority Owned Business</w:t>
    </w:r>
    <w:r>
      <w:rPr>
        <w:rFonts w:asciiTheme="minorHAnsi" w:hAnsiTheme="minorHAnsi" w:cstheme="minorHAnsi"/>
        <w:color w:val="404040" w:themeColor="text1" w:themeTint="BF"/>
        <w:szCs w:val="20"/>
      </w:rPr>
      <w:t xml:space="preserve"> where possible. During the </w:t>
    </w:r>
    <w:r w:rsidRPr="006723EF">
      <w:rPr>
        <w:rFonts w:asciiTheme="minorHAnsi" w:hAnsiTheme="minorHAnsi" w:cstheme="minorHAnsi"/>
        <w:color w:val="404040" w:themeColor="text1" w:themeTint="BF"/>
        <w:szCs w:val="20"/>
      </w:rPr>
      <w:t>program year, the City did not complete any HOME funded projects that utilized any of these businesses. In an effort to ensure Section 3, W/MBE are aware of potential construction projects the City follows our Section 3 policies, and looks to solicit W/MBE through local media advertising.</w:t>
    </w:r>
  </w:p>
  <w:p w14:paraId="21ACA170" w14:textId="77777777" w:rsidR="005F3FCF" w:rsidRPr="005F3FCF" w:rsidRDefault="005F3FCF" w:rsidP="005F3FCF">
    <w:pPr>
      <w:pStyle w:val="Title"/>
      <w:spacing w:after="120"/>
      <w:ind w:left="360"/>
      <w:rPr>
        <w:rFonts w:ascii="Gotham Book" w:hAnsi="Gotham Book"/>
        <w:b/>
        <w:color w:val="323E4F"/>
        <w:sz w:val="24"/>
      </w:rPr>
    </w:pPr>
  </w:p>
  <w:p w14:paraId="76BA030D" w14:textId="77777777" w:rsidR="005F3FCF" w:rsidRPr="005F3FCF" w:rsidRDefault="005F3FCF" w:rsidP="005F3FCF">
    <w:pPr>
      <w:pStyle w:val="Title"/>
      <w:spacing w:after="120"/>
      <w:ind w:left="360"/>
      <w:rPr>
        <w:rFonts w:ascii="Calibri" w:hAnsi="Calibri" w:cs="Calibri"/>
        <w:i/>
        <w:color w:val="44546A"/>
        <w:sz w:val="18"/>
        <w:szCs w:val="18"/>
      </w:rPr>
    </w:pPr>
    <w:r w:rsidRPr="005F3FCF">
      <w:rPr>
        <w:rFonts w:ascii="Calibri" w:hAnsi="Calibri" w:cs="Calibri"/>
        <w:b/>
        <w:color w:val="44546A"/>
        <w:sz w:val="24"/>
      </w:rPr>
      <w:t xml:space="preserve">Table 9 – Minority Owners of </w:t>
    </w:r>
    <w:r w:rsidRPr="005F3FCF">
      <w:rPr>
        <w:rFonts w:ascii="Calibri" w:hAnsi="Calibri" w:cs="Calibri"/>
        <w:i/>
        <w:color w:val="44546A"/>
        <w:sz w:val="18"/>
        <w:szCs w:val="18"/>
      </w:rPr>
      <w:t>Rental Properties</w:t>
    </w:r>
  </w:p>
  <w:tbl>
    <w:tblPr>
      <w:tblW w:w="0" w:type="auto"/>
      <w:tblInd w:w="360" w:type="dxa"/>
      <w:tblLook w:val="04A0" w:firstRow="1" w:lastRow="0" w:firstColumn="1" w:lastColumn="0" w:noHBand="0" w:noVBand="1"/>
    </w:tblPr>
    <w:tblGrid>
      <w:gridCol w:w="6608"/>
      <w:gridCol w:w="3328"/>
      <w:gridCol w:w="1090"/>
      <w:gridCol w:w="990"/>
      <w:gridCol w:w="998"/>
      <w:gridCol w:w="998"/>
      <w:gridCol w:w="998"/>
    </w:tblGrid>
    <w:tr w:rsidR="005F3FCF" w:rsidRPr="006723EF" w14:paraId="3A6758C3" w14:textId="77777777" w:rsidTr="005F3FCF">
      <w:tc>
        <w:tcPr>
          <w:tcW w:w="6608" w:type="dxa"/>
          <w:vMerge w:val="restart"/>
          <w:vAlign w:val="center"/>
          <w:hideMark/>
        </w:tcPr>
        <w:p w14:paraId="591400DC" w14:textId="77777777" w:rsidR="005F3FCF" w:rsidRPr="005F3FCF" w:rsidRDefault="005F3FCF" w:rsidP="005F3FCF">
          <w:pPr>
            <w:pStyle w:val="Title"/>
            <w:spacing w:after="120"/>
            <w:ind w:right="360"/>
            <w:jc w:val="left"/>
            <w:rPr>
              <w:rFonts w:ascii="Gotham Book" w:hAnsi="Gotham Book"/>
              <w:b/>
              <w:color w:val="404040"/>
              <w:sz w:val="22"/>
              <w:szCs w:val="22"/>
            </w:rPr>
          </w:pPr>
          <w:r w:rsidRPr="005F3FCF">
            <w:rPr>
              <w:rFonts w:ascii="Gotham Book" w:hAnsi="Gotham Book"/>
              <w:b/>
              <w:color w:val="404040"/>
              <w:sz w:val="22"/>
              <w:szCs w:val="22"/>
            </w:rPr>
            <w:t> </w:t>
          </w:r>
        </w:p>
      </w:tc>
      <w:tc>
        <w:tcPr>
          <w:tcW w:w="3328" w:type="dxa"/>
          <w:vMerge w:val="restart"/>
          <w:vAlign w:val="center"/>
          <w:hideMark/>
        </w:tcPr>
        <w:p w14:paraId="6F71CA91"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Total</w:t>
          </w:r>
        </w:p>
      </w:tc>
      <w:tc>
        <w:tcPr>
          <w:tcW w:w="4076" w:type="dxa"/>
          <w:gridSpan w:val="4"/>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7B7503EC" w14:textId="77777777" w:rsidR="005F3FCF" w:rsidRPr="006723EF" w:rsidRDefault="005F3FCF"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Minority Property Owners</w:t>
          </w:r>
        </w:p>
      </w:tc>
      <w:tc>
        <w:tcPr>
          <w:tcW w:w="998"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14:paraId="532480A0" w14:textId="77777777" w:rsidR="005F3FCF" w:rsidRPr="006723EF" w:rsidRDefault="005F3FCF"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White Non-Hispanic</w:t>
          </w:r>
        </w:p>
      </w:tc>
    </w:tr>
    <w:tr w:rsidR="005F3FCF" w:rsidRPr="006723EF" w14:paraId="08F76DD4" w14:textId="77777777" w:rsidTr="005F3FCF">
      <w:tc>
        <w:tcPr>
          <w:tcW w:w="6608" w:type="dxa"/>
          <w:vMerge/>
          <w:vAlign w:val="center"/>
          <w:hideMark/>
        </w:tcPr>
        <w:p w14:paraId="29C4F421" w14:textId="77777777" w:rsidR="005F3FCF" w:rsidRPr="005F3FCF" w:rsidRDefault="005F3FCF" w:rsidP="005F3FCF">
          <w:pPr>
            <w:pStyle w:val="Title"/>
            <w:spacing w:after="120"/>
            <w:ind w:right="360"/>
            <w:jc w:val="left"/>
            <w:rPr>
              <w:rFonts w:ascii="Gotham Book" w:hAnsi="Gotham Book"/>
              <w:b/>
              <w:color w:val="404040"/>
              <w:sz w:val="22"/>
              <w:szCs w:val="22"/>
            </w:rPr>
          </w:pPr>
        </w:p>
      </w:tc>
      <w:tc>
        <w:tcPr>
          <w:tcW w:w="3328" w:type="dxa"/>
          <w:vMerge/>
          <w:vAlign w:val="center"/>
          <w:hideMark/>
        </w:tcPr>
        <w:p w14:paraId="03D64DD0" w14:textId="77777777" w:rsidR="005F3FCF" w:rsidRPr="005F3FCF" w:rsidRDefault="005F3FCF" w:rsidP="005F3FCF">
          <w:pPr>
            <w:pStyle w:val="Title"/>
            <w:spacing w:after="120"/>
            <w:ind w:right="360"/>
            <w:rPr>
              <w:rFonts w:ascii="Gotham Book" w:hAnsi="Gotham Book"/>
              <w:b/>
              <w:color w:val="404040"/>
              <w:sz w:val="22"/>
              <w:szCs w:val="22"/>
            </w:rPr>
          </w:pPr>
        </w:p>
      </w:tc>
      <w:tc>
        <w:tcPr>
          <w:tcW w:w="1090" w:type="dxa"/>
          <w:tcBorders>
            <w:top w:val="nil"/>
            <w:left w:val="nil"/>
            <w:bottom w:val="single" w:sz="8" w:space="0" w:color="auto"/>
            <w:right w:val="single" w:sz="8" w:space="0" w:color="auto"/>
          </w:tcBorders>
          <w:shd w:val="clear" w:color="auto" w:fill="C6D9F1" w:themeFill="text2" w:themeFillTint="33"/>
          <w:vAlign w:val="center"/>
          <w:hideMark/>
        </w:tcPr>
        <w:p w14:paraId="4F73E467" w14:textId="77777777" w:rsidR="005F3FCF" w:rsidRPr="006723EF" w:rsidRDefault="005F3FCF"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Alaskan Native or American Indian</w:t>
          </w:r>
        </w:p>
      </w:tc>
      <w:tc>
        <w:tcPr>
          <w:tcW w:w="990" w:type="dxa"/>
          <w:tcBorders>
            <w:top w:val="nil"/>
            <w:left w:val="nil"/>
            <w:bottom w:val="single" w:sz="8" w:space="0" w:color="auto"/>
            <w:right w:val="single" w:sz="8" w:space="0" w:color="auto"/>
          </w:tcBorders>
          <w:shd w:val="clear" w:color="auto" w:fill="C6D9F1" w:themeFill="text2" w:themeFillTint="33"/>
          <w:vAlign w:val="center"/>
          <w:hideMark/>
        </w:tcPr>
        <w:p w14:paraId="2C0E13F8" w14:textId="77777777" w:rsidR="005F3FCF" w:rsidRPr="006723EF" w:rsidRDefault="005F3FCF"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Asian or Pacific Islander</w:t>
          </w:r>
        </w:p>
      </w:tc>
      <w:tc>
        <w:tcPr>
          <w:tcW w:w="998" w:type="dxa"/>
          <w:tcBorders>
            <w:top w:val="nil"/>
            <w:left w:val="nil"/>
            <w:bottom w:val="single" w:sz="8" w:space="0" w:color="auto"/>
            <w:right w:val="single" w:sz="8" w:space="0" w:color="auto"/>
          </w:tcBorders>
          <w:shd w:val="clear" w:color="auto" w:fill="C6D9F1" w:themeFill="text2" w:themeFillTint="33"/>
          <w:vAlign w:val="center"/>
          <w:hideMark/>
        </w:tcPr>
        <w:p w14:paraId="3320CEB0" w14:textId="77777777" w:rsidR="005F3FCF" w:rsidRPr="006723EF" w:rsidRDefault="005F3FCF"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Black Non-Hispanic</w:t>
          </w:r>
        </w:p>
      </w:tc>
      <w:tc>
        <w:tcPr>
          <w:tcW w:w="998" w:type="dxa"/>
          <w:tcBorders>
            <w:top w:val="nil"/>
            <w:left w:val="nil"/>
            <w:bottom w:val="single" w:sz="8" w:space="0" w:color="auto"/>
            <w:right w:val="single" w:sz="8" w:space="0" w:color="auto"/>
          </w:tcBorders>
          <w:shd w:val="clear" w:color="auto" w:fill="C6D9F1" w:themeFill="text2" w:themeFillTint="33"/>
          <w:vAlign w:val="center"/>
          <w:hideMark/>
        </w:tcPr>
        <w:p w14:paraId="0CA5F541" w14:textId="77777777" w:rsidR="005F3FCF" w:rsidRPr="006723EF" w:rsidRDefault="005F3FCF"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Hispanic</w:t>
          </w:r>
        </w:p>
      </w:tc>
      <w:tc>
        <w:tcPr>
          <w:tcW w:w="998" w:type="dxa"/>
          <w:vMerge/>
          <w:tcBorders>
            <w:top w:val="single" w:sz="8" w:space="0" w:color="auto"/>
            <w:left w:val="single" w:sz="8" w:space="0" w:color="auto"/>
            <w:bottom w:val="single" w:sz="8" w:space="0" w:color="000000"/>
            <w:right w:val="single" w:sz="8" w:space="0" w:color="auto"/>
          </w:tcBorders>
          <w:vAlign w:val="center"/>
          <w:hideMark/>
        </w:tcPr>
        <w:p w14:paraId="55BE84BF" w14:textId="77777777" w:rsidR="005F3FCF" w:rsidRPr="006723EF" w:rsidRDefault="005F3FCF" w:rsidP="00816745">
          <w:pPr>
            <w:rPr>
              <w:rFonts w:ascii="Calibri" w:eastAsia="Times New Roman" w:hAnsi="Calibri"/>
              <w:b/>
              <w:bCs/>
              <w:color w:val="404040" w:themeColor="text1" w:themeTint="BF"/>
              <w:szCs w:val="20"/>
            </w:rPr>
          </w:pPr>
        </w:p>
      </w:tc>
    </w:tr>
    <w:tr w:rsidR="005F3FCF" w:rsidRPr="006723EF" w14:paraId="17E09449" w14:textId="77777777" w:rsidTr="005F3FCF">
      <w:tc>
        <w:tcPr>
          <w:tcW w:w="6608" w:type="dxa"/>
          <w:vAlign w:val="center"/>
          <w:hideMark/>
        </w:tcPr>
        <w:p w14:paraId="173D1AB6" w14:textId="77777777" w:rsidR="005F3FCF" w:rsidRPr="005F3FCF" w:rsidRDefault="005F3FCF" w:rsidP="005F3FCF">
          <w:pPr>
            <w:pStyle w:val="Title"/>
            <w:spacing w:after="120"/>
            <w:ind w:right="360"/>
            <w:jc w:val="left"/>
            <w:rPr>
              <w:rFonts w:ascii="Gotham Book" w:hAnsi="Gotham Book"/>
              <w:b/>
              <w:color w:val="404040"/>
              <w:sz w:val="22"/>
              <w:szCs w:val="22"/>
            </w:rPr>
          </w:pPr>
          <w:r w:rsidRPr="005F3FCF">
            <w:rPr>
              <w:rFonts w:ascii="Gotham Book" w:hAnsi="Gotham Book"/>
              <w:b/>
              <w:color w:val="404040"/>
              <w:sz w:val="22"/>
              <w:szCs w:val="22"/>
            </w:rPr>
            <w:t>Number</w:t>
          </w:r>
        </w:p>
      </w:tc>
      <w:tc>
        <w:tcPr>
          <w:tcW w:w="3328" w:type="dxa"/>
          <w:vAlign w:val="center"/>
          <w:hideMark/>
        </w:tcPr>
        <w:p w14:paraId="1E36708A"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0</w:t>
          </w:r>
        </w:p>
      </w:tc>
      <w:tc>
        <w:tcPr>
          <w:tcW w:w="1090" w:type="dxa"/>
          <w:tcBorders>
            <w:top w:val="nil"/>
            <w:left w:val="nil"/>
            <w:bottom w:val="single" w:sz="8" w:space="0" w:color="auto"/>
            <w:right w:val="single" w:sz="8" w:space="0" w:color="auto"/>
          </w:tcBorders>
          <w:shd w:val="clear" w:color="auto" w:fill="auto"/>
          <w:vAlign w:val="center"/>
          <w:hideMark/>
        </w:tcPr>
        <w:p w14:paraId="29882F5B" w14:textId="77777777" w:rsidR="005F3FCF" w:rsidRPr="006723EF" w:rsidRDefault="005F3FCF"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990" w:type="dxa"/>
          <w:tcBorders>
            <w:top w:val="nil"/>
            <w:left w:val="nil"/>
            <w:bottom w:val="single" w:sz="8" w:space="0" w:color="auto"/>
            <w:right w:val="single" w:sz="8" w:space="0" w:color="auto"/>
          </w:tcBorders>
          <w:shd w:val="clear" w:color="auto" w:fill="auto"/>
          <w:vAlign w:val="center"/>
          <w:hideMark/>
        </w:tcPr>
        <w:p w14:paraId="688D8C00" w14:textId="77777777" w:rsidR="005F3FCF" w:rsidRPr="006723EF" w:rsidRDefault="005F3FCF"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998" w:type="dxa"/>
          <w:tcBorders>
            <w:top w:val="nil"/>
            <w:left w:val="nil"/>
            <w:bottom w:val="single" w:sz="8" w:space="0" w:color="auto"/>
            <w:right w:val="single" w:sz="8" w:space="0" w:color="auto"/>
          </w:tcBorders>
          <w:shd w:val="clear" w:color="auto" w:fill="auto"/>
          <w:vAlign w:val="center"/>
          <w:hideMark/>
        </w:tcPr>
        <w:p w14:paraId="1940C2F4" w14:textId="77777777" w:rsidR="005F3FCF" w:rsidRPr="006723EF" w:rsidRDefault="005F3FCF"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998" w:type="dxa"/>
          <w:tcBorders>
            <w:top w:val="nil"/>
            <w:left w:val="nil"/>
            <w:bottom w:val="single" w:sz="8" w:space="0" w:color="auto"/>
            <w:right w:val="single" w:sz="8" w:space="0" w:color="auto"/>
          </w:tcBorders>
          <w:shd w:val="clear" w:color="auto" w:fill="auto"/>
          <w:vAlign w:val="center"/>
          <w:hideMark/>
        </w:tcPr>
        <w:p w14:paraId="6483D425" w14:textId="77777777" w:rsidR="005F3FCF" w:rsidRPr="006723EF" w:rsidRDefault="005F3FCF"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998" w:type="dxa"/>
          <w:tcBorders>
            <w:top w:val="nil"/>
            <w:left w:val="nil"/>
            <w:bottom w:val="single" w:sz="8" w:space="0" w:color="auto"/>
            <w:right w:val="single" w:sz="8" w:space="0" w:color="auto"/>
          </w:tcBorders>
          <w:shd w:val="clear" w:color="auto" w:fill="auto"/>
          <w:vAlign w:val="center"/>
          <w:hideMark/>
        </w:tcPr>
        <w:p w14:paraId="306E708D" w14:textId="77777777" w:rsidR="005F3FCF" w:rsidRPr="006723EF" w:rsidRDefault="005F3FCF"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r>
    <w:tr w:rsidR="005F3FCF" w:rsidRPr="006723EF" w14:paraId="7CEAF6F2" w14:textId="77777777" w:rsidTr="005F3FCF">
      <w:tc>
        <w:tcPr>
          <w:tcW w:w="6608" w:type="dxa"/>
          <w:vAlign w:val="center"/>
          <w:hideMark/>
        </w:tcPr>
        <w:p w14:paraId="1DA57DCD" w14:textId="77777777" w:rsidR="005F3FCF" w:rsidRPr="006723EF" w:rsidRDefault="005F3FCF" w:rsidP="005F3FCF">
          <w:pPr>
            <w:pStyle w:val="Title"/>
            <w:spacing w:after="120"/>
            <w:ind w:right="360"/>
            <w:jc w:val="left"/>
            <w:rPr>
              <w:rFonts w:ascii="Calibri" w:eastAsia="Times New Roman" w:hAnsi="Calibri"/>
              <w:color w:val="404040" w:themeColor="text1" w:themeTint="BF"/>
              <w:szCs w:val="20"/>
            </w:rPr>
          </w:pPr>
          <w:r w:rsidRPr="005F3FCF">
            <w:rPr>
              <w:rFonts w:ascii="Gotham Book" w:hAnsi="Gotham Book"/>
              <w:b/>
              <w:color w:val="404040"/>
              <w:sz w:val="22"/>
              <w:szCs w:val="22"/>
            </w:rPr>
            <w:t xml:space="preserve">Dollar </w:t>
          </w:r>
          <w:r w:rsidRPr="006723EF">
            <w:rPr>
              <w:rFonts w:ascii="Calibri" w:eastAsia="Times New Roman" w:hAnsi="Calibri"/>
              <w:color w:val="404040" w:themeColor="text1" w:themeTint="BF"/>
              <w:szCs w:val="20"/>
            </w:rPr>
            <w:t>Amount</w:t>
          </w:r>
        </w:p>
      </w:tc>
      <w:tc>
        <w:tcPr>
          <w:tcW w:w="3328" w:type="dxa"/>
          <w:vAlign w:val="center"/>
          <w:hideMark/>
        </w:tcPr>
        <w:p w14:paraId="70D7EDAC"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0</w:t>
          </w:r>
        </w:p>
      </w:tc>
      <w:tc>
        <w:tcPr>
          <w:tcW w:w="1090" w:type="dxa"/>
          <w:tcBorders>
            <w:top w:val="nil"/>
            <w:left w:val="nil"/>
            <w:bottom w:val="single" w:sz="8" w:space="0" w:color="auto"/>
            <w:right w:val="single" w:sz="8" w:space="0" w:color="auto"/>
          </w:tcBorders>
          <w:shd w:val="clear" w:color="auto" w:fill="auto"/>
          <w:vAlign w:val="center"/>
          <w:hideMark/>
        </w:tcPr>
        <w:p w14:paraId="26C5D546" w14:textId="77777777" w:rsidR="005F3FCF" w:rsidRPr="006723EF" w:rsidRDefault="005F3FCF"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990" w:type="dxa"/>
          <w:tcBorders>
            <w:top w:val="nil"/>
            <w:left w:val="nil"/>
            <w:bottom w:val="single" w:sz="8" w:space="0" w:color="auto"/>
            <w:right w:val="single" w:sz="8" w:space="0" w:color="auto"/>
          </w:tcBorders>
          <w:shd w:val="clear" w:color="auto" w:fill="auto"/>
          <w:vAlign w:val="center"/>
          <w:hideMark/>
        </w:tcPr>
        <w:p w14:paraId="0E93A697" w14:textId="77777777" w:rsidR="005F3FCF" w:rsidRPr="006723EF" w:rsidRDefault="005F3FCF"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998" w:type="dxa"/>
          <w:tcBorders>
            <w:top w:val="nil"/>
            <w:left w:val="nil"/>
            <w:bottom w:val="single" w:sz="8" w:space="0" w:color="auto"/>
            <w:right w:val="single" w:sz="8" w:space="0" w:color="auto"/>
          </w:tcBorders>
          <w:shd w:val="clear" w:color="auto" w:fill="auto"/>
          <w:vAlign w:val="center"/>
          <w:hideMark/>
        </w:tcPr>
        <w:p w14:paraId="516A9F42" w14:textId="77777777" w:rsidR="005F3FCF" w:rsidRPr="006723EF" w:rsidRDefault="005F3FCF"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998" w:type="dxa"/>
          <w:tcBorders>
            <w:top w:val="nil"/>
            <w:left w:val="nil"/>
            <w:bottom w:val="single" w:sz="8" w:space="0" w:color="auto"/>
            <w:right w:val="single" w:sz="8" w:space="0" w:color="auto"/>
          </w:tcBorders>
          <w:shd w:val="clear" w:color="auto" w:fill="auto"/>
          <w:vAlign w:val="center"/>
          <w:hideMark/>
        </w:tcPr>
        <w:p w14:paraId="026C8DDB" w14:textId="77777777" w:rsidR="005F3FCF" w:rsidRPr="006723EF" w:rsidRDefault="005F3FCF"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998" w:type="dxa"/>
          <w:tcBorders>
            <w:top w:val="nil"/>
            <w:left w:val="nil"/>
            <w:bottom w:val="single" w:sz="8" w:space="0" w:color="auto"/>
            <w:right w:val="single" w:sz="8" w:space="0" w:color="auto"/>
          </w:tcBorders>
          <w:shd w:val="clear" w:color="auto" w:fill="auto"/>
          <w:vAlign w:val="center"/>
          <w:hideMark/>
        </w:tcPr>
        <w:p w14:paraId="198ACD19" w14:textId="77777777" w:rsidR="005F3FCF" w:rsidRPr="006723EF" w:rsidRDefault="005F3FCF"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r>
  </w:tbl>
  <w:p w14:paraId="5D10A1F7" w14:textId="77777777" w:rsidR="005F3FCF" w:rsidRPr="005F3FCF" w:rsidRDefault="005F3FCF" w:rsidP="005F3FCF">
    <w:pPr>
      <w:pStyle w:val="Title"/>
      <w:spacing w:after="120"/>
      <w:ind w:left="360"/>
      <w:rPr>
        <w:rFonts w:ascii="Gotham Book" w:hAnsi="Gotham Book"/>
        <w:color w:val="404040"/>
        <w:sz w:val="22"/>
        <w:szCs w:val="22"/>
      </w:rPr>
    </w:pPr>
  </w:p>
  <w:p w14:paraId="62226AE7" w14:textId="77777777" w:rsidR="005F3FCF" w:rsidRPr="005F3FCF" w:rsidRDefault="005F3FCF" w:rsidP="005F3FCF">
    <w:pPr>
      <w:pStyle w:val="Title"/>
      <w:spacing w:after="120"/>
      <w:ind w:left="360"/>
      <w:rPr>
        <w:rFonts w:ascii="Gotham Book" w:hAnsi="Gotham Book"/>
        <w:color w:val="404040"/>
        <w:sz w:val="22"/>
        <w:szCs w:val="22"/>
      </w:rPr>
    </w:pPr>
  </w:p>
  <w:p w14:paraId="5D6C0884" w14:textId="77777777" w:rsidR="005F3FCF" w:rsidRPr="006723EF" w:rsidRDefault="005F3FCF" w:rsidP="005F3FCF">
    <w:pPr>
      <w:pStyle w:val="Title"/>
      <w:spacing w:after="120"/>
      <w:rPr>
        <w:rFonts w:asciiTheme="minorHAnsi" w:hAnsiTheme="minorHAnsi" w:cstheme="minorHAnsi"/>
        <w:color w:val="404040" w:themeColor="text1" w:themeTint="BF"/>
        <w:szCs w:val="20"/>
      </w:rPr>
    </w:pPr>
    <w:r w:rsidRPr="005F3FCF">
      <w:rPr>
        <w:rFonts w:ascii="Gotham Book" w:hAnsi="Gotham Book"/>
        <w:b/>
        <w:color w:val="323E4F"/>
        <w:sz w:val="24"/>
      </w:rPr>
      <w:t>Salt</w:t>
    </w:r>
    <w:r w:rsidRPr="006723EF">
      <w:rPr>
        <w:rFonts w:asciiTheme="minorHAnsi" w:hAnsiTheme="minorHAnsi" w:cstheme="minorHAnsi"/>
        <w:color w:val="404040" w:themeColor="text1" w:themeTint="BF"/>
        <w:szCs w:val="20"/>
      </w:rPr>
      <w:t xml:space="preserve"> Lake City did not use HOME funds for r</w:t>
    </w:r>
    <w:r>
      <w:rPr>
        <w:rFonts w:asciiTheme="minorHAnsi" w:hAnsiTheme="minorHAnsi" w:cstheme="minorHAnsi"/>
        <w:color w:val="404040" w:themeColor="text1" w:themeTint="BF"/>
        <w:szCs w:val="20"/>
      </w:rPr>
      <w:t>ental properties during the 2017-18</w:t>
    </w:r>
    <w:r w:rsidRPr="006723EF">
      <w:rPr>
        <w:rFonts w:asciiTheme="minorHAnsi" w:hAnsiTheme="minorHAnsi" w:cstheme="minorHAnsi"/>
        <w:color w:val="404040" w:themeColor="text1" w:themeTint="BF"/>
        <w:szCs w:val="20"/>
      </w:rPr>
      <w:t xml:space="preserve"> program year.</w:t>
    </w:r>
  </w:p>
  <w:p w14:paraId="148F9FAD" w14:textId="77777777" w:rsidR="005F3FCF" w:rsidRPr="005F3FCF" w:rsidRDefault="005F3FCF" w:rsidP="005F3FCF">
    <w:pPr>
      <w:pStyle w:val="Title"/>
      <w:spacing w:after="120"/>
      <w:ind w:left="360"/>
      <w:rPr>
        <w:rFonts w:ascii="Gotham Book" w:hAnsi="Gotham Book"/>
        <w:b/>
        <w:color w:val="323E4F"/>
        <w:sz w:val="24"/>
      </w:rPr>
    </w:pPr>
  </w:p>
  <w:p w14:paraId="64ED5CA7" w14:textId="77777777" w:rsidR="005F3FCF" w:rsidRPr="005F3FCF" w:rsidRDefault="005F3FCF" w:rsidP="005F3FCF">
    <w:pPr>
      <w:pStyle w:val="Title"/>
      <w:spacing w:after="120"/>
      <w:ind w:left="360"/>
      <w:rPr>
        <w:rFonts w:ascii="Calibri" w:hAnsi="Calibri" w:cs="Calibri"/>
        <w:i/>
        <w:color w:val="44546A"/>
        <w:sz w:val="18"/>
        <w:szCs w:val="18"/>
      </w:rPr>
    </w:pPr>
    <w:r w:rsidRPr="005F3FCF">
      <w:rPr>
        <w:rFonts w:ascii="Calibri" w:hAnsi="Calibri" w:cs="Calibri"/>
        <w:b/>
        <w:color w:val="44546A"/>
        <w:sz w:val="24"/>
      </w:rPr>
      <w:t xml:space="preserve">Table 10 – Relocation and Real </w:t>
    </w:r>
    <w:r w:rsidRPr="005F3FCF">
      <w:rPr>
        <w:rFonts w:ascii="Calibri" w:hAnsi="Calibri" w:cs="Calibri"/>
        <w:i/>
        <w:color w:val="44546A"/>
        <w:sz w:val="18"/>
        <w:szCs w:val="18"/>
      </w:rPr>
      <w:t>Property Acquisition</w:t>
    </w:r>
  </w:p>
  <w:tbl>
    <w:tblPr>
      <w:tblW w:w="0" w:type="auto"/>
      <w:tblInd w:w="360" w:type="dxa"/>
      <w:tblLook w:val="04A0" w:firstRow="1" w:lastRow="0" w:firstColumn="1" w:lastColumn="0" w:noHBand="0" w:noVBand="1"/>
    </w:tblPr>
    <w:tblGrid>
      <w:gridCol w:w="6608"/>
      <w:gridCol w:w="3328"/>
      <w:gridCol w:w="1000"/>
    </w:tblGrid>
    <w:tr w:rsidR="005F3FCF" w:rsidRPr="006723EF" w14:paraId="170DF616" w14:textId="77777777" w:rsidTr="005F3FCF">
      <w:trPr>
        <w:cantSplit/>
      </w:trPr>
      <w:tc>
        <w:tcPr>
          <w:tcW w:w="6608" w:type="dxa"/>
          <w:vAlign w:val="center"/>
          <w:hideMark/>
        </w:tcPr>
        <w:p w14:paraId="01086457" w14:textId="77777777" w:rsidR="005F3FCF" w:rsidRPr="005F3FCF" w:rsidRDefault="005F3FCF" w:rsidP="005F3FCF">
          <w:pPr>
            <w:pStyle w:val="Title"/>
            <w:spacing w:after="120"/>
            <w:ind w:right="360"/>
            <w:jc w:val="left"/>
            <w:rPr>
              <w:rFonts w:ascii="Gotham Book" w:hAnsi="Gotham Book"/>
              <w:b/>
              <w:color w:val="404040"/>
              <w:sz w:val="22"/>
              <w:szCs w:val="22"/>
            </w:rPr>
          </w:pPr>
          <w:r w:rsidRPr="005F3FCF">
            <w:rPr>
              <w:rFonts w:ascii="Gotham Book" w:hAnsi="Gotham Book"/>
              <w:b/>
              <w:color w:val="404040"/>
              <w:sz w:val="22"/>
              <w:szCs w:val="22"/>
            </w:rPr>
            <w:t> </w:t>
          </w:r>
        </w:p>
      </w:tc>
      <w:tc>
        <w:tcPr>
          <w:tcW w:w="3328" w:type="dxa"/>
          <w:vAlign w:val="center"/>
          <w:hideMark/>
        </w:tcPr>
        <w:p w14:paraId="39FDFFC6"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NumberNumber</w:t>
          </w:r>
        </w:p>
      </w:tc>
      <w:tc>
        <w:tcPr>
          <w:tcW w:w="10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04A222D" w14:textId="77777777" w:rsidR="005F3FCF" w:rsidRPr="006723EF" w:rsidRDefault="005F3FCF" w:rsidP="00816745">
          <w:pPr>
            <w:jc w:val="center"/>
            <w:rPr>
              <w:rFonts w:ascii="Calibri" w:eastAsia="Times New Roman" w:hAnsi="Calibri"/>
              <w:b/>
              <w:bCs/>
              <w:color w:val="404040" w:themeColor="text1" w:themeTint="BF"/>
              <w:szCs w:val="20"/>
            </w:rPr>
          </w:pPr>
          <w:r w:rsidRPr="006723EF">
            <w:rPr>
              <w:rFonts w:ascii="Calibri" w:eastAsia="Times New Roman" w:hAnsi="Calibri"/>
              <w:b/>
              <w:bCs/>
              <w:vanish/>
              <w:color w:val="404040" w:themeColor="text1" w:themeTint="BF"/>
              <w:szCs w:val="20"/>
            </w:rPr>
            <w:t>CostC</w:t>
          </w:r>
          <w:r w:rsidRPr="005F3FCF">
            <w:rPr>
              <w:rFonts w:ascii="Calibri" w:eastAsia="Times New Roman" w:hAnsi="Calibri"/>
              <w:b/>
              <w:bCs/>
              <w:vanish/>
              <w:color w:val="404040" w:themeColor="text1" w:themeTint="BF"/>
              <w:szCs w:val="20"/>
            </w:rPr>
            <w:t>Cost</w:t>
          </w:r>
        </w:p>
      </w:tc>
    </w:tr>
    <w:tr w:rsidR="005F3FCF" w:rsidRPr="006723EF" w14:paraId="45D41713" w14:textId="77777777" w:rsidTr="005F3FCF">
      <w:trPr>
        <w:cantSplit/>
      </w:trPr>
      <w:tc>
        <w:tcPr>
          <w:tcW w:w="6608" w:type="dxa"/>
          <w:vAlign w:val="center"/>
          <w:hideMark/>
        </w:tcPr>
        <w:p w14:paraId="0DA66663" w14:textId="77777777" w:rsidR="005F3FCF" w:rsidRPr="006723EF" w:rsidRDefault="005F3FCF" w:rsidP="005F3FCF">
          <w:pPr>
            <w:pStyle w:val="Title"/>
            <w:spacing w:after="120"/>
            <w:ind w:right="360"/>
            <w:jc w:val="left"/>
            <w:rPr>
              <w:rFonts w:ascii="Calibri" w:eastAsia="Times New Roman" w:hAnsi="Calibri"/>
              <w:color w:val="404040" w:themeColor="text1" w:themeTint="BF"/>
              <w:szCs w:val="20"/>
            </w:rPr>
          </w:pPr>
          <w:r w:rsidRPr="005F3FCF">
            <w:rPr>
              <w:rFonts w:ascii="Gotham Book" w:hAnsi="Gotham Book"/>
              <w:b/>
              <w:color w:val="404040"/>
              <w:sz w:val="22"/>
              <w:szCs w:val="22"/>
            </w:rPr>
            <w:t xml:space="preserve">Parcels </w:t>
          </w:r>
          <w:r w:rsidRPr="006723EF">
            <w:rPr>
              <w:rFonts w:ascii="Calibri" w:eastAsia="Times New Roman" w:hAnsi="Calibri"/>
              <w:color w:val="404040" w:themeColor="text1" w:themeTint="BF"/>
              <w:szCs w:val="20"/>
            </w:rPr>
            <w:t>Acquired</w:t>
          </w:r>
        </w:p>
      </w:tc>
      <w:tc>
        <w:tcPr>
          <w:tcW w:w="3328" w:type="dxa"/>
          <w:vAlign w:val="center"/>
          <w:hideMark/>
        </w:tcPr>
        <w:p w14:paraId="43B2A6E0"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0</w:t>
          </w:r>
        </w:p>
      </w:tc>
      <w:tc>
        <w:tcPr>
          <w:tcW w:w="1000" w:type="dxa"/>
          <w:tcBorders>
            <w:top w:val="nil"/>
            <w:left w:val="nil"/>
            <w:bottom w:val="single" w:sz="8" w:space="0" w:color="auto"/>
            <w:right w:val="single" w:sz="8" w:space="0" w:color="auto"/>
          </w:tcBorders>
          <w:shd w:val="clear" w:color="auto" w:fill="auto"/>
          <w:vAlign w:val="center"/>
          <w:hideMark/>
        </w:tcPr>
        <w:p w14:paraId="37B8C115" w14:textId="77777777" w:rsidR="005F3FCF" w:rsidRPr="006723EF" w:rsidRDefault="005F3FCF"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r>
    <w:tr w:rsidR="005F3FCF" w:rsidRPr="006723EF" w14:paraId="27BA21F9" w14:textId="77777777" w:rsidTr="005F3FCF">
      <w:trPr>
        <w:cantSplit/>
      </w:trPr>
      <w:tc>
        <w:tcPr>
          <w:tcW w:w="6608" w:type="dxa"/>
          <w:vAlign w:val="center"/>
          <w:hideMark/>
        </w:tcPr>
        <w:p w14:paraId="74860293" w14:textId="77777777" w:rsidR="005F3FCF" w:rsidRPr="006723EF" w:rsidRDefault="005F3FCF" w:rsidP="005F3FCF">
          <w:pPr>
            <w:pStyle w:val="Title"/>
            <w:spacing w:after="120"/>
            <w:ind w:right="360"/>
            <w:jc w:val="left"/>
            <w:rPr>
              <w:rFonts w:ascii="Calibri" w:eastAsia="Times New Roman" w:hAnsi="Calibri"/>
              <w:color w:val="404040" w:themeColor="text1" w:themeTint="BF"/>
              <w:szCs w:val="20"/>
            </w:rPr>
          </w:pPr>
          <w:r w:rsidRPr="005F3FCF">
            <w:rPr>
              <w:rFonts w:ascii="Gotham Book" w:hAnsi="Gotham Book"/>
              <w:b/>
              <w:color w:val="404040"/>
              <w:sz w:val="22"/>
              <w:szCs w:val="22"/>
            </w:rPr>
            <w:t xml:space="preserve">Businesses </w:t>
          </w:r>
          <w:r w:rsidRPr="006723EF">
            <w:rPr>
              <w:rFonts w:ascii="Calibri" w:eastAsia="Times New Roman" w:hAnsi="Calibri"/>
              <w:color w:val="404040" w:themeColor="text1" w:themeTint="BF"/>
              <w:szCs w:val="20"/>
            </w:rPr>
            <w:t>Displaced</w:t>
          </w:r>
        </w:p>
      </w:tc>
      <w:tc>
        <w:tcPr>
          <w:tcW w:w="3328" w:type="dxa"/>
          <w:vAlign w:val="center"/>
          <w:hideMark/>
        </w:tcPr>
        <w:p w14:paraId="541DB6F7"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0</w:t>
          </w:r>
        </w:p>
      </w:tc>
      <w:tc>
        <w:tcPr>
          <w:tcW w:w="1000" w:type="dxa"/>
          <w:tcBorders>
            <w:top w:val="nil"/>
            <w:left w:val="nil"/>
            <w:bottom w:val="single" w:sz="8" w:space="0" w:color="auto"/>
            <w:right w:val="single" w:sz="8" w:space="0" w:color="auto"/>
          </w:tcBorders>
          <w:shd w:val="clear" w:color="auto" w:fill="auto"/>
          <w:vAlign w:val="center"/>
          <w:hideMark/>
        </w:tcPr>
        <w:p w14:paraId="1300FB6C" w14:textId="77777777" w:rsidR="005F3FCF" w:rsidRPr="006723EF" w:rsidRDefault="005F3FCF"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r>
    <w:tr w:rsidR="005F3FCF" w:rsidRPr="006723EF" w14:paraId="2C738D5B" w14:textId="77777777" w:rsidTr="005F3FCF">
      <w:trPr>
        <w:cantSplit/>
      </w:trPr>
      <w:tc>
        <w:tcPr>
          <w:tcW w:w="6608" w:type="dxa"/>
          <w:vAlign w:val="center"/>
          <w:hideMark/>
        </w:tcPr>
        <w:p w14:paraId="2AB608BA" w14:textId="77777777" w:rsidR="005F3FCF" w:rsidRPr="006723EF" w:rsidRDefault="005F3FCF" w:rsidP="005F3FCF">
          <w:pPr>
            <w:pStyle w:val="Title"/>
            <w:spacing w:after="120"/>
            <w:ind w:right="360"/>
            <w:jc w:val="left"/>
            <w:rPr>
              <w:rFonts w:ascii="Calibri" w:eastAsia="Times New Roman" w:hAnsi="Calibri"/>
              <w:color w:val="404040" w:themeColor="text1" w:themeTint="BF"/>
              <w:szCs w:val="20"/>
            </w:rPr>
          </w:pPr>
          <w:r w:rsidRPr="005F3FCF">
            <w:rPr>
              <w:rFonts w:ascii="Gotham Book" w:hAnsi="Gotham Book"/>
              <w:b/>
              <w:color w:val="404040"/>
              <w:sz w:val="22"/>
              <w:szCs w:val="22"/>
            </w:rPr>
            <w:t xml:space="preserve">Nonprofit </w:t>
          </w:r>
          <w:r w:rsidRPr="006723EF">
            <w:rPr>
              <w:rFonts w:ascii="Calibri" w:eastAsia="Times New Roman" w:hAnsi="Calibri"/>
              <w:color w:val="404040" w:themeColor="text1" w:themeTint="BF"/>
              <w:szCs w:val="20"/>
            </w:rPr>
            <w:t>Organizations Displaced</w:t>
          </w:r>
        </w:p>
      </w:tc>
      <w:tc>
        <w:tcPr>
          <w:tcW w:w="3328" w:type="dxa"/>
          <w:vAlign w:val="center"/>
          <w:hideMark/>
        </w:tcPr>
        <w:p w14:paraId="2479950C"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0</w:t>
          </w:r>
        </w:p>
      </w:tc>
      <w:tc>
        <w:tcPr>
          <w:tcW w:w="1000" w:type="dxa"/>
          <w:tcBorders>
            <w:top w:val="nil"/>
            <w:left w:val="nil"/>
            <w:bottom w:val="single" w:sz="8" w:space="0" w:color="auto"/>
            <w:right w:val="single" w:sz="8" w:space="0" w:color="auto"/>
          </w:tcBorders>
          <w:shd w:val="clear" w:color="auto" w:fill="auto"/>
          <w:vAlign w:val="center"/>
          <w:hideMark/>
        </w:tcPr>
        <w:p w14:paraId="6757C027" w14:textId="77777777" w:rsidR="005F3FCF" w:rsidRPr="006723EF" w:rsidRDefault="005F3FCF"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r>
    <w:tr w:rsidR="005F3FCF" w:rsidRPr="006723EF" w14:paraId="42064204" w14:textId="77777777" w:rsidTr="005F3FCF">
      <w:trPr>
        <w:cantSplit/>
      </w:trPr>
      <w:tc>
        <w:tcPr>
          <w:tcW w:w="6608" w:type="dxa"/>
          <w:vAlign w:val="center"/>
          <w:hideMark/>
        </w:tcPr>
        <w:p w14:paraId="6802B931" w14:textId="77777777" w:rsidR="005F3FCF" w:rsidRPr="006723EF" w:rsidRDefault="005F3FCF" w:rsidP="005F3FCF">
          <w:pPr>
            <w:pStyle w:val="Title"/>
            <w:spacing w:after="120"/>
            <w:ind w:right="360"/>
            <w:jc w:val="left"/>
            <w:rPr>
              <w:rFonts w:ascii="Calibri" w:eastAsia="Times New Roman" w:hAnsi="Calibri"/>
              <w:color w:val="404040" w:themeColor="text1" w:themeTint="BF"/>
              <w:szCs w:val="20"/>
            </w:rPr>
          </w:pPr>
          <w:r w:rsidRPr="005F3FCF">
            <w:rPr>
              <w:rFonts w:ascii="Gotham Book" w:hAnsi="Gotham Book"/>
              <w:b/>
              <w:color w:val="404040"/>
              <w:sz w:val="22"/>
              <w:szCs w:val="22"/>
            </w:rPr>
            <w:t xml:space="preserve">Households </w:t>
          </w:r>
          <w:r w:rsidRPr="006723EF">
            <w:rPr>
              <w:rFonts w:ascii="Calibri" w:eastAsia="Times New Roman" w:hAnsi="Calibri"/>
              <w:color w:val="404040" w:themeColor="text1" w:themeTint="BF"/>
              <w:szCs w:val="20"/>
            </w:rPr>
            <w:t>Temporarily Relocated, not Displaced</w:t>
          </w:r>
        </w:p>
      </w:tc>
      <w:tc>
        <w:tcPr>
          <w:tcW w:w="3328" w:type="dxa"/>
          <w:vAlign w:val="center"/>
          <w:hideMark/>
        </w:tcPr>
        <w:p w14:paraId="4B878489"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0</w:t>
          </w:r>
        </w:p>
      </w:tc>
      <w:tc>
        <w:tcPr>
          <w:tcW w:w="1000" w:type="dxa"/>
          <w:tcBorders>
            <w:top w:val="nil"/>
            <w:left w:val="nil"/>
            <w:bottom w:val="single" w:sz="8" w:space="0" w:color="auto"/>
            <w:right w:val="single" w:sz="8" w:space="0" w:color="auto"/>
          </w:tcBorders>
          <w:shd w:val="clear" w:color="auto" w:fill="auto"/>
          <w:vAlign w:val="center"/>
          <w:hideMark/>
        </w:tcPr>
        <w:p w14:paraId="28F45FA7" w14:textId="77777777" w:rsidR="005F3FCF" w:rsidRPr="006723EF" w:rsidRDefault="005F3FCF"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r>
  </w:tbl>
  <w:p w14:paraId="051F5DB6" w14:textId="77777777" w:rsidR="005F3FCF" w:rsidRPr="005F3FCF" w:rsidRDefault="005F3FCF" w:rsidP="005F3FCF">
    <w:pPr>
      <w:pStyle w:val="Title"/>
      <w:spacing w:after="120"/>
      <w:ind w:left="360"/>
      <w:rPr>
        <w:rFonts w:ascii="Gotham Book" w:hAnsi="Gotham Book"/>
        <w:color w:val="404040"/>
        <w:sz w:val="22"/>
        <w:szCs w:val="22"/>
      </w:rPr>
    </w:pPr>
  </w:p>
  <w:p w14:paraId="1F5AC2D2" w14:textId="77777777" w:rsidR="005F3FCF" w:rsidRPr="005F3FCF" w:rsidRDefault="005F3FCF" w:rsidP="005F3FCF">
    <w:pPr>
      <w:pStyle w:val="Title"/>
      <w:spacing w:after="120"/>
      <w:ind w:left="360"/>
      <w:rPr>
        <w:rFonts w:ascii="Gotham Book" w:hAnsi="Gotham Book"/>
        <w:color w:val="404040"/>
        <w:sz w:val="22"/>
        <w:szCs w:val="22"/>
      </w:rPr>
    </w:pPr>
  </w:p>
  <w:tbl>
    <w:tblPr>
      <w:tblW w:w="0" w:type="auto"/>
      <w:tblInd w:w="360" w:type="dxa"/>
      <w:tblLook w:val="04A0" w:firstRow="1" w:lastRow="0" w:firstColumn="1" w:lastColumn="0" w:noHBand="0" w:noVBand="1"/>
    </w:tblPr>
    <w:tblGrid>
      <w:gridCol w:w="6608"/>
      <w:gridCol w:w="3328"/>
      <w:gridCol w:w="1011"/>
      <w:gridCol w:w="999"/>
      <w:gridCol w:w="1000"/>
      <w:gridCol w:w="1000"/>
      <w:gridCol w:w="1000"/>
    </w:tblGrid>
    <w:tr w:rsidR="005F3FCF" w:rsidRPr="006723EF" w14:paraId="3FCC8471" w14:textId="77777777" w:rsidTr="005F3FCF">
      <w:trPr>
        <w:cantSplit/>
      </w:trPr>
      <w:tc>
        <w:tcPr>
          <w:tcW w:w="6608" w:type="dxa"/>
          <w:vMerge w:val="restart"/>
          <w:vAlign w:val="center"/>
          <w:hideMark/>
        </w:tcPr>
        <w:p w14:paraId="77F0B280" w14:textId="77777777" w:rsidR="005F3FCF" w:rsidRPr="006723EF" w:rsidRDefault="005F3FCF" w:rsidP="005F3FCF">
          <w:pPr>
            <w:pStyle w:val="Title"/>
            <w:spacing w:after="120"/>
            <w:ind w:right="360"/>
            <w:jc w:val="left"/>
            <w:rPr>
              <w:rFonts w:ascii="Calibri" w:eastAsia="Times New Roman" w:hAnsi="Calibri"/>
              <w:b/>
              <w:bCs/>
              <w:color w:val="404040" w:themeColor="text1" w:themeTint="BF"/>
              <w:szCs w:val="20"/>
            </w:rPr>
          </w:pPr>
          <w:r w:rsidRPr="005F3FCF">
            <w:rPr>
              <w:rFonts w:ascii="Gotham Book" w:hAnsi="Gotham Book"/>
              <w:b/>
              <w:color w:val="404040"/>
              <w:sz w:val="22"/>
              <w:szCs w:val="22"/>
            </w:rPr>
            <w:t xml:space="preserve">Households </w:t>
          </w:r>
          <w:r w:rsidRPr="006723EF">
            <w:rPr>
              <w:rFonts w:ascii="Calibri" w:eastAsia="Times New Roman" w:hAnsi="Calibri"/>
              <w:b/>
              <w:bCs/>
              <w:color w:val="404040" w:themeColor="text1" w:themeTint="BF"/>
              <w:szCs w:val="20"/>
            </w:rPr>
            <w:t>Displaced</w:t>
          </w:r>
        </w:p>
      </w:tc>
      <w:tc>
        <w:tcPr>
          <w:tcW w:w="3328" w:type="dxa"/>
          <w:vMerge w:val="restart"/>
          <w:vAlign w:val="center"/>
          <w:hideMark/>
        </w:tcPr>
        <w:p w14:paraId="67FCCBE3"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Total</w:t>
          </w:r>
        </w:p>
      </w:tc>
      <w:tc>
        <w:tcPr>
          <w:tcW w:w="4000" w:type="dxa"/>
          <w:gridSpan w:val="4"/>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6826B92D" w14:textId="77777777" w:rsidR="005F3FCF" w:rsidRPr="006723EF" w:rsidRDefault="005F3FCF"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Minority Property Enterprises</w:t>
          </w:r>
        </w:p>
      </w:tc>
      <w:tc>
        <w:tcPr>
          <w:tcW w:w="100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14:paraId="309ADAE6" w14:textId="77777777" w:rsidR="005F3FCF" w:rsidRPr="006723EF" w:rsidRDefault="005F3FCF"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White Non-Hispanic</w:t>
          </w:r>
        </w:p>
      </w:tc>
    </w:tr>
    <w:tr w:rsidR="005F3FCF" w:rsidRPr="006723EF" w14:paraId="4486B2A2" w14:textId="77777777" w:rsidTr="005F3FCF">
      <w:tc>
        <w:tcPr>
          <w:tcW w:w="6608" w:type="dxa"/>
          <w:vMerge/>
          <w:vAlign w:val="center"/>
          <w:hideMark/>
        </w:tcPr>
        <w:p w14:paraId="2401C98E" w14:textId="77777777" w:rsidR="005F3FCF" w:rsidRPr="005F3FCF" w:rsidRDefault="005F3FCF" w:rsidP="005F3FCF">
          <w:pPr>
            <w:pStyle w:val="Title"/>
            <w:spacing w:after="120"/>
            <w:ind w:right="360"/>
            <w:jc w:val="left"/>
            <w:rPr>
              <w:rFonts w:ascii="Gotham Book" w:hAnsi="Gotham Book"/>
              <w:b/>
              <w:color w:val="404040"/>
              <w:sz w:val="22"/>
              <w:szCs w:val="22"/>
            </w:rPr>
          </w:pPr>
        </w:p>
      </w:tc>
      <w:tc>
        <w:tcPr>
          <w:tcW w:w="3328" w:type="dxa"/>
          <w:vMerge/>
          <w:vAlign w:val="center"/>
          <w:hideMark/>
        </w:tcPr>
        <w:p w14:paraId="739E12A4" w14:textId="77777777" w:rsidR="005F3FCF" w:rsidRPr="005F3FCF" w:rsidRDefault="005F3FCF" w:rsidP="005F3FCF">
          <w:pPr>
            <w:pStyle w:val="Title"/>
            <w:spacing w:after="120"/>
            <w:ind w:right="360"/>
            <w:rPr>
              <w:rFonts w:ascii="Gotham Book" w:hAnsi="Gotham Book"/>
              <w:b/>
              <w:color w:val="404040"/>
              <w:sz w:val="22"/>
              <w:szCs w:val="22"/>
            </w:rPr>
          </w:pPr>
        </w:p>
      </w:tc>
      <w:tc>
        <w:tcPr>
          <w:tcW w:w="1000" w:type="dxa"/>
          <w:tcBorders>
            <w:top w:val="nil"/>
            <w:left w:val="nil"/>
            <w:bottom w:val="single" w:sz="8" w:space="0" w:color="auto"/>
            <w:right w:val="single" w:sz="8" w:space="0" w:color="auto"/>
          </w:tcBorders>
          <w:shd w:val="clear" w:color="auto" w:fill="C6D9F1" w:themeFill="text2" w:themeFillTint="33"/>
          <w:vAlign w:val="center"/>
          <w:hideMark/>
        </w:tcPr>
        <w:p w14:paraId="123E176A" w14:textId="77777777" w:rsidR="005F3FCF" w:rsidRPr="006723EF" w:rsidRDefault="005F3FCF"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Alaskan Native or American Indian</w:t>
          </w:r>
        </w:p>
      </w:tc>
      <w:tc>
        <w:tcPr>
          <w:tcW w:w="1000" w:type="dxa"/>
          <w:tcBorders>
            <w:top w:val="nil"/>
            <w:left w:val="nil"/>
            <w:bottom w:val="single" w:sz="8" w:space="0" w:color="auto"/>
            <w:right w:val="single" w:sz="8" w:space="0" w:color="auto"/>
          </w:tcBorders>
          <w:shd w:val="clear" w:color="auto" w:fill="C6D9F1" w:themeFill="text2" w:themeFillTint="33"/>
          <w:vAlign w:val="center"/>
          <w:hideMark/>
        </w:tcPr>
        <w:p w14:paraId="7314FE78" w14:textId="77777777" w:rsidR="005F3FCF" w:rsidRPr="006723EF" w:rsidRDefault="005F3FCF"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Asian or Pacific Islander</w:t>
          </w:r>
        </w:p>
      </w:tc>
      <w:tc>
        <w:tcPr>
          <w:tcW w:w="1000" w:type="dxa"/>
          <w:tcBorders>
            <w:top w:val="nil"/>
            <w:left w:val="nil"/>
            <w:bottom w:val="single" w:sz="8" w:space="0" w:color="auto"/>
            <w:right w:val="single" w:sz="8" w:space="0" w:color="auto"/>
          </w:tcBorders>
          <w:shd w:val="clear" w:color="auto" w:fill="C6D9F1" w:themeFill="text2" w:themeFillTint="33"/>
          <w:vAlign w:val="center"/>
          <w:hideMark/>
        </w:tcPr>
        <w:p w14:paraId="07732DF2" w14:textId="77777777" w:rsidR="005F3FCF" w:rsidRPr="006723EF" w:rsidRDefault="005F3FCF"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Black Non-Hispanic</w:t>
          </w:r>
        </w:p>
      </w:tc>
      <w:tc>
        <w:tcPr>
          <w:tcW w:w="1000" w:type="dxa"/>
          <w:tcBorders>
            <w:top w:val="nil"/>
            <w:left w:val="nil"/>
            <w:bottom w:val="single" w:sz="8" w:space="0" w:color="auto"/>
            <w:right w:val="single" w:sz="8" w:space="0" w:color="auto"/>
          </w:tcBorders>
          <w:shd w:val="clear" w:color="auto" w:fill="C6D9F1" w:themeFill="text2" w:themeFillTint="33"/>
          <w:vAlign w:val="center"/>
          <w:hideMark/>
        </w:tcPr>
        <w:p w14:paraId="68B64333" w14:textId="77777777" w:rsidR="005F3FCF" w:rsidRPr="006723EF" w:rsidRDefault="005F3FCF" w:rsidP="00816745">
          <w:pPr>
            <w:jc w:val="center"/>
            <w:rPr>
              <w:rFonts w:ascii="Calibri" w:eastAsia="Times New Roman" w:hAnsi="Calibri"/>
              <w:b/>
              <w:bCs/>
              <w:color w:val="404040" w:themeColor="text1" w:themeTint="BF"/>
              <w:szCs w:val="20"/>
            </w:rPr>
          </w:pPr>
          <w:r w:rsidRPr="006723EF">
            <w:rPr>
              <w:rFonts w:ascii="Calibri" w:eastAsia="Times New Roman" w:hAnsi="Calibri"/>
              <w:b/>
              <w:bCs/>
              <w:color w:val="404040" w:themeColor="text1" w:themeTint="BF"/>
              <w:szCs w:val="20"/>
            </w:rPr>
            <w:t>Hispanic</w:t>
          </w:r>
        </w:p>
      </w:tc>
      <w:tc>
        <w:tcPr>
          <w:tcW w:w="1000" w:type="dxa"/>
          <w:vMerge/>
          <w:tcBorders>
            <w:top w:val="single" w:sz="8" w:space="0" w:color="auto"/>
            <w:left w:val="single" w:sz="8" w:space="0" w:color="auto"/>
            <w:bottom w:val="single" w:sz="8" w:space="0" w:color="000000"/>
            <w:right w:val="single" w:sz="8" w:space="0" w:color="auto"/>
          </w:tcBorders>
          <w:vAlign w:val="center"/>
          <w:hideMark/>
        </w:tcPr>
        <w:p w14:paraId="333CF4C3" w14:textId="77777777" w:rsidR="005F3FCF" w:rsidRPr="006723EF" w:rsidRDefault="005F3FCF" w:rsidP="00816745">
          <w:pPr>
            <w:rPr>
              <w:rFonts w:ascii="Calibri" w:eastAsia="Times New Roman" w:hAnsi="Calibri"/>
              <w:b/>
              <w:bCs/>
              <w:color w:val="404040" w:themeColor="text1" w:themeTint="BF"/>
              <w:szCs w:val="20"/>
            </w:rPr>
          </w:pPr>
        </w:p>
      </w:tc>
    </w:tr>
    <w:tr w:rsidR="005F3FCF" w:rsidRPr="006723EF" w14:paraId="70CAE228" w14:textId="77777777" w:rsidTr="005F3FCF">
      <w:trPr>
        <w:cantSplit/>
      </w:trPr>
      <w:tc>
        <w:tcPr>
          <w:tcW w:w="6608" w:type="dxa"/>
          <w:vAlign w:val="center"/>
          <w:hideMark/>
        </w:tcPr>
        <w:p w14:paraId="7E7FC9DD" w14:textId="77777777" w:rsidR="005F3FCF" w:rsidRPr="005F3FCF" w:rsidRDefault="005F3FCF" w:rsidP="005F3FCF">
          <w:pPr>
            <w:pStyle w:val="Title"/>
            <w:spacing w:after="120"/>
            <w:ind w:right="360"/>
            <w:jc w:val="left"/>
            <w:rPr>
              <w:rFonts w:ascii="Gotham Book" w:hAnsi="Gotham Book"/>
              <w:b/>
              <w:color w:val="404040"/>
              <w:sz w:val="22"/>
              <w:szCs w:val="22"/>
            </w:rPr>
          </w:pPr>
          <w:r w:rsidRPr="005F3FCF">
            <w:rPr>
              <w:rFonts w:ascii="Gotham Book" w:hAnsi="Gotham Book"/>
              <w:b/>
              <w:color w:val="404040"/>
              <w:sz w:val="22"/>
              <w:szCs w:val="22"/>
            </w:rPr>
            <w:t>Number</w:t>
          </w:r>
        </w:p>
      </w:tc>
      <w:tc>
        <w:tcPr>
          <w:tcW w:w="3328" w:type="dxa"/>
          <w:vAlign w:val="center"/>
          <w:hideMark/>
        </w:tcPr>
        <w:p w14:paraId="07701B66"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0</w:t>
          </w:r>
        </w:p>
      </w:tc>
      <w:tc>
        <w:tcPr>
          <w:tcW w:w="1000" w:type="dxa"/>
          <w:tcBorders>
            <w:top w:val="nil"/>
            <w:left w:val="nil"/>
            <w:bottom w:val="single" w:sz="8" w:space="0" w:color="auto"/>
            <w:right w:val="single" w:sz="8" w:space="0" w:color="auto"/>
          </w:tcBorders>
          <w:shd w:val="clear" w:color="auto" w:fill="auto"/>
          <w:vAlign w:val="center"/>
          <w:hideMark/>
        </w:tcPr>
        <w:p w14:paraId="72D7D21F" w14:textId="77777777" w:rsidR="005F3FCF" w:rsidRPr="006723EF" w:rsidRDefault="005F3FCF"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5CA4E6B2" w14:textId="77777777" w:rsidR="005F3FCF" w:rsidRPr="006723EF" w:rsidRDefault="005F3FCF"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3D33292F" w14:textId="77777777" w:rsidR="005F3FCF" w:rsidRPr="006723EF" w:rsidRDefault="005F3FCF"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6EBFC6D7" w14:textId="77777777" w:rsidR="005F3FCF" w:rsidRPr="006723EF" w:rsidRDefault="005F3FCF"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4E3C0CFB" w14:textId="77777777" w:rsidR="005F3FCF" w:rsidRPr="006723EF" w:rsidRDefault="005F3FCF"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r>
    <w:tr w:rsidR="005F3FCF" w:rsidRPr="006723EF" w14:paraId="5009DE5C" w14:textId="77777777" w:rsidTr="005F3FCF">
      <w:trPr>
        <w:cantSplit/>
      </w:trPr>
      <w:tc>
        <w:tcPr>
          <w:tcW w:w="6608" w:type="dxa"/>
          <w:vAlign w:val="center"/>
          <w:hideMark/>
        </w:tcPr>
        <w:p w14:paraId="325304BB" w14:textId="77777777" w:rsidR="005F3FCF" w:rsidRPr="005F3FCF" w:rsidRDefault="005F3FCF" w:rsidP="005F3FCF">
          <w:pPr>
            <w:pStyle w:val="Title"/>
            <w:spacing w:after="120"/>
            <w:ind w:right="360"/>
            <w:jc w:val="left"/>
            <w:rPr>
              <w:rFonts w:ascii="Gotham Book" w:hAnsi="Gotham Book"/>
              <w:b/>
              <w:color w:val="404040"/>
              <w:sz w:val="22"/>
              <w:szCs w:val="22"/>
            </w:rPr>
          </w:pPr>
          <w:r w:rsidRPr="005F3FCF">
            <w:rPr>
              <w:rFonts w:ascii="Gotham Book" w:hAnsi="Gotham Book"/>
              <w:b/>
              <w:color w:val="404040"/>
              <w:sz w:val="22"/>
              <w:szCs w:val="22"/>
            </w:rPr>
            <w:t>Cost</w:t>
          </w:r>
        </w:p>
      </w:tc>
      <w:tc>
        <w:tcPr>
          <w:tcW w:w="3328" w:type="dxa"/>
          <w:vAlign w:val="center"/>
          <w:hideMark/>
        </w:tcPr>
        <w:p w14:paraId="35E93880"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0</w:t>
          </w:r>
        </w:p>
      </w:tc>
      <w:tc>
        <w:tcPr>
          <w:tcW w:w="1000" w:type="dxa"/>
          <w:tcBorders>
            <w:top w:val="nil"/>
            <w:left w:val="nil"/>
            <w:bottom w:val="single" w:sz="8" w:space="0" w:color="auto"/>
            <w:right w:val="single" w:sz="8" w:space="0" w:color="auto"/>
          </w:tcBorders>
          <w:shd w:val="clear" w:color="auto" w:fill="auto"/>
          <w:vAlign w:val="center"/>
          <w:hideMark/>
        </w:tcPr>
        <w:p w14:paraId="4F2953AD" w14:textId="77777777" w:rsidR="005F3FCF" w:rsidRPr="006723EF" w:rsidRDefault="005F3FCF"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7F7BF121" w14:textId="77777777" w:rsidR="005F3FCF" w:rsidRPr="006723EF" w:rsidRDefault="005F3FCF"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50DE84A9" w14:textId="77777777" w:rsidR="005F3FCF" w:rsidRPr="006723EF" w:rsidRDefault="005F3FCF"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03942309" w14:textId="77777777" w:rsidR="005F3FCF" w:rsidRPr="006723EF" w:rsidRDefault="005F3FCF"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6510C95D" w14:textId="77777777" w:rsidR="005F3FCF" w:rsidRPr="006723EF" w:rsidRDefault="005F3FCF" w:rsidP="00816745">
          <w:pPr>
            <w:jc w:val="center"/>
            <w:rPr>
              <w:rFonts w:ascii="Calibri" w:eastAsia="Times New Roman" w:hAnsi="Calibri"/>
              <w:color w:val="404040" w:themeColor="text1" w:themeTint="BF"/>
              <w:szCs w:val="20"/>
            </w:rPr>
          </w:pPr>
          <w:r w:rsidRPr="006723EF">
            <w:rPr>
              <w:rFonts w:ascii="Calibri" w:eastAsia="Times New Roman" w:hAnsi="Calibri"/>
              <w:color w:val="404040" w:themeColor="text1" w:themeTint="BF"/>
              <w:szCs w:val="20"/>
            </w:rPr>
            <w:t>0</w:t>
          </w:r>
        </w:p>
      </w:tc>
    </w:tr>
  </w:tbl>
  <w:p w14:paraId="25A446A4" w14:textId="77777777" w:rsidR="005F3FCF" w:rsidRPr="005F3FCF" w:rsidRDefault="005F3FCF" w:rsidP="005F3FCF">
    <w:pPr>
      <w:pStyle w:val="Title"/>
      <w:spacing w:after="120"/>
      <w:ind w:left="360"/>
      <w:rPr>
        <w:rFonts w:ascii="Gotham Book" w:hAnsi="Gotham Book"/>
        <w:color w:val="404040"/>
        <w:sz w:val="22"/>
        <w:szCs w:val="22"/>
      </w:rPr>
    </w:pPr>
  </w:p>
  <w:p w14:paraId="2A36C58A" w14:textId="77777777" w:rsidR="005F3FCF" w:rsidRPr="006723EF" w:rsidRDefault="005F3FCF" w:rsidP="005F3FCF">
    <w:pPr>
      <w:pStyle w:val="Title"/>
      <w:spacing w:after="120"/>
      <w:ind w:left="360"/>
      <w:rPr>
        <w:rFonts w:asciiTheme="minorHAnsi" w:hAnsiTheme="minorHAnsi" w:cstheme="minorHAnsi"/>
        <w:b/>
        <w:color w:val="FF0000"/>
        <w:szCs w:val="20"/>
      </w:rPr>
    </w:pPr>
    <w:r w:rsidRPr="005F3FCF">
      <w:rPr>
        <w:rFonts w:ascii="Gotham Book" w:hAnsi="Gotham Book"/>
        <w:color w:val="404040"/>
        <w:sz w:val="22"/>
        <w:szCs w:val="22"/>
      </w:rPr>
      <w:t>Salt</w:t>
    </w:r>
    <w:r w:rsidRPr="006723EF">
      <w:rPr>
        <w:rFonts w:asciiTheme="minorHAnsi" w:hAnsiTheme="minorHAnsi" w:cstheme="minorHAnsi"/>
        <w:color w:val="404040" w:themeColor="text1" w:themeTint="BF"/>
        <w:szCs w:val="20"/>
      </w:rPr>
      <w:t xml:space="preserve"> Lake City did not use HOME funds to acquire parcels, and none of the funded activities triggered relocation requirements.</w:t>
    </w:r>
  </w:p>
  <w:p w14:paraId="12450F4F" w14:textId="77777777" w:rsidR="005F3FCF" w:rsidRPr="005F3FCF" w:rsidRDefault="005F3FCF" w:rsidP="005F3FCF">
    <w:pPr>
      <w:pStyle w:val="Title"/>
      <w:spacing w:after="120"/>
      <w:rPr>
        <w:rFonts w:ascii="Gotham Book" w:hAnsi="Gotham Book"/>
        <w:b/>
        <w:color w:val="323E4F"/>
        <w:sz w:val="24"/>
      </w:rPr>
    </w:pPr>
  </w:p>
  <w:p w14:paraId="7E690ACF" w14:textId="77777777" w:rsidR="005F3FCF" w:rsidRPr="005F3FCF" w:rsidRDefault="005F3FCF" w:rsidP="005F3FCF">
    <w:pPr>
      <w:pStyle w:val="Title"/>
      <w:spacing w:after="120"/>
      <w:ind w:left="360"/>
      <w:rPr>
        <w:rFonts w:ascii="Gotham Book" w:hAnsi="Gotham Book"/>
        <w:b/>
        <w:color w:val="323E4F"/>
        <w:sz w:val="24"/>
      </w:rPr>
    </w:pPr>
  </w:p>
  <w:p w14:paraId="1ED0A17C" w14:textId="77777777" w:rsidR="005F3FCF" w:rsidRPr="005F3FCF" w:rsidRDefault="005F3FCF" w:rsidP="005F3FCF">
    <w:pPr>
      <w:pStyle w:val="Title"/>
      <w:spacing w:after="120"/>
      <w:ind w:left="360"/>
      <w:rPr>
        <w:rFonts w:ascii="Calibri" w:hAnsi="Calibri" w:cs="Calibri"/>
        <w:b/>
        <w:color w:val="44546A"/>
        <w:sz w:val="24"/>
      </w:rPr>
    </w:pPr>
    <w:r w:rsidRPr="005F3FCF">
      <w:rPr>
        <w:rFonts w:ascii="Calibri" w:hAnsi="Calibri" w:cs="Calibri"/>
        <w:b/>
        <w:color w:val="44546A"/>
        <w:sz w:val="24"/>
      </w:rPr>
      <w:t>CR-20 AFFORDABLE HOUSING– 91.520(b)</w:t>
    </w:r>
  </w:p>
  <w:p w14:paraId="44CFD64E" w14:textId="77777777" w:rsidR="005F3FCF" w:rsidRPr="005F3FCF" w:rsidRDefault="005F3FCF" w:rsidP="005F3FCF">
    <w:pPr>
      <w:pStyle w:val="Title"/>
      <w:spacing w:after="120"/>
      <w:ind w:left="360"/>
      <w:rPr>
        <w:rFonts w:ascii="Calibri" w:hAnsi="Calibri" w:cs="Calibri"/>
        <w:i/>
        <w:color w:val="44546A"/>
        <w:sz w:val="18"/>
        <w:szCs w:val="18"/>
      </w:rPr>
    </w:pPr>
  </w:p>
  <w:p w14:paraId="745D5A61" w14:textId="77777777" w:rsidR="005F3FCF" w:rsidRPr="00BF2DE4" w:rsidRDefault="005F3FCF" w:rsidP="005F3FCF">
    <w:pPr>
      <w:pStyle w:val="Title"/>
      <w:spacing w:after="120"/>
      <w:ind w:left="360"/>
      <w:rPr>
        <w:rFonts w:ascii="Calibri" w:hAnsi="Calibri" w:cs="Calibri"/>
        <w:b/>
        <w:color w:val="404040"/>
        <w:szCs w:val="20"/>
      </w:rPr>
    </w:pPr>
    <w:r w:rsidRPr="005F3FCF">
      <w:rPr>
        <w:rFonts w:ascii="Calibri" w:hAnsi="Calibri" w:cs="Calibri"/>
        <w:i/>
        <w:color w:val="44546A"/>
        <w:sz w:val="18"/>
        <w:szCs w:val="18"/>
      </w:rPr>
      <w:t>Evaluation of Salt Lake City’s progress</w:t>
    </w:r>
    <w:r w:rsidRPr="005F3FCF">
      <w:rPr>
        <w:rFonts w:ascii="Calibri" w:hAnsi="Calibri" w:cs="Calibri"/>
        <w:i/>
        <w:color w:val="FF0000"/>
        <w:sz w:val="18"/>
        <w:szCs w:val="18"/>
      </w:rPr>
      <w:t xml:space="preserve"> </w:t>
    </w:r>
    <w:r w:rsidRPr="00BF2DE4">
      <w:rPr>
        <w:rFonts w:ascii="Calibri" w:hAnsi="Calibri" w:cs="Calibri"/>
        <w:b/>
        <w:color w:val="404040"/>
        <w:szCs w:val="20"/>
      </w:rPr>
      <w:t xml:space="preserve">in providing affordable housing, including the number and types of families served, the number of extremely low-income, low-income, moderate income and middle income persons served. </w:t>
    </w:r>
  </w:p>
  <w:p w14:paraId="3C613898" w14:textId="77777777" w:rsidR="005F3FCF" w:rsidRPr="005F3FCF" w:rsidRDefault="005F3FCF" w:rsidP="005F3FCF">
    <w:pPr>
      <w:pStyle w:val="Title"/>
      <w:spacing w:after="120"/>
      <w:ind w:left="360"/>
      <w:rPr>
        <w:rFonts w:ascii="Gotham Book" w:hAnsi="Gotham Book"/>
        <w:b/>
        <w:color w:val="323E4F"/>
        <w:sz w:val="24"/>
      </w:rPr>
    </w:pPr>
  </w:p>
  <w:p w14:paraId="78C4F4B5" w14:textId="77777777" w:rsidR="005F3FCF" w:rsidRPr="005F3FCF" w:rsidRDefault="005F3FCF" w:rsidP="005F3FCF">
    <w:pPr>
      <w:pStyle w:val="Title"/>
      <w:spacing w:after="120"/>
      <w:ind w:left="360"/>
      <w:rPr>
        <w:rFonts w:ascii="Calibri" w:hAnsi="Calibri" w:cs="Calibri"/>
        <w:b/>
        <w:color w:val="FF0000"/>
        <w:szCs w:val="20"/>
      </w:rPr>
    </w:pPr>
    <w:r w:rsidRPr="005F3FCF">
      <w:rPr>
        <w:rFonts w:ascii="Gotham Book" w:hAnsi="Gotham Book"/>
        <w:b/>
        <w:color w:val="323E4F"/>
        <w:sz w:val="24"/>
      </w:rPr>
      <w:t>Table</w:t>
    </w:r>
    <w:r w:rsidRPr="005F3FCF">
      <w:rPr>
        <w:rFonts w:ascii="Calibri" w:hAnsi="Calibri" w:cs="Calibri"/>
        <w:b/>
        <w:color w:val="FF0000"/>
        <w:szCs w:val="20"/>
      </w:rPr>
      <w:t xml:space="preserve"> 11 – Number of Households </w:t>
    </w:r>
  </w:p>
  <w:tbl>
    <w:tblPr>
      <w:tblW w:w="0" w:type="auto"/>
      <w:tblInd w:w="360" w:type="dxa"/>
      <w:tblLook w:val="04A0" w:firstRow="1" w:lastRow="0" w:firstColumn="1" w:lastColumn="0" w:noHBand="0" w:noVBand="1"/>
    </w:tblPr>
    <w:tblGrid>
      <w:gridCol w:w="6608"/>
      <w:gridCol w:w="3328"/>
      <w:gridCol w:w="1000"/>
    </w:tblGrid>
    <w:tr w:rsidR="005F3FCF" w:rsidRPr="00BF2DE4" w14:paraId="0A47E18C" w14:textId="77777777" w:rsidTr="005F3FCF">
      <w:tc>
        <w:tcPr>
          <w:tcW w:w="6608" w:type="dxa"/>
          <w:vAlign w:val="center"/>
          <w:hideMark/>
        </w:tcPr>
        <w:p w14:paraId="36ECCD9F" w14:textId="77777777" w:rsidR="005F3FCF" w:rsidRPr="005F3FCF" w:rsidRDefault="005F3FCF" w:rsidP="005F3FCF">
          <w:pPr>
            <w:pStyle w:val="Title"/>
            <w:spacing w:after="120"/>
            <w:ind w:right="360"/>
            <w:jc w:val="left"/>
            <w:rPr>
              <w:rFonts w:ascii="Gotham Book" w:hAnsi="Gotham Book"/>
              <w:b/>
              <w:color w:val="404040"/>
              <w:sz w:val="22"/>
              <w:szCs w:val="22"/>
            </w:rPr>
          </w:pPr>
          <w:r w:rsidRPr="005F3FCF">
            <w:rPr>
              <w:rFonts w:ascii="Gotham Book" w:hAnsi="Gotham Book"/>
              <w:b/>
              <w:color w:val="404040"/>
              <w:sz w:val="22"/>
              <w:szCs w:val="22"/>
            </w:rPr>
            <w:t> </w:t>
          </w:r>
        </w:p>
      </w:tc>
      <w:tc>
        <w:tcPr>
          <w:tcW w:w="3328" w:type="dxa"/>
          <w:vAlign w:val="center"/>
          <w:hideMark/>
        </w:tcPr>
        <w:p w14:paraId="35992EFE" w14:textId="77777777" w:rsidR="005F3FCF" w:rsidRPr="00BF2DE4" w:rsidRDefault="005F3FCF" w:rsidP="005F3FCF">
          <w:pPr>
            <w:pStyle w:val="Title"/>
            <w:spacing w:after="120"/>
            <w:ind w:right="360"/>
            <w:rPr>
              <w:rFonts w:ascii="Calibri" w:eastAsia="Times New Roman" w:hAnsi="Calibri"/>
              <w:b/>
              <w:bCs/>
              <w:color w:val="404040"/>
              <w:szCs w:val="20"/>
            </w:rPr>
          </w:pPr>
          <w:r w:rsidRPr="005F3FCF">
            <w:rPr>
              <w:rFonts w:ascii="Gotham Book" w:hAnsi="Gotham Book"/>
              <w:b/>
              <w:color w:val="404040"/>
              <w:sz w:val="22"/>
              <w:szCs w:val="22"/>
            </w:rPr>
            <w:t>One-Year Goal</w:t>
          </w:r>
        </w:p>
      </w:tc>
      <w:tc>
        <w:tcPr>
          <w:tcW w:w="1000" w:type="dxa"/>
          <w:tcBorders>
            <w:top w:val="single" w:sz="8" w:space="0" w:color="auto"/>
            <w:left w:val="nil"/>
            <w:bottom w:val="single" w:sz="8" w:space="0" w:color="auto"/>
            <w:right w:val="single" w:sz="8" w:space="0" w:color="auto"/>
          </w:tcBorders>
          <w:shd w:val="clear" w:color="000000" w:fill="BDD7EE"/>
          <w:vAlign w:val="center"/>
          <w:hideMark/>
        </w:tcPr>
        <w:p w14:paraId="50ACA522" w14:textId="77777777" w:rsidR="005F3FCF" w:rsidRPr="00BF2DE4" w:rsidRDefault="005F3FCF" w:rsidP="00816745">
          <w:pPr>
            <w:jc w:val="center"/>
            <w:rPr>
              <w:rFonts w:ascii="Calibri" w:eastAsia="Times New Roman" w:hAnsi="Calibri"/>
              <w:b/>
              <w:bCs/>
              <w:color w:val="404040"/>
              <w:szCs w:val="20"/>
            </w:rPr>
          </w:pPr>
          <w:r w:rsidRPr="00BF2DE4">
            <w:rPr>
              <w:rFonts w:ascii="Calibri" w:eastAsia="Times New Roman" w:hAnsi="Calibri"/>
              <w:b/>
              <w:bCs/>
              <w:color w:val="404040"/>
              <w:szCs w:val="20"/>
            </w:rPr>
            <w:t>Actual</w:t>
          </w:r>
        </w:p>
      </w:tc>
    </w:tr>
    <w:tr w:rsidR="005F3FCF" w:rsidRPr="00BF2DE4" w14:paraId="763B15A9" w14:textId="77777777" w:rsidTr="005F3FCF">
      <w:tc>
        <w:tcPr>
          <w:tcW w:w="6608" w:type="dxa"/>
          <w:vAlign w:val="center"/>
          <w:hideMark/>
        </w:tcPr>
        <w:p w14:paraId="02A46352" w14:textId="77777777" w:rsidR="005F3FCF" w:rsidRPr="00BF2DE4" w:rsidRDefault="005F3FCF" w:rsidP="005F3FCF">
          <w:pPr>
            <w:pStyle w:val="Title"/>
            <w:spacing w:after="120"/>
            <w:ind w:right="360"/>
            <w:jc w:val="left"/>
            <w:rPr>
              <w:rFonts w:ascii="Calibri" w:eastAsia="Times New Roman" w:hAnsi="Calibri"/>
              <w:color w:val="404040"/>
              <w:szCs w:val="20"/>
            </w:rPr>
          </w:pPr>
          <w:r w:rsidRPr="005F3FCF">
            <w:rPr>
              <w:rFonts w:ascii="Gotham Book" w:hAnsi="Gotham Book"/>
              <w:b/>
              <w:color w:val="404040"/>
              <w:sz w:val="22"/>
              <w:szCs w:val="22"/>
            </w:rPr>
            <w:t xml:space="preserve">Number </w:t>
          </w:r>
          <w:r w:rsidRPr="00BF2DE4">
            <w:rPr>
              <w:rFonts w:ascii="Calibri" w:eastAsia="Times New Roman" w:hAnsi="Calibri"/>
              <w:color w:val="404040"/>
              <w:szCs w:val="20"/>
            </w:rPr>
            <w:t>of homeless households to be provided affordable housing units</w:t>
          </w:r>
        </w:p>
      </w:tc>
      <w:tc>
        <w:tcPr>
          <w:tcW w:w="3328" w:type="dxa"/>
          <w:vAlign w:val="center"/>
          <w:hideMark/>
        </w:tcPr>
        <w:p w14:paraId="778301C0"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146</w:t>
          </w:r>
        </w:p>
      </w:tc>
      <w:tc>
        <w:tcPr>
          <w:tcW w:w="1000" w:type="dxa"/>
          <w:tcBorders>
            <w:top w:val="nil"/>
            <w:left w:val="nil"/>
            <w:bottom w:val="single" w:sz="8" w:space="0" w:color="auto"/>
            <w:right w:val="single" w:sz="8" w:space="0" w:color="auto"/>
          </w:tcBorders>
          <w:shd w:val="clear" w:color="auto" w:fill="auto"/>
          <w:vAlign w:val="center"/>
          <w:hideMark/>
        </w:tcPr>
        <w:p w14:paraId="77E70F18" w14:textId="77777777" w:rsidR="005F3FCF" w:rsidRPr="00BF2DE4" w:rsidRDefault="005F3FCF" w:rsidP="00816745">
          <w:pPr>
            <w:jc w:val="center"/>
            <w:rPr>
              <w:rFonts w:ascii="Calibri" w:eastAsia="Times New Roman" w:hAnsi="Calibri"/>
              <w:color w:val="404040"/>
              <w:szCs w:val="20"/>
            </w:rPr>
          </w:pPr>
          <w:r>
            <w:rPr>
              <w:rFonts w:ascii="Calibri" w:eastAsia="Times New Roman" w:hAnsi="Calibri"/>
              <w:color w:val="404040"/>
              <w:szCs w:val="20"/>
            </w:rPr>
            <w:t>173</w:t>
          </w:r>
        </w:p>
      </w:tc>
    </w:tr>
    <w:tr w:rsidR="005F3FCF" w:rsidRPr="00BF2DE4" w14:paraId="4B15166F" w14:textId="77777777" w:rsidTr="005F3FCF">
      <w:tc>
        <w:tcPr>
          <w:tcW w:w="6608" w:type="dxa"/>
          <w:vAlign w:val="center"/>
          <w:hideMark/>
        </w:tcPr>
        <w:p w14:paraId="53BADDAB" w14:textId="77777777" w:rsidR="005F3FCF" w:rsidRPr="00BF2DE4" w:rsidRDefault="005F3FCF" w:rsidP="005F3FCF">
          <w:pPr>
            <w:pStyle w:val="Title"/>
            <w:spacing w:after="120"/>
            <w:ind w:right="360"/>
            <w:jc w:val="left"/>
            <w:rPr>
              <w:rFonts w:ascii="Calibri" w:eastAsia="Times New Roman" w:hAnsi="Calibri"/>
              <w:color w:val="404040"/>
              <w:szCs w:val="20"/>
            </w:rPr>
          </w:pPr>
          <w:r w:rsidRPr="005F3FCF">
            <w:rPr>
              <w:rFonts w:ascii="Gotham Book" w:hAnsi="Gotham Book"/>
              <w:b/>
              <w:color w:val="404040"/>
              <w:sz w:val="22"/>
              <w:szCs w:val="22"/>
            </w:rPr>
            <w:t xml:space="preserve">Number </w:t>
          </w:r>
          <w:r w:rsidRPr="00BF2DE4">
            <w:rPr>
              <w:rFonts w:ascii="Calibri" w:eastAsia="Times New Roman" w:hAnsi="Calibri"/>
              <w:color w:val="404040"/>
              <w:szCs w:val="20"/>
            </w:rPr>
            <w:t>of non-homeless households to be provided affordable housing units</w:t>
          </w:r>
        </w:p>
      </w:tc>
      <w:tc>
        <w:tcPr>
          <w:tcW w:w="3328" w:type="dxa"/>
          <w:vAlign w:val="center"/>
          <w:hideMark/>
        </w:tcPr>
        <w:p w14:paraId="42D6CAE7"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656</w:t>
          </w:r>
        </w:p>
      </w:tc>
      <w:tc>
        <w:tcPr>
          <w:tcW w:w="1000" w:type="dxa"/>
          <w:tcBorders>
            <w:top w:val="nil"/>
            <w:left w:val="nil"/>
            <w:bottom w:val="single" w:sz="8" w:space="0" w:color="auto"/>
            <w:right w:val="single" w:sz="8" w:space="0" w:color="auto"/>
          </w:tcBorders>
          <w:shd w:val="clear" w:color="auto" w:fill="auto"/>
          <w:vAlign w:val="center"/>
          <w:hideMark/>
        </w:tcPr>
        <w:p w14:paraId="4532DB55" w14:textId="77777777" w:rsidR="005F3FCF" w:rsidRPr="00BF2DE4" w:rsidRDefault="005F3FCF" w:rsidP="00816745">
          <w:pPr>
            <w:jc w:val="center"/>
            <w:rPr>
              <w:rFonts w:ascii="Calibri" w:eastAsia="Times New Roman" w:hAnsi="Calibri"/>
              <w:color w:val="404040"/>
              <w:szCs w:val="20"/>
            </w:rPr>
          </w:pPr>
          <w:r>
            <w:rPr>
              <w:rFonts w:ascii="Calibri" w:eastAsia="Times New Roman" w:hAnsi="Calibri"/>
              <w:color w:val="404040"/>
              <w:szCs w:val="20"/>
            </w:rPr>
            <w:t>357</w:t>
          </w:r>
        </w:p>
      </w:tc>
    </w:tr>
    <w:tr w:rsidR="005F3FCF" w:rsidRPr="006B4D90" w14:paraId="799999A4" w14:textId="77777777" w:rsidTr="005F3FCF">
      <w:tc>
        <w:tcPr>
          <w:tcW w:w="6608" w:type="dxa"/>
          <w:vAlign w:val="center"/>
          <w:hideMark/>
        </w:tcPr>
        <w:p w14:paraId="030A6FE7" w14:textId="77777777" w:rsidR="005F3FCF" w:rsidRPr="006B4D90" w:rsidRDefault="005F3FCF" w:rsidP="005F3FCF">
          <w:pPr>
            <w:pStyle w:val="Title"/>
            <w:spacing w:after="120"/>
            <w:ind w:right="360"/>
            <w:jc w:val="left"/>
            <w:rPr>
              <w:rFonts w:ascii="Calibri" w:eastAsia="Times New Roman" w:hAnsi="Calibri"/>
              <w:color w:val="404040"/>
              <w:szCs w:val="20"/>
            </w:rPr>
          </w:pPr>
          <w:r w:rsidRPr="005F3FCF">
            <w:rPr>
              <w:rFonts w:ascii="Gotham Book" w:hAnsi="Gotham Book"/>
              <w:b/>
              <w:color w:val="404040"/>
              <w:sz w:val="22"/>
              <w:szCs w:val="22"/>
            </w:rPr>
            <w:t xml:space="preserve">Number </w:t>
          </w:r>
          <w:r w:rsidRPr="006B4D90">
            <w:rPr>
              <w:rFonts w:ascii="Calibri" w:eastAsia="Times New Roman" w:hAnsi="Calibri"/>
              <w:color w:val="404040"/>
              <w:szCs w:val="20"/>
            </w:rPr>
            <w:t>of special-needs households to be provided affordable housing units</w:t>
          </w:r>
        </w:p>
      </w:tc>
      <w:tc>
        <w:tcPr>
          <w:tcW w:w="3328" w:type="dxa"/>
          <w:vAlign w:val="center"/>
          <w:hideMark/>
        </w:tcPr>
        <w:p w14:paraId="4273A0A6" w14:textId="77777777" w:rsidR="005F3FCF" w:rsidRPr="006B4D90" w:rsidRDefault="005F3FCF" w:rsidP="005F3FCF">
          <w:pPr>
            <w:pStyle w:val="Title"/>
            <w:spacing w:after="120"/>
            <w:ind w:right="360"/>
            <w:rPr>
              <w:rFonts w:ascii="Calibri" w:eastAsia="Times New Roman" w:hAnsi="Calibri"/>
              <w:color w:val="404040"/>
              <w:szCs w:val="20"/>
            </w:rPr>
          </w:pPr>
          <w:r w:rsidRPr="005F3FCF">
            <w:rPr>
              <w:rFonts w:ascii="Gotham Book" w:hAnsi="Gotham Book"/>
              <w:b/>
              <w:color w:val="404040"/>
              <w:sz w:val="22"/>
              <w:szCs w:val="22"/>
            </w:rPr>
            <w:t>N/A</w:t>
          </w:r>
        </w:p>
      </w:tc>
      <w:tc>
        <w:tcPr>
          <w:tcW w:w="1000" w:type="dxa"/>
          <w:tcBorders>
            <w:top w:val="nil"/>
            <w:left w:val="nil"/>
            <w:bottom w:val="single" w:sz="8" w:space="0" w:color="auto"/>
            <w:right w:val="single" w:sz="8" w:space="0" w:color="auto"/>
          </w:tcBorders>
          <w:shd w:val="clear" w:color="auto" w:fill="auto"/>
          <w:vAlign w:val="center"/>
          <w:hideMark/>
        </w:tcPr>
        <w:p w14:paraId="68E6CED4" w14:textId="77777777" w:rsidR="005F3FCF" w:rsidRPr="006B4D90" w:rsidRDefault="005F3FCF" w:rsidP="00816745">
          <w:pPr>
            <w:jc w:val="center"/>
            <w:rPr>
              <w:rFonts w:ascii="Calibri" w:eastAsia="Times New Roman" w:hAnsi="Calibri"/>
              <w:color w:val="404040"/>
              <w:szCs w:val="20"/>
            </w:rPr>
          </w:pPr>
          <w:r w:rsidRPr="006B4D90">
            <w:rPr>
              <w:rFonts w:ascii="Calibri" w:eastAsia="Times New Roman" w:hAnsi="Calibri"/>
              <w:color w:val="404040"/>
              <w:szCs w:val="20"/>
            </w:rPr>
            <w:t>N/A</w:t>
          </w:r>
        </w:p>
      </w:tc>
    </w:tr>
    <w:tr w:rsidR="005F3FCF" w:rsidRPr="006B4D90" w14:paraId="5A444E8F" w14:textId="77777777" w:rsidTr="005F3FCF">
      <w:tc>
        <w:tcPr>
          <w:tcW w:w="6608" w:type="dxa"/>
          <w:vAlign w:val="center"/>
          <w:hideMark/>
        </w:tcPr>
        <w:p w14:paraId="14A827BC" w14:textId="77777777" w:rsidR="005F3FCF" w:rsidRPr="005F3FCF" w:rsidRDefault="005F3FCF" w:rsidP="005F3FCF">
          <w:pPr>
            <w:pStyle w:val="Title"/>
            <w:spacing w:after="120"/>
            <w:ind w:right="360"/>
            <w:jc w:val="left"/>
            <w:rPr>
              <w:rFonts w:ascii="Gotham Book" w:hAnsi="Gotham Book"/>
              <w:b/>
              <w:color w:val="404040"/>
              <w:sz w:val="22"/>
              <w:szCs w:val="22"/>
            </w:rPr>
          </w:pPr>
          <w:r w:rsidRPr="005F3FCF">
            <w:rPr>
              <w:rFonts w:ascii="Gotham Book" w:hAnsi="Gotham Book"/>
              <w:b/>
              <w:color w:val="404040"/>
              <w:sz w:val="22"/>
              <w:szCs w:val="22"/>
            </w:rPr>
            <w:t>Total</w:t>
          </w:r>
        </w:p>
      </w:tc>
      <w:tc>
        <w:tcPr>
          <w:tcW w:w="3328" w:type="dxa"/>
          <w:vAlign w:val="center"/>
          <w:hideMark/>
        </w:tcPr>
        <w:p w14:paraId="12091437"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802</w:t>
          </w:r>
        </w:p>
      </w:tc>
      <w:tc>
        <w:tcPr>
          <w:tcW w:w="1000" w:type="dxa"/>
          <w:tcBorders>
            <w:top w:val="nil"/>
            <w:left w:val="nil"/>
            <w:bottom w:val="single" w:sz="8" w:space="0" w:color="auto"/>
            <w:right w:val="single" w:sz="8" w:space="0" w:color="auto"/>
          </w:tcBorders>
          <w:shd w:val="clear" w:color="auto" w:fill="auto"/>
          <w:vAlign w:val="center"/>
          <w:hideMark/>
        </w:tcPr>
        <w:p w14:paraId="01594F50" w14:textId="77777777" w:rsidR="005F3FCF" w:rsidRPr="006B4D90" w:rsidRDefault="005F3FCF" w:rsidP="00816745">
          <w:pPr>
            <w:jc w:val="center"/>
            <w:rPr>
              <w:rFonts w:ascii="Calibri" w:eastAsia="Times New Roman" w:hAnsi="Calibri"/>
              <w:b/>
              <w:bCs/>
              <w:color w:val="404040"/>
              <w:szCs w:val="20"/>
            </w:rPr>
          </w:pPr>
          <w:r w:rsidRPr="006B4D90">
            <w:rPr>
              <w:rFonts w:ascii="Calibri" w:eastAsia="Times New Roman" w:hAnsi="Calibri"/>
              <w:b/>
              <w:bCs/>
              <w:color w:val="404040"/>
              <w:szCs w:val="20"/>
            </w:rPr>
            <w:t>530</w:t>
          </w:r>
        </w:p>
      </w:tc>
    </w:tr>
  </w:tbl>
  <w:p w14:paraId="09869B05" w14:textId="77777777" w:rsidR="005F3FCF" w:rsidRPr="005F3FCF" w:rsidRDefault="005F3FCF" w:rsidP="005F3FCF">
    <w:pPr>
      <w:pStyle w:val="Title"/>
      <w:spacing w:after="120"/>
      <w:ind w:left="360"/>
      <w:rPr>
        <w:rFonts w:ascii="Gotham Book" w:hAnsi="Gotham Book"/>
        <w:color w:val="404040"/>
        <w:sz w:val="22"/>
        <w:szCs w:val="22"/>
      </w:rPr>
    </w:pPr>
  </w:p>
  <w:p w14:paraId="0BF5D04F" w14:textId="77777777" w:rsidR="005F3FCF" w:rsidRPr="00BF2DE4" w:rsidRDefault="005F3FCF" w:rsidP="005F3FCF">
    <w:pPr>
      <w:pStyle w:val="Title"/>
      <w:spacing w:after="120"/>
      <w:ind w:left="360"/>
      <w:rPr>
        <w:rFonts w:ascii="Calibri" w:hAnsi="Calibri" w:cs="Calibri"/>
        <w:b/>
        <w:color w:val="404040"/>
        <w:szCs w:val="20"/>
      </w:rPr>
    </w:pPr>
    <w:r w:rsidRPr="005F3FCF">
      <w:rPr>
        <w:rFonts w:ascii="Gotham Book" w:hAnsi="Gotham Book"/>
        <w:color w:val="404040"/>
        <w:sz w:val="22"/>
        <w:szCs w:val="22"/>
      </w:rPr>
      <w:t>Discuss</w:t>
    </w:r>
    <w:r w:rsidRPr="00BF2DE4">
      <w:rPr>
        <w:rFonts w:ascii="Calibri" w:hAnsi="Calibri" w:cs="Calibri"/>
        <w:b/>
        <w:color w:val="404040"/>
        <w:szCs w:val="20"/>
      </w:rPr>
      <w:t xml:space="preserve"> the difference between goals and outcomes and problems encountered in meeting these goals. </w:t>
    </w:r>
  </w:p>
  <w:p w14:paraId="704510BB" w14:textId="77777777" w:rsidR="005F3FCF" w:rsidRPr="006B4D90" w:rsidRDefault="005F3FCF" w:rsidP="005F3FCF">
    <w:pPr>
      <w:pStyle w:val="Title"/>
      <w:spacing w:after="120"/>
      <w:rPr>
        <w:rFonts w:asciiTheme="minorHAnsi" w:hAnsiTheme="minorHAnsi" w:cstheme="minorHAnsi"/>
        <w:color w:val="404040" w:themeColor="text1" w:themeTint="BF"/>
        <w:szCs w:val="20"/>
      </w:rPr>
    </w:pPr>
    <w:r w:rsidRPr="005F3FCF">
      <w:rPr>
        <w:rFonts w:ascii="Gotham Book" w:hAnsi="Gotham Book"/>
        <w:b/>
        <w:color w:val="323E4F"/>
        <w:sz w:val="24"/>
      </w:rPr>
      <w:t>During</w:t>
    </w:r>
    <w:r w:rsidRPr="006B4D90">
      <w:rPr>
        <w:rFonts w:asciiTheme="minorHAnsi" w:hAnsiTheme="minorHAnsi" w:cstheme="minorHAnsi"/>
        <w:color w:val="404040" w:themeColor="text1" w:themeTint="BF"/>
        <w:szCs w:val="20"/>
      </w:rPr>
      <w:t xml:space="preserve"> the 17-18 year, Salt Lake City supported housing activities through all four of its federal grant programs: CDBG, ESG, HOME, and HOPWA. Households with incomes ranging from 0-80% AMI were assisted with subsidies. The activities that occurred included rapid-rehousing, homeowner housing and rehabilitation, tenant-based rental assistance, short term rental/utility assistance, and direct financial assistance. </w:t>
    </w:r>
    <w:r>
      <w:rPr>
        <w:rFonts w:asciiTheme="minorHAnsi" w:hAnsiTheme="minorHAnsi" w:cstheme="minorHAnsi"/>
        <w:color w:val="404040" w:themeColor="text1" w:themeTint="BF"/>
        <w:szCs w:val="20"/>
      </w:rPr>
      <w:t xml:space="preserve">Tight rental markets and an increase in rental costs have made it more difficult to place clients in housing, which is largely responsible for the gap between the one-year goal and the actual number served during the 17-18 year. </w:t>
    </w:r>
  </w:p>
  <w:p w14:paraId="249FD251" w14:textId="77777777" w:rsidR="005F3FCF" w:rsidRPr="005F3FCF" w:rsidRDefault="005F3FCF" w:rsidP="005F3FCF">
    <w:pPr>
      <w:pStyle w:val="Title"/>
      <w:spacing w:after="120"/>
      <w:ind w:left="360"/>
      <w:rPr>
        <w:rFonts w:ascii="Gotham Book" w:hAnsi="Gotham Book"/>
        <w:b/>
        <w:color w:val="323E4F"/>
        <w:sz w:val="24"/>
      </w:rPr>
    </w:pPr>
  </w:p>
  <w:p w14:paraId="225434FC" w14:textId="77777777" w:rsidR="005F3FCF" w:rsidRPr="006B4D90" w:rsidRDefault="005F3FCF" w:rsidP="005F3FCF">
    <w:pPr>
      <w:pStyle w:val="Title"/>
      <w:spacing w:after="120"/>
      <w:ind w:left="360"/>
      <w:rPr>
        <w:rFonts w:asciiTheme="minorHAnsi" w:hAnsiTheme="minorHAnsi" w:cstheme="minorHAnsi"/>
        <w:color w:val="404040" w:themeColor="text1" w:themeTint="BF"/>
        <w:szCs w:val="20"/>
      </w:rPr>
    </w:pPr>
    <w:r w:rsidRPr="005F3FCF">
      <w:rPr>
        <w:rFonts w:ascii="Calibri" w:hAnsi="Calibri" w:cs="Calibri"/>
        <w:b/>
        <w:color w:val="44546A"/>
        <w:sz w:val="24"/>
      </w:rPr>
      <w:t xml:space="preserve">All rapid re-housing and tenant based </w:t>
    </w:r>
    <w:r w:rsidRPr="005F3FCF">
      <w:rPr>
        <w:rFonts w:ascii="Calibri" w:hAnsi="Calibri" w:cs="Calibri"/>
        <w:i/>
        <w:color w:val="44546A"/>
        <w:sz w:val="18"/>
        <w:szCs w:val="18"/>
      </w:rPr>
      <w:t xml:space="preserve">rental assistance programs funded followed a </w:t>
    </w:r>
    <w:r w:rsidRPr="005F3FCF">
      <w:rPr>
        <w:rFonts w:ascii="Calibri" w:hAnsi="Calibri" w:cs="Calibri"/>
        <w:i/>
        <w:color w:val="FF0000"/>
        <w:sz w:val="18"/>
        <w:szCs w:val="18"/>
      </w:rPr>
      <w:t>Housing</w:t>
    </w:r>
    <w:r w:rsidRPr="006B4D90">
      <w:rPr>
        <w:rFonts w:asciiTheme="minorHAnsi" w:hAnsiTheme="minorHAnsi" w:cstheme="minorHAnsi"/>
        <w:color w:val="404040" w:themeColor="text1" w:themeTint="BF"/>
        <w:szCs w:val="20"/>
      </w:rPr>
      <w:t xml:space="preserve"> First model. This model strategically targeted households at risk for returning to homelessness and supported them with intensive case management, with a goal of achieving housing stability. By utilizing this approach, Salt Lake City supported a larger number of homeless households with accessing affordable units.</w:t>
    </w:r>
  </w:p>
  <w:p w14:paraId="13816CEF" w14:textId="77777777" w:rsidR="005F3FCF" w:rsidRPr="005F3FCF" w:rsidRDefault="005F3FCF" w:rsidP="005F3FCF">
    <w:pPr>
      <w:pStyle w:val="Title"/>
      <w:spacing w:after="120"/>
      <w:ind w:left="360"/>
      <w:rPr>
        <w:rFonts w:ascii="Gotham Book" w:hAnsi="Gotham Book"/>
        <w:b/>
        <w:color w:val="323E4F"/>
        <w:sz w:val="24"/>
      </w:rPr>
    </w:pPr>
  </w:p>
  <w:p w14:paraId="673CC7F1" w14:textId="77777777" w:rsidR="005F3FCF" w:rsidRPr="005F3FCF" w:rsidRDefault="005F3FCF" w:rsidP="005F3FCF">
    <w:pPr>
      <w:pStyle w:val="Title"/>
      <w:spacing w:after="120"/>
      <w:ind w:left="360"/>
      <w:rPr>
        <w:rFonts w:ascii="Gotham Book" w:hAnsi="Gotham Book"/>
        <w:b/>
        <w:color w:val="323E4F"/>
        <w:sz w:val="24"/>
      </w:rPr>
    </w:pPr>
  </w:p>
  <w:p w14:paraId="21CF4E75" w14:textId="77777777" w:rsidR="005F3FCF" w:rsidRPr="005F3FCF" w:rsidRDefault="005F3FCF" w:rsidP="005F3FCF">
    <w:pPr>
      <w:pStyle w:val="Title"/>
      <w:spacing w:after="120"/>
      <w:ind w:left="360"/>
      <w:rPr>
        <w:rFonts w:ascii="Calibri" w:hAnsi="Calibri" w:cs="Calibri"/>
        <w:b/>
        <w:color w:val="FF0000"/>
        <w:szCs w:val="20"/>
      </w:rPr>
    </w:pPr>
  </w:p>
  <w:p w14:paraId="2901932E" w14:textId="77777777" w:rsidR="005F3FCF" w:rsidRPr="005F3FCF" w:rsidRDefault="005F3FCF" w:rsidP="005F3FCF">
    <w:pPr>
      <w:pStyle w:val="Title"/>
      <w:spacing w:after="120"/>
      <w:ind w:left="360"/>
      <w:rPr>
        <w:rFonts w:ascii="Calibri" w:hAnsi="Calibri" w:cs="Calibri"/>
        <w:b/>
        <w:color w:val="FF0000"/>
        <w:szCs w:val="20"/>
      </w:rPr>
    </w:pPr>
    <w:r w:rsidRPr="005F3FCF">
      <w:rPr>
        <w:rFonts w:ascii="Calibri" w:hAnsi="Calibri" w:cs="Calibri"/>
        <w:b/>
        <w:color w:val="FF0000"/>
        <w:szCs w:val="20"/>
      </w:rPr>
      <w:t xml:space="preserve">Table 12 – Number of Households Supported </w:t>
    </w:r>
  </w:p>
  <w:tbl>
    <w:tblPr>
      <w:tblW w:w="0" w:type="auto"/>
      <w:tblInd w:w="360" w:type="dxa"/>
      <w:tblLook w:val="04A0" w:firstRow="1" w:lastRow="0" w:firstColumn="1" w:lastColumn="0" w:noHBand="0" w:noVBand="1"/>
    </w:tblPr>
    <w:tblGrid>
      <w:gridCol w:w="6608"/>
      <w:gridCol w:w="3328"/>
      <w:gridCol w:w="1000"/>
    </w:tblGrid>
    <w:tr w:rsidR="005F3FCF" w:rsidRPr="00BF2DE4" w14:paraId="6B45EF84" w14:textId="77777777" w:rsidTr="005F3FCF">
      <w:tc>
        <w:tcPr>
          <w:tcW w:w="6608" w:type="dxa"/>
          <w:vAlign w:val="center"/>
          <w:hideMark/>
        </w:tcPr>
        <w:p w14:paraId="3C7819C9" w14:textId="77777777" w:rsidR="005F3FCF" w:rsidRPr="005F3FCF" w:rsidRDefault="005F3FCF" w:rsidP="005F3FCF">
          <w:pPr>
            <w:pStyle w:val="Title"/>
            <w:spacing w:after="120"/>
            <w:ind w:right="360"/>
            <w:jc w:val="left"/>
            <w:rPr>
              <w:rFonts w:ascii="Gotham Book" w:hAnsi="Gotham Book"/>
              <w:b/>
              <w:color w:val="404040"/>
              <w:sz w:val="22"/>
              <w:szCs w:val="22"/>
            </w:rPr>
          </w:pPr>
          <w:r w:rsidRPr="005F3FCF">
            <w:rPr>
              <w:rFonts w:ascii="Gotham Book" w:hAnsi="Gotham Book"/>
              <w:b/>
              <w:color w:val="404040"/>
              <w:sz w:val="22"/>
              <w:szCs w:val="22"/>
            </w:rPr>
            <w:t> </w:t>
          </w:r>
        </w:p>
      </w:tc>
      <w:tc>
        <w:tcPr>
          <w:tcW w:w="3328" w:type="dxa"/>
          <w:vAlign w:val="center"/>
          <w:hideMark/>
        </w:tcPr>
        <w:p w14:paraId="66821832" w14:textId="77777777" w:rsidR="005F3FCF" w:rsidRPr="00BF2DE4" w:rsidRDefault="005F3FCF" w:rsidP="005F3FCF">
          <w:pPr>
            <w:pStyle w:val="Title"/>
            <w:spacing w:after="120"/>
            <w:ind w:right="360"/>
            <w:rPr>
              <w:rFonts w:ascii="Calibri" w:eastAsia="Times New Roman" w:hAnsi="Calibri"/>
              <w:b/>
              <w:bCs/>
              <w:color w:val="404040"/>
              <w:szCs w:val="20"/>
            </w:rPr>
          </w:pPr>
          <w:r w:rsidRPr="005F3FCF">
            <w:rPr>
              <w:rFonts w:ascii="Gotham Book" w:hAnsi="Gotham Book"/>
              <w:b/>
              <w:color w:val="404040"/>
              <w:sz w:val="22"/>
              <w:szCs w:val="22"/>
            </w:rPr>
            <w:t>One-Year Goal</w:t>
          </w:r>
        </w:p>
      </w:tc>
      <w:tc>
        <w:tcPr>
          <w:tcW w:w="1000" w:type="dxa"/>
          <w:tcBorders>
            <w:top w:val="single" w:sz="8" w:space="0" w:color="auto"/>
            <w:left w:val="nil"/>
            <w:bottom w:val="single" w:sz="8" w:space="0" w:color="auto"/>
            <w:right w:val="single" w:sz="8" w:space="0" w:color="auto"/>
          </w:tcBorders>
          <w:shd w:val="clear" w:color="auto" w:fill="C6D9F1"/>
          <w:vAlign w:val="center"/>
          <w:hideMark/>
        </w:tcPr>
        <w:p w14:paraId="27E730C0" w14:textId="77777777" w:rsidR="005F3FCF" w:rsidRPr="00BF2DE4" w:rsidRDefault="005F3FCF" w:rsidP="00816745">
          <w:pPr>
            <w:jc w:val="center"/>
            <w:rPr>
              <w:rFonts w:ascii="Calibri" w:eastAsia="Times New Roman" w:hAnsi="Calibri"/>
              <w:b/>
              <w:bCs/>
              <w:color w:val="404040"/>
              <w:szCs w:val="20"/>
            </w:rPr>
          </w:pPr>
          <w:r w:rsidRPr="00BF2DE4">
            <w:rPr>
              <w:rFonts w:ascii="Calibri" w:eastAsia="Times New Roman" w:hAnsi="Calibri"/>
              <w:b/>
              <w:bCs/>
              <w:color w:val="404040"/>
              <w:szCs w:val="20"/>
            </w:rPr>
            <w:t>Actual</w:t>
          </w:r>
        </w:p>
      </w:tc>
    </w:tr>
    <w:tr w:rsidR="005F3FCF" w:rsidRPr="00BF2DE4" w14:paraId="12D46BB4" w14:textId="77777777" w:rsidTr="005F3FCF">
      <w:tc>
        <w:tcPr>
          <w:tcW w:w="6608" w:type="dxa"/>
          <w:vAlign w:val="center"/>
          <w:hideMark/>
        </w:tcPr>
        <w:p w14:paraId="75029CE0" w14:textId="77777777" w:rsidR="005F3FCF" w:rsidRPr="00BF2DE4" w:rsidRDefault="005F3FCF" w:rsidP="005F3FCF">
          <w:pPr>
            <w:pStyle w:val="Title"/>
            <w:spacing w:after="120"/>
            <w:ind w:right="360"/>
            <w:jc w:val="left"/>
            <w:rPr>
              <w:rFonts w:ascii="Calibri" w:eastAsia="Times New Roman" w:hAnsi="Calibri"/>
              <w:color w:val="404040"/>
              <w:szCs w:val="20"/>
            </w:rPr>
          </w:pPr>
          <w:r w:rsidRPr="005F3FCF">
            <w:rPr>
              <w:rFonts w:ascii="Gotham Book" w:hAnsi="Gotham Book"/>
              <w:b/>
              <w:color w:val="404040"/>
              <w:sz w:val="22"/>
              <w:szCs w:val="22"/>
            </w:rPr>
            <w:t xml:space="preserve">Number </w:t>
          </w:r>
          <w:r w:rsidRPr="00BF2DE4">
            <w:rPr>
              <w:rFonts w:ascii="Calibri" w:eastAsia="Times New Roman" w:hAnsi="Calibri"/>
              <w:color w:val="404040"/>
              <w:szCs w:val="20"/>
            </w:rPr>
            <w:t>of households supported through rental assistance</w:t>
          </w:r>
        </w:p>
      </w:tc>
      <w:tc>
        <w:tcPr>
          <w:tcW w:w="3328" w:type="dxa"/>
          <w:vAlign w:val="center"/>
          <w:hideMark/>
        </w:tcPr>
        <w:p w14:paraId="00493C62"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250</w:t>
          </w:r>
        </w:p>
      </w:tc>
      <w:tc>
        <w:tcPr>
          <w:tcW w:w="1000" w:type="dxa"/>
          <w:tcBorders>
            <w:top w:val="nil"/>
            <w:left w:val="nil"/>
            <w:bottom w:val="single" w:sz="8" w:space="0" w:color="auto"/>
            <w:right w:val="single" w:sz="8" w:space="0" w:color="auto"/>
          </w:tcBorders>
          <w:shd w:val="clear" w:color="auto" w:fill="auto"/>
          <w:vAlign w:val="center"/>
          <w:hideMark/>
        </w:tcPr>
        <w:p w14:paraId="149E2A96" w14:textId="77777777" w:rsidR="005F3FCF" w:rsidRPr="00BF2DE4" w:rsidRDefault="005F3FCF" w:rsidP="00816745">
          <w:pPr>
            <w:jc w:val="center"/>
            <w:rPr>
              <w:rFonts w:ascii="Calibri" w:eastAsia="Times New Roman" w:hAnsi="Calibri"/>
              <w:color w:val="404040"/>
              <w:szCs w:val="20"/>
            </w:rPr>
          </w:pPr>
          <w:r>
            <w:rPr>
              <w:rFonts w:ascii="Calibri" w:eastAsia="Times New Roman" w:hAnsi="Calibri"/>
              <w:color w:val="404040"/>
              <w:szCs w:val="20"/>
            </w:rPr>
            <w:t>272</w:t>
          </w:r>
        </w:p>
      </w:tc>
    </w:tr>
    <w:tr w:rsidR="005F3FCF" w:rsidRPr="00BF2DE4" w14:paraId="126A56FC" w14:textId="77777777" w:rsidTr="005F3FCF">
      <w:tc>
        <w:tcPr>
          <w:tcW w:w="6608" w:type="dxa"/>
          <w:vAlign w:val="center"/>
          <w:hideMark/>
        </w:tcPr>
        <w:p w14:paraId="7A348480" w14:textId="77777777" w:rsidR="005F3FCF" w:rsidRPr="00BF2DE4" w:rsidRDefault="005F3FCF" w:rsidP="005F3FCF">
          <w:pPr>
            <w:pStyle w:val="Title"/>
            <w:spacing w:after="120"/>
            <w:ind w:right="360"/>
            <w:jc w:val="left"/>
            <w:rPr>
              <w:rFonts w:ascii="Calibri" w:eastAsia="Times New Roman" w:hAnsi="Calibri"/>
              <w:color w:val="404040"/>
              <w:szCs w:val="20"/>
            </w:rPr>
          </w:pPr>
          <w:r w:rsidRPr="005F3FCF">
            <w:rPr>
              <w:rFonts w:ascii="Gotham Book" w:hAnsi="Gotham Book"/>
              <w:b/>
              <w:color w:val="404040"/>
              <w:sz w:val="22"/>
              <w:szCs w:val="22"/>
            </w:rPr>
            <w:t xml:space="preserve">Number </w:t>
          </w:r>
          <w:r w:rsidRPr="00BF2DE4">
            <w:rPr>
              <w:rFonts w:ascii="Calibri" w:eastAsia="Times New Roman" w:hAnsi="Calibri"/>
              <w:color w:val="404040"/>
              <w:szCs w:val="20"/>
            </w:rPr>
            <w:t>of households supported through the production of new units</w:t>
          </w:r>
        </w:p>
      </w:tc>
      <w:tc>
        <w:tcPr>
          <w:tcW w:w="3328" w:type="dxa"/>
          <w:vAlign w:val="center"/>
          <w:hideMark/>
        </w:tcPr>
        <w:p w14:paraId="4BCC2A07"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0</w:t>
          </w:r>
        </w:p>
      </w:tc>
      <w:tc>
        <w:tcPr>
          <w:tcW w:w="1000" w:type="dxa"/>
          <w:tcBorders>
            <w:top w:val="nil"/>
            <w:left w:val="nil"/>
            <w:bottom w:val="single" w:sz="8" w:space="0" w:color="auto"/>
            <w:right w:val="single" w:sz="8" w:space="0" w:color="auto"/>
          </w:tcBorders>
          <w:shd w:val="clear" w:color="auto" w:fill="auto"/>
          <w:vAlign w:val="center"/>
          <w:hideMark/>
        </w:tcPr>
        <w:p w14:paraId="72752070" w14:textId="77777777" w:rsidR="005F3FCF" w:rsidRPr="00BF2DE4" w:rsidRDefault="005F3FCF" w:rsidP="00816745">
          <w:pPr>
            <w:jc w:val="center"/>
            <w:rPr>
              <w:rFonts w:ascii="Calibri" w:eastAsia="Times New Roman" w:hAnsi="Calibri"/>
              <w:color w:val="404040"/>
              <w:szCs w:val="20"/>
            </w:rPr>
          </w:pPr>
          <w:r w:rsidRPr="00BF2DE4">
            <w:rPr>
              <w:rFonts w:ascii="Calibri" w:eastAsia="Times New Roman" w:hAnsi="Calibri"/>
              <w:color w:val="404040"/>
              <w:szCs w:val="20"/>
            </w:rPr>
            <w:t>0</w:t>
          </w:r>
        </w:p>
      </w:tc>
    </w:tr>
    <w:tr w:rsidR="005F3FCF" w:rsidRPr="00BF2DE4" w14:paraId="37BE9BA6" w14:textId="77777777" w:rsidTr="005F3FCF">
      <w:tc>
        <w:tcPr>
          <w:tcW w:w="6608" w:type="dxa"/>
          <w:vAlign w:val="center"/>
          <w:hideMark/>
        </w:tcPr>
        <w:p w14:paraId="1497C369" w14:textId="77777777" w:rsidR="005F3FCF" w:rsidRPr="00BF2DE4" w:rsidRDefault="005F3FCF" w:rsidP="005F3FCF">
          <w:pPr>
            <w:pStyle w:val="Title"/>
            <w:spacing w:after="120"/>
            <w:ind w:right="360"/>
            <w:jc w:val="left"/>
            <w:rPr>
              <w:rFonts w:ascii="Calibri" w:eastAsia="Times New Roman" w:hAnsi="Calibri"/>
              <w:color w:val="404040"/>
              <w:szCs w:val="20"/>
            </w:rPr>
          </w:pPr>
          <w:r w:rsidRPr="005F3FCF">
            <w:rPr>
              <w:rFonts w:ascii="Gotham Book" w:hAnsi="Gotham Book"/>
              <w:b/>
              <w:color w:val="404040"/>
              <w:sz w:val="22"/>
              <w:szCs w:val="22"/>
            </w:rPr>
            <w:t xml:space="preserve">Number </w:t>
          </w:r>
          <w:r w:rsidRPr="00BF2DE4">
            <w:rPr>
              <w:rFonts w:ascii="Calibri" w:eastAsia="Times New Roman" w:hAnsi="Calibri"/>
              <w:color w:val="404040"/>
              <w:szCs w:val="20"/>
            </w:rPr>
            <w:t>of households supported through the rehab of existing units</w:t>
          </w:r>
        </w:p>
      </w:tc>
      <w:tc>
        <w:tcPr>
          <w:tcW w:w="3328" w:type="dxa"/>
          <w:vAlign w:val="center"/>
          <w:hideMark/>
        </w:tcPr>
        <w:p w14:paraId="1D306006"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452</w:t>
          </w:r>
        </w:p>
      </w:tc>
      <w:tc>
        <w:tcPr>
          <w:tcW w:w="1000" w:type="dxa"/>
          <w:tcBorders>
            <w:top w:val="nil"/>
            <w:left w:val="nil"/>
            <w:bottom w:val="single" w:sz="8" w:space="0" w:color="auto"/>
            <w:right w:val="single" w:sz="8" w:space="0" w:color="auto"/>
          </w:tcBorders>
          <w:shd w:val="clear" w:color="auto" w:fill="auto"/>
          <w:vAlign w:val="center"/>
          <w:hideMark/>
        </w:tcPr>
        <w:p w14:paraId="63E08797" w14:textId="77777777" w:rsidR="005F3FCF" w:rsidRPr="00BF2DE4" w:rsidRDefault="005F3FCF" w:rsidP="00816745">
          <w:pPr>
            <w:jc w:val="center"/>
            <w:rPr>
              <w:rFonts w:ascii="Calibri" w:eastAsia="Times New Roman" w:hAnsi="Calibri"/>
              <w:color w:val="404040"/>
              <w:szCs w:val="20"/>
            </w:rPr>
          </w:pPr>
          <w:r>
            <w:rPr>
              <w:rFonts w:ascii="Calibri" w:eastAsia="Times New Roman" w:hAnsi="Calibri"/>
              <w:color w:val="404040"/>
              <w:szCs w:val="20"/>
            </w:rPr>
            <w:t>268</w:t>
          </w:r>
        </w:p>
      </w:tc>
    </w:tr>
    <w:tr w:rsidR="005F3FCF" w:rsidRPr="00BF2DE4" w14:paraId="20009223" w14:textId="77777777" w:rsidTr="005F3FCF">
      <w:tc>
        <w:tcPr>
          <w:tcW w:w="6608" w:type="dxa"/>
          <w:vAlign w:val="center"/>
          <w:hideMark/>
        </w:tcPr>
        <w:p w14:paraId="26660972" w14:textId="77777777" w:rsidR="005F3FCF" w:rsidRPr="00BF2DE4" w:rsidRDefault="005F3FCF" w:rsidP="005F3FCF">
          <w:pPr>
            <w:pStyle w:val="Title"/>
            <w:spacing w:after="120"/>
            <w:ind w:right="360"/>
            <w:jc w:val="left"/>
            <w:rPr>
              <w:rFonts w:ascii="Calibri" w:eastAsia="Times New Roman" w:hAnsi="Calibri"/>
              <w:color w:val="404040"/>
              <w:szCs w:val="20"/>
            </w:rPr>
          </w:pPr>
          <w:r w:rsidRPr="005F3FCF">
            <w:rPr>
              <w:rFonts w:ascii="Gotham Book" w:hAnsi="Gotham Book"/>
              <w:b/>
              <w:color w:val="404040"/>
              <w:sz w:val="22"/>
              <w:szCs w:val="22"/>
            </w:rPr>
            <w:t xml:space="preserve">Number </w:t>
          </w:r>
          <w:r w:rsidRPr="00BF2DE4">
            <w:rPr>
              <w:rFonts w:ascii="Calibri" w:eastAsia="Times New Roman" w:hAnsi="Calibri"/>
              <w:color w:val="404040"/>
              <w:szCs w:val="20"/>
            </w:rPr>
            <w:t>of households supported through the acquisition of existing units</w:t>
          </w:r>
        </w:p>
      </w:tc>
      <w:tc>
        <w:tcPr>
          <w:tcW w:w="3328" w:type="dxa"/>
          <w:vAlign w:val="center"/>
          <w:hideMark/>
        </w:tcPr>
        <w:p w14:paraId="33852199"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25</w:t>
          </w:r>
        </w:p>
      </w:tc>
      <w:tc>
        <w:tcPr>
          <w:tcW w:w="1000" w:type="dxa"/>
          <w:tcBorders>
            <w:top w:val="nil"/>
            <w:left w:val="nil"/>
            <w:bottom w:val="single" w:sz="8" w:space="0" w:color="auto"/>
            <w:right w:val="single" w:sz="8" w:space="0" w:color="auto"/>
          </w:tcBorders>
          <w:shd w:val="clear" w:color="auto" w:fill="auto"/>
          <w:vAlign w:val="center"/>
          <w:hideMark/>
        </w:tcPr>
        <w:p w14:paraId="1566B37D" w14:textId="77777777" w:rsidR="005F3FCF" w:rsidRPr="00BF2DE4" w:rsidRDefault="005F3FCF" w:rsidP="00816745">
          <w:pPr>
            <w:jc w:val="center"/>
            <w:rPr>
              <w:rFonts w:ascii="Calibri" w:eastAsia="Times New Roman" w:hAnsi="Calibri"/>
              <w:color w:val="404040"/>
              <w:szCs w:val="20"/>
            </w:rPr>
          </w:pPr>
          <w:r>
            <w:rPr>
              <w:rFonts w:ascii="Calibri" w:eastAsia="Times New Roman" w:hAnsi="Calibri"/>
              <w:color w:val="404040"/>
              <w:szCs w:val="20"/>
            </w:rPr>
            <w:t>9</w:t>
          </w:r>
        </w:p>
      </w:tc>
    </w:tr>
    <w:tr w:rsidR="005F3FCF" w:rsidRPr="00BF2DE4" w14:paraId="28E00C23" w14:textId="77777777" w:rsidTr="005F3FCF">
      <w:tc>
        <w:tcPr>
          <w:tcW w:w="6608" w:type="dxa"/>
          <w:vAlign w:val="center"/>
          <w:hideMark/>
        </w:tcPr>
        <w:p w14:paraId="50F30661" w14:textId="77777777" w:rsidR="005F3FCF" w:rsidRPr="005F3FCF" w:rsidRDefault="005F3FCF" w:rsidP="005F3FCF">
          <w:pPr>
            <w:pStyle w:val="Title"/>
            <w:spacing w:after="120"/>
            <w:ind w:right="360"/>
            <w:jc w:val="left"/>
            <w:rPr>
              <w:rFonts w:ascii="Gotham Book" w:hAnsi="Gotham Book"/>
              <w:b/>
              <w:color w:val="404040"/>
              <w:sz w:val="22"/>
              <w:szCs w:val="22"/>
            </w:rPr>
          </w:pPr>
          <w:r w:rsidRPr="005F3FCF">
            <w:rPr>
              <w:rFonts w:ascii="Gotham Book" w:hAnsi="Gotham Book"/>
              <w:b/>
              <w:color w:val="404040"/>
              <w:sz w:val="22"/>
              <w:szCs w:val="22"/>
            </w:rPr>
            <w:t>Total</w:t>
          </w:r>
        </w:p>
      </w:tc>
      <w:tc>
        <w:tcPr>
          <w:tcW w:w="3328" w:type="dxa"/>
          <w:vAlign w:val="center"/>
          <w:hideMark/>
        </w:tcPr>
        <w:p w14:paraId="1648A3E3"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727</w:t>
          </w:r>
        </w:p>
      </w:tc>
      <w:tc>
        <w:tcPr>
          <w:tcW w:w="1000" w:type="dxa"/>
          <w:tcBorders>
            <w:top w:val="nil"/>
            <w:left w:val="nil"/>
            <w:bottom w:val="single" w:sz="8" w:space="0" w:color="auto"/>
            <w:right w:val="single" w:sz="8" w:space="0" w:color="auto"/>
          </w:tcBorders>
          <w:shd w:val="clear" w:color="auto" w:fill="auto"/>
          <w:vAlign w:val="center"/>
          <w:hideMark/>
        </w:tcPr>
        <w:p w14:paraId="7BC3FD79" w14:textId="77777777" w:rsidR="005F3FCF" w:rsidRPr="00BF2DE4" w:rsidRDefault="005F3FCF" w:rsidP="00816745">
          <w:pPr>
            <w:jc w:val="center"/>
            <w:rPr>
              <w:rFonts w:ascii="Calibri" w:eastAsia="Times New Roman" w:hAnsi="Calibri"/>
              <w:b/>
              <w:bCs/>
              <w:color w:val="404040"/>
              <w:szCs w:val="20"/>
            </w:rPr>
          </w:pPr>
          <w:r>
            <w:rPr>
              <w:rFonts w:ascii="Calibri" w:eastAsia="Times New Roman" w:hAnsi="Calibri"/>
              <w:b/>
              <w:bCs/>
              <w:color w:val="404040"/>
              <w:szCs w:val="20"/>
            </w:rPr>
            <w:t>549</w:t>
          </w:r>
        </w:p>
      </w:tc>
    </w:tr>
  </w:tbl>
  <w:p w14:paraId="363E53E3" w14:textId="77777777" w:rsidR="005F3FCF" w:rsidRPr="005F3FCF" w:rsidRDefault="005F3FCF" w:rsidP="005F3FCF">
    <w:pPr>
      <w:pStyle w:val="Title"/>
      <w:spacing w:after="120"/>
      <w:ind w:left="360"/>
      <w:rPr>
        <w:rFonts w:ascii="Gotham Book" w:hAnsi="Gotham Book"/>
        <w:color w:val="404040"/>
        <w:sz w:val="22"/>
        <w:szCs w:val="22"/>
      </w:rPr>
    </w:pPr>
  </w:p>
  <w:p w14:paraId="1024F5A6" w14:textId="77777777" w:rsidR="005F3FCF" w:rsidRPr="00BF2DE4" w:rsidRDefault="005F3FCF" w:rsidP="005F3FCF">
    <w:pPr>
      <w:pStyle w:val="Title"/>
      <w:spacing w:after="120"/>
      <w:ind w:left="360"/>
      <w:rPr>
        <w:rFonts w:ascii="Calibri" w:hAnsi="Calibri" w:cs="Calibri"/>
        <w:b/>
        <w:color w:val="FF0000"/>
        <w:szCs w:val="20"/>
      </w:rPr>
    </w:pPr>
    <w:r w:rsidRPr="005F3FCF">
      <w:rPr>
        <w:rFonts w:ascii="Gotham Book" w:hAnsi="Gotham Book"/>
        <w:color w:val="404040"/>
        <w:sz w:val="22"/>
        <w:szCs w:val="22"/>
      </w:rPr>
      <w:t>Discuss</w:t>
    </w:r>
    <w:r w:rsidRPr="00BF2DE4">
      <w:rPr>
        <w:rFonts w:ascii="Calibri" w:hAnsi="Calibri" w:cs="Calibri"/>
        <w:b/>
        <w:color w:val="404040"/>
        <w:szCs w:val="20"/>
      </w:rPr>
      <w:t xml:space="preserve"> how these outcomes will impact future annual action plans.</w:t>
    </w:r>
    <w:r w:rsidRPr="00BF2DE4">
      <w:rPr>
        <w:rFonts w:ascii="Calibri" w:hAnsi="Calibri" w:cs="Calibri"/>
        <w:b/>
        <w:color w:val="FF0000"/>
        <w:szCs w:val="20"/>
      </w:rPr>
      <w:t xml:space="preserve">  </w:t>
    </w:r>
  </w:p>
  <w:p w14:paraId="74F08E09" w14:textId="77777777" w:rsidR="005F3FCF" w:rsidRPr="00407732" w:rsidRDefault="005F3FCF" w:rsidP="005F3FCF">
    <w:pPr>
      <w:pStyle w:val="Title"/>
      <w:spacing w:after="120"/>
      <w:rPr>
        <w:rFonts w:ascii="Calibri" w:hAnsi="Calibri" w:cs="Calibri"/>
        <w:color w:val="404040"/>
        <w:szCs w:val="20"/>
      </w:rPr>
    </w:pPr>
    <w:r w:rsidRPr="005F3FCF">
      <w:rPr>
        <w:rFonts w:ascii="Gotham Book" w:hAnsi="Gotham Book"/>
        <w:b/>
        <w:color w:val="323E4F"/>
        <w:sz w:val="24"/>
      </w:rPr>
      <w:t>Salt</w:t>
    </w:r>
    <w:r w:rsidRPr="00407732">
      <w:rPr>
        <w:rFonts w:ascii="Calibri" w:hAnsi="Calibri" w:cs="Calibri"/>
        <w:color w:val="404040"/>
        <w:szCs w:val="20"/>
      </w:rPr>
      <w:t xml:space="preserve"> Lake City is pleased with the total households supported through rental assistance activities funded by CDBG, ESG, HOME, and HOPWA funding. Due to sharply increased construction costs and a labor shortage in the construction field, it was difficult for the City to rehabilitate as many units as originally projected. Additionally, one subgrantee awarded funding did not expend any of Salt Lake City’s federal funding during the program year. Rising housing costs led to a smaller number of households supported through the acquisition of existing units. At this time, no future annual action plans are anticipated to change. Housing activities provided critical support in the form of subsidies for low to moderate income families with AMI’s ranging from 0-80%. Tenant-based rental assistance, short term rental/utility assistance, rapid re-housing, housing rehabilitation, and direct financial assistance supported a wide range of households in varying circumstance with a shared need of housing assistance.</w:t>
    </w:r>
  </w:p>
  <w:p w14:paraId="4B85D9F8" w14:textId="77777777" w:rsidR="005F3FCF" w:rsidRPr="005F3FCF" w:rsidRDefault="005F3FCF" w:rsidP="005F3FCF">
    <w:pPr>
      <w:pStyle w:val="Title"/>
      <w:spacing w:after="120"/>
      <w:ind w:left="360"/>
      <w:rPr>
        <w:rFonts w:ascii="Gotham Book" w:hAnsi="Gotham Book"/>
        <w:b/>
        <w:color w:val="323E4F"/>
        <w:sz w:val="24"/>
      </w:rPr>
    </w:pPr>
  </w:p>
  <w:p w14:paraId="6907CBBE" w14:textId="77777777" w:rsidR="005F3FCF" w:rsidRPr="00407732" w:rsidRDefault="005F3FCF" w:rsidP="005F3FCF">
    <w:pPr>
      <w:pStyle w:val="Title"/>
      <w:spacing w:after="120"/>
      <w:ind w:left="360"/>
      <w:rPr>
        <w:rFonts w:ascii="Calibri" w:hAnsi="Calibri" w:cs="Calibri"/>
        <w:color w:val="404040"/>
        <w:szCs w:val="20"/>
      </w:rPr>
    </w:pPr>
    <w:r w:rsidRPr="005F3FCF">
      <w:rPr>
        <w:rFonts w:ascii="Calibri" w:hAnsi="Calibri" w:cs="Calibri"/>
        <w:b/>
        <w:color w:val="44546A"/>
        <w:sz w:val="24"/>
      </w:rPr>
      <w:t xml:space="preserve">As the City works towards creating </w:t>
    </w:r>
    <w:r w:rsidRPr="005F3FCF">
      <w:rPr>
        <w:rFonts w:ascii="Calibri" w:hAnsi="Calibri" w:cs="Calibri"/>
        <w:i/>
        <w:color w:val="44546A"/>
        <w:sz w:val="18"/>
        <w:szCs w:val="18"/>
      </w:rPr>
      <w:t>its next five-year Consolidated Plan, it</w:t>
    </w:r>
    <w:r w:rsidRPr="005F3FCF">
      <w:rPr>
        <w:rFonts w:ascii="Calibri" w:hAnsi="Calibri" w:cs="Calibri"/>
        <w:i/>
        <w:color w:val="FF0000"/>
        <w:sz w:val="18"/>
        <w:szCs w:val="18"/>
      </w:rPr>
      <w:t xml:space="preserve"> </w:t>
    </w:r>
    <w:r w:rsidRPr="00407732">
      <w:rPr>
        <w:rFonts w:ascii="Calibri" w:hAnsi="Calibri" w:cs="Calibri"/>
        <w:color w:val="404040"/>
        <w:szCs w:val="20"/>
      </w:rPr>
      <w:t>will continue evaluating its efforts in affordable housing to ensure that funding is utilized effectively</w:t>
    </w:r>
    <w:r>
      <w:rPr>
        <w:rFonts w:ascii="Calibri" w:hAnsi="Calibri" w:cs="Calibri"/>
        <w:color w:val="404040"/>
        <w:szCs w:val="20"/>
      </w:rPr>
      <w:t>.</w:t>
    </w:r>
    <w:r w:rsidRPr="00407732">
      <w:rPr>
        <w:rFonts w:ascii="Calibri" w:hAnsi="Calibri" w:cs="Calibri"/>
        <w:color w:val="404040"/>
        <w:szCs w:val="20"/>
      </w:rPr>
      <w:t xml:space="preserve"> The need for affordable housing will continue to grow as the population of the City expands and the vacancy rate remains low. It is critical for the City to expand its efforts in providing decent, safe, and affordable housing to its residents, especially its low-income residents and vulnerable populations. Increased rates of homelessness and rising construction and maintenance costs signal the need for City assistance to ensure that affordable housing is created and preserved within the community. </w:t>
    </w:r>
  </w:p>
  <w:p w14:paraId="6B203141" w14:textId="77777777" w:rsidR="005F3FCF" w:rsidRPr="005F3FCF" w:rsidRDefault="005F3FCF" w:rsidP="005F3FCF">
    <w:pPr>
      <w:pStyle w:val="Title"/>
      <w:spacing w:after="120"/>
      <w:ind w:left="360"/>
      <w:rPr>
        <w:rFonts w:ascii="Gotham Book" w:hAnsi="Gotham Book"/>
        <w:b/>
        <w:color w:val="323E4F"/>
        <w:sz w:val="24"/>
      </w:rPr>
    </w:pPr>
  </w:p>
  <w:p w14:paraId="4D0E86C5" w14:textId="77777777" w:rsidR="005F3FCF" w:rsidRPr="00407732" w:rsidRDefault="005F3FCF" w:rsidP="005F3FCF">
    <w:pPr>
      <w:pStyle w:val="Title"/>
      <w:spacing w:after="120"/>
      <w:ind w:left="360"/>
      <w:rPr>
        <w:rFonts w:ascii="Calibri" w:hAnsi="Calibri" w:cs="Calibri"/>
        <w:color w:val="404040"/>
        <w:szCs w:val="20"/>
      </w:rPr>
    </w:pPr>
    <w:r w:rsidRPr="005F3FCF">
      <w:rPr>
        <w:rFonts w:ascii="Gotham Book" w:hAnsi="Gotham Book"/>
        <w:b/>
        <w:color w:val="323E4F"/>
        <w:sz w:val="24"/>
      </w:rPr>
      <w:t>Include</w:t>
    </w:r>
    <w:r w:rsidRPr="005F3FCF">
      <w:rPr>
        <w:rFonts w:ascii="Calibri" w:hAnsi="Calibri" w:cs="Calibri"/>
        <w:b/>
        <w:color w:val="FF0000"/>
        <w:szCs w:val="20"/>
      </w:rPr>
      <w:t xml:space="preserve"> the number of extremely low-income, low-income, and moderate-income persons served by each activity where information on income </w:t>
    </w:r>
    <w:r w:rsidRPr="00407732">
      <w:rPr>
        <w:rFonts w:ascii="Calibri" w:hAnsi="Calibri" w:cs="Calibri"/>
        <w:color w:val="404040"/>
        <w:szCs w:val="20"/>
      </w:rPr>
      <w:t xml:space="preserve">by family size is required to determine the eligibility of the activity.  </w:t>
    </w:r>
  </w:p>
  <w:p w14:paraId="41550CA8" w14:textId="77777777" w:rsidR="005F3FCF" w:rsidRPr="005F3FCF" w:rsidRDefault="005F3FCF" w:rsidP="005F3FCF">
    <w:pPr>
      <w:pStyle w:val="Title"/>
      <w:spacing w:after="120"/>
      <w:ind w:left="360"/>
      <w:rPr>
        <w:rFonts w:ascii="Gotham Book" w:hAnsi="Gotham Book"/>
        <w:b/>
        <w:color w:val="323E4F"/>
        <w:sz w:val="24"/>
      </w:rPr>
    </w:pPr>
  </w:p>
  <w:p w14:paraId="76D361BE" w14:textId="77777777" w:rsidR="005F3FCF" w:rsidRPr="005F3FCF" w:rsidRDefault="005F3FCF" w:rsidP="005F3FCF">
    <w:pPr>
      <w:pStyle w:val="Title"/>
      <w:spacing w:after="120"/>
      <w:ind w:left="360"/>
      <w:rPr>
        <w:rFonts w:ascii="Calibri" w:hAnsi="Calibri" w:cs="Calibri"/>
        <w:i/>
        <w:color w:val="404040"/>
        <w:sz w:val="18"/>
        <w:szCs w:val="18"/>
      </w:rPr>
    </w:pPr>
    <w:r w:rsidRPr="005F3FCF">
      <w:rPr>
        <w:rFonts w:ascii="Calibri" w:hAnsi="Calibri" w:cs="Calibri"/>
        <w:i/>
        <w:color w:val="404040"/>
        <w:sz w:val="18"/>
        <w:szCs w:val="18"/>
      </w:rPr>
      <w:t xml:space="preserve">Table 13 – Number of Persons Served </w:t>
    </w:r>
  </w:p>
  <w:tbl>
    <w:tblPr>
      <w:tblW w:w="0" w:type="auto"/>
      <w:tblInd w:w="360" w:type="dxa"/>
      <w:tblLook w:val="04A0" w:firstRow="1" w:lastRow="0" w:firstColumn="1" w:lastColumn="0" w:noHBand="0" w:noVBand="1"/>
    </w:tblPr>
    <w:tblGrid>
      <w:gridCol w:w="6608"/>
      <w:gridCol w:w="3328"/>
      <w:gridCol w:w="1340"/>
    </w:tblGrid>
    <w:tr w:rsidR="005F3FCF" w:rsidRPr="00BF2DE4" w14:paraId="6DE98B1C" w14:textId="77777777" w:rsidTr="005F3FCF">
      <w:tc>
        <w:tcPr>
          <w:tcW w:w="6608" w:type="dxa"/>
          <w:vAlign w:val="center"/>
          <w:hideMark/>
        </w:tcPr>
        <w:p w14:paraId="2659B8A0" w14:textId="77777777" w:rsidR="005F3FCF" w:rsidRPr="00BF2DE4" w:rsidRDefault="005F3FCF" w:rsidP="005F3FCF">
          <w:pPr>
            <w:pStyle w:val="Title"/>
            <w:spacing w:after="120"/>
            <w:ind w:right="360"/>
            <w:jc w:val="left"/>
            <w:rPr>
              <w:rFonts w:ascii="Calibri" w:eastAsia="Times New Roman" w:hAnsi="Calibri"/>
              <w:b/>
              <w:bCs/>
              <w:color w:val="404040"/>
              <w:szCs w:val="20"/>
            </w:rPr>
          </w:pPr>
          <w:r w:rsidRPr="005F3FCF">
            <w:rPr>
              <w:rFonts w:ascii="Gotham Book" w:hAnsi="Gotham Book"/>
              <w:b/>
              <w:color w:val="404040"/>
              <w:sz w:val="22"/>
              <w:szCs w:val="22"/>
            </w:rPr>
            <w:t xml:space="preserve">Number </w:t>
          </w:r>
          <w:r w:rsidRPr="00BF2DE4">
            <w:rPr>
              <w:rFonts w:ascii="Calibri" w:eastAsia="Times New Roman" w:hAnsi="Calibri"/>
              <w:b/>
              <w:bCs/>
              <w:color w:val="404040"/>
              <w:szCs w:val="20"/>
            </w:rPr>
            <w:t>of Persons Served</w:t>
          </w:r>
        </w:p>
      </w:tc>
      <w:tc>
        <w:tcPr>
          <w:tcW w:w="3328" w:type="dxa"/>
          <w:vAlign w:val="center"/>
          <w:hideMark/>
        </w:tcPr>
        <w:p w14:paraId="5B0C9CAD" w14:textId="77777777" w:rsidR="005F3FCF" w:rsidRPr="00BF2DE4" w:rsidRDefault="005F3FCF" w:rsidP="005F3FCF">
          <w:pPr>
            <w:pStyle w:val="Title"/>
            <w:spacing w:after="120"/>
            <w:ind w:right="360"/>
            <w:rPr>
              <w:rFonts w:ascii="Calibri" w:eastAsia="Times New Roman" w:hAnsi="Calibri"/>
              <w:b/>
              <w:bCs/>
              <w:color w:val="404040"/>
              <w:szCs w:val="20"/>
            </w:rPr>
          </w:pPr>
          <w:r w:rsidRPr="005F3FCF">
            <w:rPr>
              <w:rFonts w:ascii="Gotham Book" w:hAnsi="Gotham Book"/>
              <w:b/>
              <w:color w:val="404040"/>
              <w:sz w:val="22"/>
              <w:szCs w:val="22"/>
            </w:rPr>
            <w:t>CDBG Actual</w:t>
          </w:r>
        </w:p>
      </w:tc>
      <w:tc>
        <w:tcPr>
          <w:tcW w:w="1340" w:type="dxa"/>
          <w:tcBorders>
            <w:top w:val="single" w:sz="8" w:space="0" w:color="auto"/>
            <w:left w:val="nil"/>
            <w:bottom w:val="single" w:sz="8" w:space="0" w:color="auto"/>
            <w:right w:val="single" w:sz="8" w:space="0" w:color="auto"/>
          </w:tcBorders>
          <w:shd w:val="clear" w:color="auto" w:fill="C6D9F1"/>
          <w:vAlign w:val="center"/>
          <w:hideMark/>
        </w:tcPr>
        <w:p w14:paraId="0DE38ECA" w14:textId="77777777" w:rsidR="005F3FCF" w:rsidRPr="00BF2DE4" w:rsidRDefault="005F3FCF" w:rsidP="00816745">
          <w:pPr>
            <w:jc w:val="center"/>
            <w:rPr>
              <w:rFonts w:ascii="Calibri" w:eastAsia="Times New Roman" w:hAnsi="Calibri"/>
              <w:b/>
              <w:color w:val="404040"/>
              <w:szCs w:val="20"/>
            </w:rPr>
          </w:pPr>
          <w:r w:rsidRPr="00BF2DE4">
            <w:rPr>
              <w:rFonts w:ascii="Calibri" w:eastAsia="Times New Roman" w:hAnsi="Calibri"/>
              <w:b/>
              <w:color w:val="404040"/>
              <w:szCs w:val="20"/>
            </w:rPr>
            <w:t>HOME Actual</w:t>
          </w:r>
        </w:p>
      </w:tc>
    </w:tr>
    <w:tr w:rsidR="005F3FCF" w:rsidRPr="00BF2DE4" w14:paraId="729263DB" w14:textId="77777777" w:rsidTr="005F3FCF">
      <w:tc>
        <w:tcPr>
          <w:tcW w:w="6608" w:type="dxa"/>
          <w:vAlign w:val="center"/>
          <w:hideMark/>
        </w:tcPr>
        <w:p w14:paraId="338AA610" w14:textId="77777777" w:rsidR="005F3FCF" w:rsidRPr="00BF2DE4" w:rsidRDefault="005F3FCF" w:rsidP="005F3FCF">
          <w:pPr>
            <w:pStyle w:val="Title"/>
            <w:spacing w:after="120"/>
            <w:ind w:right="360"/>
            <w:jc w:val="left"/>
            <w:rPr>
              <w:rFonts w:ascii="Calibri" w:eastAsia="Times New Roman" w:hAnsi="Calibri"/>
              <w:color w:val="404040"/>
              <w:szCs w:val="20"/>
            </w:rPr>
          </w:pPr>
          <w:r w:rsidRPr="005F3FCF">
            <w:rPr>
              <w:rFonts w:ascii="Gotham Book" w:hAnsi="Gotham Book"/>
              <w:b/>
              <w:color w:val="404040"/>
              <w:sz w:val="22"/>
              <w:szCs w:val="22"/>
            </w:rPr>
            <w:t xml:space="preserve">Extremely </w:t>
          </w:r>
          <w:r w:rsidRPr="00BF2DE4">
            <w:rPr>
              <w:rFonts w:ascii="Calibri" w:eastAsia="Times New Roman" w:hAnsi="Calibri"/>
              <w:color w:val="404040"/>
              <w:szCs w:val="20"/>
            </w:rPr>
            <w:t>Low-income</w:t>
          </w:r>
        </w:p>
      </w:tc>
      <w:tc>
        <w:tcPr>
          <w:tcW w:w="3328" w:type="dxa"/>
          <w:vAlign w:val="center"/>
          <w:hideMark/>
        </w:tcPr>
        <w:p w14:paraId="69117513"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2,046</w:t>
          </w:r>
        </w:p>
      </w:tc>
      <w:tc>
        <w:tcPr>
          <w:tcW w:w="1340" w:type="dxa"/>
          <w:tcBorders>
            <w:top w:val="nil"/>
            <w:left w:val="nil"/>
            <w:bottom w:val="single" w:sz="8" w:space="0" w:color="auto"/>
            <w:right w:val="single" w:sz="8" w:space="0" w:color="auto"/>
          </w:tcBorders>
          <w:shd w:val="clear" w:color="auto" w:fill="auto"/>
          <w:vAlign w:val="center"/>
          <w:hideMark/>
        </w:tcPr>
        <w:p w14:paraId="5DC53BC2" w14:textId="77777777" w:rsidR="005F3FCF" w:rsidRPr="00BF2DE4" w:rsidRDefault="005F3FCF" w:rsidP="00816745">
          <w:pPr>
            <w:jc w:val="center"/>
            <w:rPr>
              <w:rFonts w:ascii="Calibri" w:eastAsia="Times New Roman" w:hAnsi="Calibri"/>
              <w:color w:val="404040"/>
              <w:szCs w:val="20"/>
            </w:rPr>
          </w:pPr>
          <w:r>
            <w:rPr>
              <w:rFonts w:ascii="Calibri" w:eastAsia="Times New Roman" w:hAnsi="Calibri"/>
              <w:color w:val="404040"/>
              <w:szCs w:val="20"/>
            </w:rPr>
            <w:t>330</w:t>
          </w:r>
        </w:p>
      </w:tc>
    </w:tr>
    <w:tr w:rsidR="005F3FCF" w:rsidRPr="00BF2DE4" w14:paraId="2AD13AC4" w14:textId="77777777" w:rsidTr="005F3FCF">
      <w:tc>
        <w:tcPr>
          <w:tcW w:w="6608" w:type="dxa"/>
          <w:vAlign w:val="center"/>
          <w:hideMark/>
        </w:tcPr>
        <w:p w14:paraId="750DB55A" w14:textId="77777777" w:rsidR="005F3FCF" w:rsidRPr="005F3FCF" w:rsidRDefault="005F3FCF" w:rsidP="005F3FCF">
          <w:pPr>
            <w:pStyle w:val="Title"/>
            <w:spacing w:after="120"/>
            <w:ind w:right="360"/>
            <w:jc w:val="left"/>
            <w:rPr>
              <w:rFonts w:ascii="Gotham Book" w:hAnsi="Gotham Book"/>
              <w:b/>
              <w:color w:val="404040"/>
              <w:sz w:val="22"/>
              <w:szCs w:val="22"/>
            </w:rPr>
          </w:pPr>
          <w:r w:rsidRPr="005F3FCF">
            <w:rPr>
              <w:rFonts w:ascii="Gotham Book" w:hAnsi="Gotham Book"/>
              <w:b/>
              <w:color w:val="404040"/>
              <w:sz w:val="22"/>
              <w:szCs w:val="22"/>
            </w:rPr>
            <w:t>Low-income</w:t>
          </w:r>
        </w:p>
      </w:tc>
      <w:tc>
        <w:tcPr>
          <w:tcW w:w="3328" w:type="dxa"/>
          <w:vAlign w:val="center"/>
          <w:hideMark/>
        </w:tcPr>
        <w:p w14:paraId="29F33402"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464</w:t>
          </w:r>
        </w:p>
      </w:tc>
      <w:tc>
        <w:tcPr>
          <w:tcW w:w="1340" w:type="dxa"/>
          <w:tcBorders>
            <w:top w:val="nil"/>
            <w:left w:val="nil"/>
            <w:bottom w:val="single" w:sz="8" w:space="0" w:color="auto"/>
            <w:right w:val="single" w:sz="8" w:space="0" w:color="auto"/>
          </w:tcBorders>
          <w:shd w:val="clear" w:color="auto" w:fill="auto"/>
          <w:vAlign w:val="center"/>
          <w:hideMark/>
        </w:tcPr>
        <w:p w14:paraId="721F035F" w14:textId="77777777" w:rsidR="005F3FCF" w:rsidRPr="00BF2DE4" w:rsidRDefault="005F3FCF" w:rsidP="00816745">
          <w:pPr>
            <w:jc w:val="center"/>
            <w:rPr>
              <w:rFonts w:ascii="Calibri" w:eastAsia="Times New Roman" w:hAnsi="Calibri"/>
              <w:color w:val="404040"/>
              <w:szCs w:val="20"/>
            </w:rPr>
          </w:pPr>
          <w:r>
            <w:rPr>
              <w:rFonts w:ascii="Calibri" w:eastAsia="Times New Roman" w:hAnsi="Calibri"/>
              <w:color w:val="404040"/>
              <w:szCs w:val="20"/>
            </w:rPr>
            <w:t>22</w:t>
          </w:r>
        </w:p>
      </w:tc>
    </w:tr>
    <w:tr w:rsidR="005F3FCF" w:rsidRPr="00BF2DE4" w14:paraId="2FA8C2A2" w14:textId="77777777" w:rsidTr="005F3FCF">
      <w:tc>
        <w:tcPr>
          <w:tcW w:w="6608" w:type="dxa"/>
          <w:vAlign w:val="center"/>
          <w:hideMark/>
        </w:tcPr>
        <w:p w14:paraId="37C8305E" w14:textId="77777777" w:rsidR="005F3FCF" w:rsidRPr="005F3FCF" w:rsidRDefault="005F3FCF" w:rsidP="005F3FCF">
          <w:pPr>
            <w:pStyle w:val="Title"/>
            <w:spacing w:after="120"/>
            <w:ind w:right="360"/>
            <w:jc w:val="left"/>
            <w:rPr>
              <w:rFonts w:ascii="Gotham Book" w:hAnsi="Gotham Book"/>
              <w:b/>
              <w:color w:val="404040"/>
              <w:sz w:val="22"/>
              <w:szCs w:val="22"/>
            </w:rPr>
          </w:pPr>
          <w:r w:rsidRPr="005F3FCF">
            <w:rPr>
              <w:rFonts w:ascii="Gotham Book" w:hAnsi="Gotham Book"/>
              <w:b/>
              <w:color w:val="404040"/>
              <w:sz w:val="22"/>
              <w:szCs w:val="22"/>
            </w:rPr>
            <w:t>Moderate-income</w:t>
          </w:r>
        </w:p>
      </w:tc>
      <w:tc>
        <w:tcPr>
          <w:tcW w:w="3328" w:type="dxa"/>
          <w:vAlign w:val="center"/>
          <w:hideMark/>
        </w:tcPr>
        <w:p w14:paraId="15F464B6"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79</w:t>
          </w:r>
        </w:p>
      </w:tc>
      <w:tc>
        <w:tcPr>
          <w:tcW w:w="1340" w:type="dxa"/>
          <w:tcBorders>
            <w:top w:val="nil"/>
            <w:left w:val="nil"/>
            <w:bottom w:val="single" w:sz="8" w:space="0" w:color="auto"/>
            <w:right w:val="single" w:sz="8" w:space="0" w:color="auto"/>
          </w:tcBorders>
          <w:shd w:val="clear" w:color="auto" w:fill="auto"/>
          <w:vAlign w:val="center"/>
          <w:hideMark/>
        </w:tcPr>
        <w:p w14:paraId="5BC8566F" w14:textId="77777777" w:rsidR="005F3FCF" w:rsidRPr="00BF2DE4" w:rsidRDefault="005F3FCF" w:rsidP="00816745">
          <w:pPr>
            <w:jc w:val="center"/>
            <w:rPr>
              <w:rFonts w:ascii="Calibri" w:eastAsia="Times New Roman" w:hAnsi="Calibri"/>
              <w:color w:val="404040"/>
              <w:szCs w:val="20"/>
            </w:rPr>
          </w:pPr>
          <w:r>
            <w:rPr>
              <w:rFonts w:ascii="Calibri" w:eastAsia="Times New Roman" w:hAnsi="Calibri"/>
              <w:color w:val="404040"/>
              <w:szCs w:val="20"/>
            </w:rPr>
            <w:t>10</w:t>
          </w:r>
        </w:p>
      </w:tc>
    </w:tr>
    <w:tr w:rsidR="005F3FCF" w:rsidRPr="00BF2DE4" w14:paraId="2340016D" w14:textId="77777777" w:rsidTr="005F3FCF">
      <w:tc>
        <w:tcPr>
          <w:tcW w:w="6608" w:type="dxa"/>
          <w:vAlign w:val="center"/>
          <w:hideMark/>
        </w:tcPr>
        <w:p w14:paraId="783F8050" w14:textId="77777777" w:rsidR="005F3FCF" w:rsidRPr="005F3FCF" w:rsidRDefault="005F3FCF" w:rsidP="005F3FCF">
          <w:pPr>
            <w:pStyle w:val="Title"/>
            <w:spacing w:after="120"/>
            <w:ind w:right="360"/>
            <w:jc w:val="left"/>
            <w:rPr>
              <w:rFonts w:ascii="Gotham Book" w:hAnsi="Gotham Book"/>
              <w:b/>
              <w:color w:val="404040"/>
              <w:sz w:val="22"/>
              <w:szCs w:val="22"/>
            </w:rPr>
          </w:pPr>
          <w:r w:rsidRPr="005F3FCF">
            <w:rPr>
              <w:rFonts w:ascii="Gotham Book" w:hAnsi="Gotham Book"/>
              <w:b/>
              <w:color w:val="404040"/>
              <w:sz w:val="22"/>
              <w:szCs w:val="22"/>
            </w:rPr>
            <w:t>Total</w:t>
          </w:r>
        </w:p>
      </w:tc>
      <w:tc>
        <w:tcPr>
          <w:tcW w:w="3328" w:type="dxa"/>
          <w:vAlign w:val="center"/>
          <w:hideMark/>
        </w:tcPr>
        <w:p w14:paraId="372A777F" w14:textId="77777777" w:rsidR="005F3FCF" w:rsidRPr="005F3FCF" w:rsidRDefault="005F3FCF" w:rsidP="005F3FCF">
          <w:pPr>
            <w:pStyle w:val="Title"/>
            <w:spacing w:after="120"/>
            <w:ind w:right="360"/>
            <w:rPr>
              <w:rFonts w:ascii="Gotham Book" w:hAnsi="Gotham Book"/>
              <w:b/>
              <w:color w:val="404040"/>
              <w:sz w:val="22"/>
              <w:szCs w:val="22"/>
            </w:rPr>
          </w:pPr>
          <w:r w:rsidRPr="005F3FCF">
            <w:rPr>
              <w:rFonts w:ascii="Gotham Book" w:hAnsi="Gotham Book"/>
              <w:b/>
              <w:color w:val="404040"/>
              <w:sz w:val="22"/>
              <w:szCs w:val="22"/>
            </w:rPr>
            <w:t>2,589</w:t>
          </w:r>
        </w:p>
      </w:tc>
      <w:tc>
        <w:tcPr>
          <w:tcW w:w="1340" w:type="dxa"/>
          <w:tcBorders>
            <w:top w:val="nil"/>
            <w:left w:val="nil"/>
            <w:bottom w:val="single" w:sz="8" w:space="0" w:color="auto"/>
            <w:right w:val="single" w:sz="8" w:space="0" w:color="auto"/>
          </w:tcBorders>
          <w:shd w:val="clear" w:color="auto" w:fill="auto"/>
          <w:vAlign w:val="center"/>
          <w:hideMark/>
        </w:tcPr>
        <w:p w14:paraId="7337157B" w14:textId="77777777" w:rsidR="005F3FCF" w:rsidRPr="00BF2DE4" w:rsidRDefault="005F3FCF" w:rsidP="00816745">
          <w:pPr>
            <w:jc w:val="center"/>
            <w:rPr>
              <w:rFonts w:ascii="Calibri" w:eastAsia="Times New Roman" w:hAnsi="Calibri"/>
              <w:b/>
              <w:color w:val="404040"/>
              <w:szCs w:val="20"/>
            </w:rPr>
          </w:pPr>
          <w:r>
            <w:rPr>
              <w:rFonts w:ascii="Calibri" w:eastAsia="Times New Roman" w:hAnsi="Calibri"/>
              <w:b/>
              <w:color w:val="404040"/>
              <w:szCs w:val="20"/>
            </w:rPr>
            <w:t>362</w:t>
          </w:r>
        </w:p>
      </w:tc>
    </w:tr>
  </w:tbl>
  <w:p w14:paraId="6983823F" w14:textId="77777777" w:rsidR="005F3FCF" w:rsidRPr="005F3FCF" w:rsidRDefault="005F3FCF" w:rsidP="005F3FCF">
    <w:pPr>
      <w:pStyle w:val="Title"/>
      <w:spacing w:after="120"/>
      <w:ind w:left="360" w:right="360"/>
      <w:rPr>
        <w:rFonts w:ascii="Gotham Book" w:hAnsi="Gotham Book"/>
        <w:color w:val="404040"/>
        <w:sz w:val="22"/>
        <w:szCs w:val="22"/>
      </w:rPr>
    </w:pPr>
  </w:p>
  <w:p w14:paraId="752887F2" w14:textId="77777777" w:rsidR="005F3FCF" w:rsidRPr="00407732" w:rsidRDefault="005F3FCF" w:rsidP="005F3FCF">
    <w:pPr>
      <w:pStyle w:val="Title"/>
      <w:spacing w:after="120"/>
      <w:ind w:left="360"/>
      <w:rPr>
        <w:rFonts w:ascii="Calibri" w:hAnsi="Calibri" w:cs="Calibri"/>
        <w:color w:val="404040"/>
        <w:szCs w:val="20"/>
      </w:rPr>
    </w:pPr>
    <w:r w:rsidRPr="005F3FCF">
      <w:rPr>
        <w:rFonts w:ascii="Gotham Book" w:hAnsi="Gotham Book"/>
        <w:color w:val="404040"/>
        <w:sz w:val="22"/>
        <w:szCs w:val="22"/>
      </w:rPr>
      <w:t>The</w:t>
    </w:r>
    <w:r w:rsidRPr="00407732">
      <w:rPr>
        <w:rFonts w:ascii="Calibri" w:hAnsi="Calibri" w:cs="Calibri"/>
        <w:color w:val="404040"/>
        <w:szCs w:val="20"/>
      </w:rPr>
      <w:t xml:space="preserve"> goals outlined in Salt Lake City’s 2015-2019 Consolidated Plan, Neighborhoods of Opportunity, provided direction for program year 2017-2018 projects and activities. The Consolidated Plan encourages capacity in neighborhoods with concentrated poverty and supported at risk populations by prioritizing goals that increased access to housing, education, health, transportation, and economic development.</w:t>
    </w:r>
  </w:p>
  <w:p w14:paraId="2EF43FAF" w14:textId="77777777" w:rsidR="005F3FCF" w:rsidRPr="005F3FCF" w:rsidRDefault="005F3FCF" w:rsidP="005F3FCF">
    <w:pPr>
      <w:pStyle w:val="Title"/>
      <w:spacing w:after="120"/>
      <w:rPr>
        <w:rFonts w:ascii="Gotham Book" w:hAnsi="Gotham Book"/>
        <w:b/>
        <w:color w:val="323E4F"/>
        <w:sz w:val="24"/>
      </w:rPr>
    </w:pPr>
  </w:p>
  <w:p w14:paraId="6B3BDE49" w14:textId="77777777" w:rsidR="005F3FCF" w:rsidRPr="00407732" w:rsidRDefault="005F3FCF" w:rsidP="005F3FCF">
    <w:pPr>
      <w:pStyle w:val="Title"/>
      <w:spacing w:after="120"/>
      <w:ind w:left="360"/>
      <w:rPr>
        <w:rFonts w:ascii="Calibri" w:hAnsi="Calibri" w:cs="Calibri"/>
        <w:color w:val="404040"/>
        <w:szCs w:val="20"/>
      </w:rPr>
    </w:pPr>
    <w:r w:rsidRPr="005F3FCF">
      <w:rPr>
        <w:rFonts w:ascii="Gotham Book" w:hAnsi="Gotham Book"/>
        <w:b/>
        <w:color w:val="323E4F"/>
        <w:sz w:val="24"/>
      </w:rPr>
      <w:t>The</w:t>
    </w:r>
    <w:r w:rsidRPr="005F3FCF">
      <w:rPr>
        <w:rFonts w:ascii="Calibri" w:hAnsi="Calibri" w:cs="Calibri"/>
        <w:b/>
        <w:color w:val="44546A"/>
        <w:sz w:val="24"/>
      </w:rPr>
      <w:t xml:space="preserve"> City worked towards reducing the gap</w:t>
    </w:r>
    <w:r w:rsidRPr="005F3FCF">
      <w:rPr>
        <w:rFonts w:ascii="Calibri" w:hAnsi="Calibri" w:cs="Calibri"/>
        <w:i/>
        <w:color w:val="44546A"/>
        <w:sz w:val="18"/>
        <w:szCs w:val="18"/>
      </w:rPr>
      <w:t xml:space="preserve"> in a number of socioeconomic indicators</w:t>
    </w:r>
    <w:r w:rsidRPr="005F3FCF">
      <w:rPr>
        <w:rFonts w:ascii="Calibri" w:hAnsi="Calibri" w:cs="Calibri"/>
        <w:i/>
        <w:color w:val="FF0000"/>
        <w:sz w:val="18"/>
        <w:szCs w:val="18"/>
      </w:rPr>
      <w:t>,</w:t>
    </w:r>
    <w:r w:rsidRPr="00407732">
      <w:rPr>
        <w:rFonts w:ascii="Calibri" w:hAnsi="Calibri" w:cs="Calibri"/>
        <w:color w:val="404040"/>
        <w:szCs w:val="20"/>
      </w:rPr>
      <w:t xml:space="preserve"> such as improving housing affordability, school-readiness of young children, employment skills of at-risk adults, access to transportation for low-income households, and economic diversity within neighborhoods; this progress should lead to more opportunity for lower-income individuals within these neighborhoods and the surrounding areas.</w:t>
    </w:r>
  </w:p>
  <w:p w14:paraId="72CB7BD2" w14:textId="77777777" w:rsidR="005F3FCF" w:rsidRPr="005F3FCF" w:rsidRDefault="005F3FCF" w:rsidP="005F3FCF">
    <w:pPr>
      <w:pStyle w:val="Title"/>
      <w:spacing w:after="120"/>
      <w:ind w:left="360"/>
      <w:rPr>
        <w:rFonts w:ascii="Gotham Book" w:hAnsi="Gotham Book"/>
        <w:b/>
        <w:color w:val="323E4F"/>
        <w:sz w:val="24"/>
      </w:rPr>
    </w:pPr>
  </w:p>
  <w:p w14:paraId="035A1750" w14:textId="77777777" w:rsidR="005F3FCF" w:rsidRPr="00407732" w:rsidRDefault="005F3FCF" w:rsidP="005F3FCF">
    <w:pPr>
      <w:pStyle w:val="Title"/>
      <w:spacing w:after="120"/>
      <w:ind w:left="360"/>
      <w:rPr>
        <w:rFonts w:ascii="Calibri" w:hAnsi="Calibri" w:cs="Calibri"/>
        <w:color w:val="404040"/>
        <w:szCs w:val="20"/>
      </w:rPr>
    </w:pPr>
    <w:r w:rsidRPr="005F3FCF">
      <w:rPr>
        <w:rFonts w:ascii="Gotham Book" w:hAnsi="Gotham Book"/>
        <w:b/>
        <w:color w:val="323E4F"/>
        <w:sz w:val="24"/>
      </w:rPr>
      <w:t>Vulnerable</w:t>
    </w:r>
    <w:r w:rsidRPr="005F3FCF">
      <w:rPr>
        <w:rFonts w:ascii="Calibri" w:hAnsi="Calibri" w:cs="Calibri"/>
        <w:b/>
        <w:color w:val="FF0000"/>
        <w:szCs w:val="20"/>
      </w:rPr>
      <w:t xml:space="preserve"> populations continue to need an extensive support system to ensure access to critical resources, services, and housing </w:t>
    </w:r>
    <w:r w:rsidRPr="00407732">
      <w:rPr>
        <w:rFonts w:ascii="Calibri" w:hAnsi="Calibri" w:cs="Calibri"/>
        <w:color w:val="404040"/>
        <w:szCs w:val="20"/>
      </w:rPr>
      <w:t xml:space="preserve">assistance. The most vulnerable populations include victims of domestic violence, persons living with HIV/AIDS, low-income elderly persons, persons with disabilities, families experiencing homelessness, and the chronically homeless. </w:t>
    </w:r>
  </w:p>
  <w:p w14:paraId="323CFA75" w14:textId="77777777" w:rsidR="005F3FCF" w:rsidRPr="005F3FCF" w:rsidRDefault="005F3FCF" w:rsidP="005F3FCF">
    <w:pPr>
      <w:pStyle w:val="Title"/>
      <w:spacing w:after="120"/>
      <w:ind w:left="360"/>
      <w:rPr>
        <w:rFonts w:ascii="Gotham Book" w:hAnsi="Gotham Book"/>
        <w:b/>
        <w:color w:val="323E4F"/>
        <w:sz w:val="24"/>
      </w:rPr>
    </w:pPr>
  </w:p>
  <w:p w14:paraId="68611C4A" w14:textId="77777777" w:rsidR="005F3FCF" w:rsidRPr="00D73F6A" w:rsidRDefault="005F3FCF" w:rsidP="005F3FCF">
    <w:pPr>
      <w:pStyle w:val="Title"/>
      <w:spacing w:after="120"/>
      <w:ind w:left="360"/>
      <w:rPr>
        <w:rFonts w:asciiTheme="minorHAnsi" w:hAnsiTheme="minorHAnsi" w:cstheme="minorHAnsi"/>
        <w:i/>
        <w:color w:val="1F497D" w:themeColor="text2"/>
        <w:sz w:val="18"/>
        <w:szCs w:val="18"/>
      </w:rPr>
    </w:pPr>
    <w:r w:rsidRPr="005F3FCF">
      <w:rPr>
        <w:rFonts w:ascii="Calibri" w:hAnsi="Calibri" w:cs="Calibri"/>
        <w:i/>
        <w:color w:val="404040"/>
        <w:sz w:val="18"/>
        <w:szCs w:val="18"/>
      </w:rPr>
      <w:br w:type="page"/>
      <w:t xml:space="preserve">CR-25 HOMELESS AND OTHER SPECIAL NEEDS– 91.220 (d); 91.220(e); 91.320 (d); 91.320(e); </w:t>
    </w:r>
    <w:r w:rsidRPr="00D73F6A">
      <w:rPr>
        <w:rFonts w:asciiTheme="minorHAnsi" w:hAnsiTheme="minorHAnsi" w:cstheme="minorHAnsi"/>
        <w:i/>
        <w:color w:val="1F497D" w:themeColor="text2"/>
        <w:sz w:val="18"/>
        <w:szCs w:val="18"/>
      </w:rPr>
      <w:t>91.520 (c)</w:t>
    </w:r>
    <w:r>
      <w:rPr>
        <w:rFonts w:asciiTheme="minorHAnsi" w:hAnsiTheme="minorHAnsi" w:cstheme="minorHAnsi"/>
        <w:i/>
        <w:color w:val="1F497D" w:themeColor="text2"/>
        <w:sz w:val="18"/>
        <w:szCs w:val="18"/>
      </w:rPr>
      <w:t xml:space="preserve">  </w:t>
    </w:r>
  </w:p>
  <w:p w14:paraId="70872F27" w14:textId="77777777" w:rsidR="005F3FCF" w:rsidRPr="00BF2DE4" w:rsidRDefault="005F3FCF" w:rsidP="005F3FCF">
    <w:pPr>
      <w:pStyle w:val="Title"/>
      <w:spacing w:after="120"/>
      <w:ind w:left="360"/>
      <w:rPr>
        <w:rFonts w:ascii="Calibri" w:hAnsi="Calibri" w:cs="Calibri"/>
        <w:b/>
        <w:color w:val="404040"/>
        <w:szCs w:val="20"/>
      </w:rPr>
    </w:pPr>
    <w:r w:rsidRPr="005F3FCF">
      <w:rPr>
        <w:rFonts w:ascii="Gotham Book" w:hAnsi="Gotham Book"/>
        <w:b/>
        <w:color w:val="323E4F"/>
        <w:sz w:val="24"/>
      </w:rPr>
      <w:t>EVALUATE</w:t>
    </w:r>
    <w:r w:rsidRPr="00BF2DE4">
      <w:rPr>
        <w:rFonts w:ascii="Calibri" w:hAnsi="Calibri" w:cs="Calibri"/>
        <w:b/>
        <w:color w:val="404040"/>
        <w:szCs w:val="20"/>
      </w:rPr>
      <w:t xml:space="preserve"> THE CITY’S PROGRESS IN MEETING ITS SPECIFFIC OBJECTIVES FOR REDUCING AND ENDING HOMELESSNESS THROUGH THE FOLLOWING:</w:t>
    </w:r>
  </w:p>
  <w:p w14:paraId="0D28D711" w14:textId="77777777" w:rsidR="005F3FCF" w:rsidRPr="005F3FCF" w:rsidRDefault="005F3FCF" w:rsidP="005F3FCF">
    <w:pPr>
      <w:pStyle w:val="Title"/>
      <w:spacing w:after="120"/>
      <w:ind w:left="360"/>
      <w:rPr>
        <w:rFonts w:ascii="Gotham Book" w:hAnsi="Gotham Book"/>
        <w:b/>
        <w:color w:val="323E4F"/>
        <w:sz w:val="24"/>
      </w:rPr>
    </w:pPr>
  </w:p>
  <w:p w14:paraId="72CF703A" w14:textId="77777777" w:rsidR="005F3FCF" w:rsidRPr="005F3FCF" w:rsidRDefault="005F3FCF" w:rsidP="005F3FCF">
    <w:pPr>
      <w:pStyle w:val="Title"/>
      <w:spacing w:after="120"/>
      <w:ind w:left="360"/>
      <w:rPr>
        <w:rFonts w:ascii="Calibri" w:hAnsi="Calibri" w:cs="Calibri"/>
        <w:color w:val="404040"/>
        <w:szCs w:val="20"/>
      </w:rPr>
    </w:pPr>
    <w:r w:rsidRPr="005F3FCF">
      <w:rPr>
        <w:rFonts w:ascii="Calibri" w:hAnsi="Calibri" w:cs="Calibri"/>
        <w:color w:val="404040"/>
        <w:szCs w:val="20"/>
      </w:rPr>
      <w:t>How is the City reaching out to homeless persons (especially unsheltered persons) and assessing their individual needs?</w:t>
    </w:r>
  </w:p>
  <w:p w14:paraId="1B116519" w14:textId="77777777" w:rsidR="005F3FCF" w:rsidRDefault="005F3FCF" w:rsidP="005F3FCF">
    <w:pPr>
      <w:pStyle w:val="Title"/>
      <w:spacing w:after="120"/>
      <w:ind w:left="360"/>
      <w:rPr>
        <w:rFonts w:ascii="Calibri" w:hAnsi="Calibri" w:cs="Calibri"/>
        <w:color w:val="404040"/>
        <w:szCs w:val="20"/>
      </w:rPr>
    </w:pPr>
    <w:r>
      <w:rPr>
        <w:rFonts w:ascii="Calibri" w:hAnsi="Calibri" w:cs="Calibri"/>
        <w:color w:val="404040"/>
        <w:szCs w:val="20"/>
      </w:rPr>
      <w:t>Over the last year, Salt Lake City has participated in a statewide effort to improve services provided to those experiencing homelessness. The City is committed to working alongside community partners to provide both sheltered and unsheltered individual with the basic resources needed to transition individuals from homelessness to stable housing and self-sufficiency. The State of Utah’s Annual Point in Time count provides data that is utilized to assess the current state of homelessness and evaluate the impact of current and proposed projects that serve this vulnerable population.</w:t>
    </w:r>
  </w:p>
  <w:p w14:paraId="056025A9" w14:textId="77777777" w:rsidR="005F3FCF" w:rsidRDefault="005F3FCF" w:rsidP="005F3FCF">
    <w:pPr>
      <w:pStyle w:val="Title"/>
      <w:spacing w:after="120"/>
      <w:ind w:left="360"/>
      <w:rPr>
        <w:rFonts w:ascii="Calibri" w:hAnsi="Calibri" w:cs="Calibri"/>
        <w:color w:val="404040"/>
        <w:szCs w:val="20"/>
      </w:rPr>
    </w:pPr>
  </w:p>
  <w:p w14:paraId="54917300" w14:textId="77777777" w:rsidR="005F3FCF" w:rsidRDefault="005F3FCF" w:rsidP="005F3FCF">
    <w:pPr>
      <w:pStyle w:val="Title"/>
      <w:spacing w:after="120"/>
      <w:ind w:left="360"/>
      <w:rPr>
        <w:rFonts w:ascii="Calibri" w:hAnsi="Calibri" w:cs="Calibri"/>
        <w:color w:val="404040"/>
        <w:szCs w:val="20"/>
      </w:rPr>
    </w:pPr>
    <w:r>
      <w:rPr>
        <w:rFonts w:ascii="Calibri" w:hAnsi="Calibri" w:cs="Calibri"/>
        <w:color w:val="404040"/>
        <w:szCs w:val="20"/>
      </w:rPr>
      <w:t>During the program year, Salt Lake City funded multiple programs serving homeless persons outside of emergency shelter to ensure that all citizens, including unsheltered persons, had access to critical resources. One of these programs was a dental service program for individuals experiencing homelessness. Individuals experiencing homelessness were able to access free dental services, including cleanings, restorations, and preventative care education. During assessment, intake workers coordinate with other agencies to determine eligibility and refer clients to other local service providers for necessary services. Another program provided medical outreach to assess the health needs of unsheltered persons and recommend additional services to enhance the well-being of this population.</w:t>
    </w:r>
  </w:p>
  <w:p w14:paraId="6AF5A016" w14:textId="77777777" w:rsidR="005F3FCF" w:rsidRPr="00F44D45" w:rsidRDefault="005F3FCF" w:rsidP="005F3FCF">
    <w:pPr>
      <w:pStyle w:val="Title"/>
      <w:spacing w:after="120"/>
      <w:ind w:left="360"/>
      <w:rPr>
        <w:rFonts w:ascii="Calibri" w:hAnsi="Calibri" w:cs="Calibri"/>
        <w:color w:val="404040"/>
        <w:szCs w:val="20"/>
      </w:rPr>
    </w:pPr>
    <w:r w:rsidRPr="005F3FCF">
      <w:rPr>
        <w:rFonts w:ascii="Gotham Book" w:hAnsi="Gotham Book"/>
        <w:b/>
        <w:color w:val="323E4F"/>
        <w:sz w:val="24"/>
      </w:rPr>
      <w:t xml:space="preserve"> </w:t>
    </w:r>
  </w:p>
  <w:p w14:paraId="6C0B6B11" w14:textId="77777777" w:rsidR="005F3FCF" w:rsidRPr="005F3FCF" w:rsidRDefault="005F3FCF" w:rsidP="005F3FCF">
    <w:pPr>
      <w:pStyle w:val="Title"/>
      <w:spacing w:after="120"/>
      <w:ind w:left="360"/>
      <w:rPr>
        <w:rFonts w:ascii="Calibri" w:hAnsi="Calibri" w:cs="Calibri"/>
        <w:b/>
        <w:color w:val="FF0000"/>
        <w:szCs w:val="20"/>
      </w:rPr>
    </w:pPr>
    <w:r w:rsidRPr="005F3FCF">
      <w:rPr>
        <w:rFonts w:ascii="Calibri" w:hAnsi="Calibri" w:cs="Calibri"/>
        <w:b/>
        <w:color w:val="FF0000"/>
        <w:szCs w:val="20"/>
      </w:rPr>
      <w:t>How is the City addressing the emergency shelter and transitional housing needs of homeless persons?</w:t>
    </w:r>
  </w:p>
  <w:p w14:paraId="0D176DC7" w14:textId="77777777" w:rsidR="005F3FCF" w:rsidRDefault="005F3FCF" w:rsidP="005F3FCF">
    <w:pPr>
      <w:pStyle w:val="Title"/>
      <w:spacing w:after="120"/>
      <w:ind w:left="360"/>
      <w:rPr>
        <w:rFonts w:ascii="Calibri" w:hAnsi="Calibri" w:cs="Calibri"/>
        <w:color w:val="404040"/>
        <w:szCs w:val="20"/>
      </w:rPr>
    </w:pPr>
    <w:r w:rsidRPr="005F3FCF">
      <w:rPr>
        <w:rFonts w:ascii="Calibri" w:hAnsi="Calibri" w:cs="Calibri"/>
        <w:b/>
        <w:color w:val="FF0000"/>
        <w:szCs w:val="20"/>
      </w:rPr>
      <w:t>Individuals and families experiencing homelessness have a variety of needs at different stages of their homeless experience. The City utilizes</w:t>
    </w:r>
    <w:r>
      <w:rPr>
        <w:rFonts w:ascii="Calibri" w:hAnsi="Calibri" w:cs="Calibri"/>
        <w:color w:val="404040"/>
        <w:szCs w:val="20"/>
      </w:rPr>
      <w:t xml:space="preserve"> federal funding to support emergency shelter programs that give households immediate access to supportive services and provide temporary shelter from the elements. Transitional housing programs operated within the community provide housing for up to 24 months that is coupled with case management and other supportive services that are necessary to establish a more permanent housing situation. </w:t>
    </w:r>
  </w:p>
  <w:p w14:paraId="56DB35D8" w14:textId="77777777" w:rsidR="005F3FCF" w:rsidRDefault="005F3FCF" w:rsidP="005F3FCF">
    <w:pPr>
      <w:pStyle w:val="Title"/>
      <w:spacing w:after="120"/>
      <w:ind w:left="360"/>
      <w:rPr>
        <w:rFonts w:ascii="Calibri" w:hAnsi="Calibri" w:cs="Calibri"/>
        <w:color w:val="404040"/>
        <w:szCs w:val="20"/>
      </w:rPr>
    </w:pPr>
  </w:p>
  <w:p w14:paraId="32AD9568" w14:textId="77777777" w:rsidR="005F3FCF" w:rsidRDefault="005F3FCF" w:rsidP="005F3FCF">
    <w:pPr>
      <w:pStyle w:val="Title"/>
      <w:spacing w:after="120"/>
      <w:ind w:left="360"/>
      <w:rPr>
        <w:rFonts w:ascii="Calibri" w:hAnsi="Calibri" w:cs="Calibri"/>
        <w:color w:val="404040"/>
        <w:szCs w:val="20"/>
      </w:rPr>
    </w:pPr>
    <w:r>
      <w:rPr>
        <w:rFonts w:ascii="Calibri" w:hAnsi="Calibri" w:cs="Calibri"/>
        <w:color w:val="404040"/>
        <w:szCs w:val="20"/>
      </w:rPr>
      <w:t xml:space="preserve">ESG, HOME, and HOPWA federal grant funding is provided to local nonprofit agencies that specialize in providing housing assistance and supportive services that help households exit homelessness and enter housing stability. During the program year, the City provided federal funding support to multiple emergency shelter providers. ESG funding supported operations at the Youth Resource Center operated by Volunteers of America, Utah; this location provides emergency shelter, education and employment services, and case management to homeless street youths ages 15-24. This resource center is a critical piece of the homeless service continuum in Salt Lake City, as homeless youth under 18 are unable to access other emergency shelters due to state law. Additionally, the City supports programs that address the emergency shelter and housing needs of homeless persons through City general funds. </w:t>
    </w:r>
  </w:p>
  <w:p w14:paraId="48498CE0" w14:textId="77777777" w:rsidR="005F3FCF" w:rsidRPr="005F3FCF" w:rsidRDefault="005F3FCF" w:rsidP="005F3FCF">
    <w:pPr>
      <w:pStyle w:val="Title"/>
      <w:spacing w:after="120"/>
      <w:ind w:left="360"/>
      <w:rPr>
        <w:rFonts w:ascii="Calibri" w:hAnsi="Calibri" w:cs="Calibri"/>
        <w:b/>
        <w:color w:val="FF0000"/>
        <w:szCs w:val="20"/>
      </w:rPr>
    </w:pPr>
  </w:p>
  <w:p w14:paraId="48AE3BE6" w14:textId="77777777" w:rsidR="005F3FCF" w:rsidRDefault="005F3FCF" w:rsidP="005F3FCF">
    <w:pPr>
      <w:pStyle w:val="Title"/>
      <w:spacing w:after="120"/>
      <w:ind w:left="360"/>
      <w:rPr>
        <w:rFonts w:ascii="Calibri" w:hAnsi="Calibri" w:cs="Calibri"/>
        <w:color w:val="404040"/>
        <w:szCs w:val="20"/>
      </w:rPr>
    </w:pPr>
    <w:r w:rsidRPr="005F3FCF">
      <w:rPr>
        <w:rFonts w:ascii="Calibri" w:hAnsi="Calibri"/>
        <w:i/>
        <w:color w:val="404040"/>
        <w:sz w:val="18"/>
        <w:szCs w:val="18"/>
      </w:rPr>
      <w:t xml:space="preserve">Over the last year, the City has participated in a statewide evaluation of the current emergency shelter model in Salt Lake and received valuable input from the community, including service providers, citizens, and </w:t>
    </w:r>
    <w:r w:rsidRPr="005F3FCF">
      <w:rPr>
        <w:rFonts w:ascii="Gotham Book" w:hAnsi="Gotham Book"/>
        <w:color w:val="404040"/>
        <w:sz w:val="18"/>
        <w:szCs w:val="18"/>
      </w:rPr>
      <w:t xml:space="preserve">households experiencing in homeless. New homeless resource centers are under construction and requests for proposals for operating these centers have been completed by a nonprofit agency. As the emergency shelter model transitions over the next two years, the City will be evaluating outcomes and gathering additional </w:t>
    </w:r>
    <w:r>
      <w:rPr>
        <w:rFonts w:ascii="Calibri" w:hAnsi="Calibri" w:cs="Calibri"/>
        <w:color w:val="404040"/>
        <w:szCs w:val="20"/>
      </w:rPr>
      <w:t xml:space="preserve">community input on determining how to best support the new facilities. </w:t>
    </w:r>
  </w:p>
  <w:p w14:paraId="5F3CCE2E" w14:textId="77777777" w:rsidR="005F3FCF" w:rsidRPr="005F3FCF" w:rsidRDefault="005F3FCF" w:rsidP="005F3FCF">
    <w:pPr>
      <w:pStyle w:val="Title"/>
      <w:spacing w:after="120"/>
      <w:ind w:left="360"/>
      <w:rPr>
        <w:rFonts w:ascii="Gotham Book" w:hAnsi="Gotham Book"/>
        <w:color w:val="404040"/>
        <w:sz w:val="18"/>
        <w:szCs w:val="18"/>
      </w:rPr>
    </w:pPr>
  </w:p>
  <w:p w14:paraId="3ABE9C91" w14:textId="77777777" w:rsidR="005F3FCF" w:rsidRPr="005F3FCF" w:rsidRDefault="005F3FCF" w:rsidP="005F3FCF">
    <w:pPr>
      <w:pStyle w:val="Title"/>
      <w:spacing w:after="120"/>
      <w:ind w:left="360"/>
      <w:rPr>
        <w:rFonts w:ascii="Calibri" w:hAnsi="Calibri" w:cs="Calibri"/>
        <w:color w:val="404040"/>
        <w:szCs w:val="20"/>
      </w:rPr>
    </w:pPr>
    <w:r w:rsidRPr="005F3FCF">
      <w:rPr>
        <w:rFonts w:ascii="Gotham Book" w:hAnsi="Gotham Book"/>
        <w:color w:val="404040"/>
        <w:sz w:val="18"/>
        <w:szCs w:val="18"/>
      </w:rPr>
      <w:t xml:space="preserve">How is the City helping low-income individuals and families avoid becoming homeless, especially extremely low-income individuals and families and those who are likely to become </w:t>
    </w:r>
    <w:r w:rsidRPr="005F3FCF">
      <w:rPr>
        <w:rFonts w:ascii="Calibri" w:hAnsi="Calibri" w:cs="Calibri"/>
        <w:color w:val="404040"/>
        <w:szCs w:val="20"/>
      </w:rPr>
      <w:t>homeless after being discharged from publicly funded institutions and systems of care (such as health care facilities, mental health facilities, foster care and other youth facilities, and corrections programs and institutions); and, receiving assistance from public or private agencies that address housing, health, social services, employment, education or youth needs?</w:t>
    </w:r>
  </w:p>
  <w:p w14:paraId="3D89490F" w14:textId="77777777" w:rsidR="005F3FCF" w:rsidRDefault="005F3FCF" w:rsidP="005F3FCF">
    <w:pPr>
      <w:pStyle w:val="Title"/>
      <w:spacing w:after="120"/>
      <w:ind w:left="360"/>
      <w:rPr>
        <w:rFonts w:ascii="Calibri" w:hAnsi="Calibri" w:cs="Calibri"/>
        <w:color w:val="404040"/>
        <w:szCs w:val="20"/>
      </w:rPr>
    </w:pPr>
  </w:p>
  <w:p w14:paraId="56C48AE1" w14:textId="77777777" w:rsidR="005F3FCF" w:rsidRDefault="005F3FCF" w:rsidP="005F3FCF">
    <w:pPr>
      <w:pStyle w:val="Title"/>
      <w:spacing w:after="120"/>
      <w:ind w:left="360"/>
      <w:rPr>
        <w:rFonts w:ascii="Calibri" w:hAnsi="Calibri" w:cs="Calibri"/>
        <w:color w:val="404040"/>
        <w:szCs w:val="20"/>
      </w:rPr>
    </w:pPr>
    <w:r>
      <w:rPr>
        <w:rFonts w:ascii="Calibri" w:hAnsi="Calibri" w:cs="Calibri"/>
        <w:color w:val="404040"/>
        <w:szCs w:val="20"/>
      </w:rPr>
      <w:t xml:space="preserve">The City works with participating agencies in the Salt Lake County Continuum of Care to divert families and individuals from entering the homeless service system and prevent households at imminent risk of homelessness from losing housing stability. The City regularly participates in meetings with other service providers and partners to discuss individuals being discharged from publicly funded institutions to coordinate housing options available immediately upon release. Agencies such as Utah Community Action and The Road Home provide funding to stabilize families and veterans who are at imminent risk for homelessness. Prevention and diversion staff, funded by Salt Lake County and the State of Utah, are present at emergency shelters and in close contact with other public agencies to help households avoid experiencing homelessness. </w:t>
    </w:r>
  </w:p>
  <w:p w14:paraId="4D10D00D" w14:textId="77777777" w:rsidR="005F3FCF" w:rsidRPr="005F3FCF" w:rsidRDefault="005F3FCF" w:rsidP="005F3FCF">
    <w:pPr>
      <w:pStyle w:val="Footer"/>
      <w:rPr>
        <w:rFonts w:ascii="Arial" w:hAnsi="Arial" w:cs="Arial"/>
        <w:sz w:val="22"/>
        <w:szCs w:val="22"/>
        <w:u w:val="single"/>
      </w:rPr>
    </w:pPr>
  </w:p>
  <w:p w14:paraId="190A554C" w14:textId="77777777" w:rsidR="005F3FCF" w:rsidRPr="00BF2DE4" w:rsidRDefault="005F3FCF" w:rsidP="005F3FCF">
    <w:pPr>
      <w:pStyle w:val="Footer"/>
      <w:rPr>
        <w:rFonts w:ascii="Calibri" w:hAnsi="Calibri" w:cs="Calibri"/>
        <w:b/>
        <w:color w:val="404040"/>
        <w:szCs w:val="20"/>
      </w:rPr>
    </w:pPr>
    <w:r w:rsidRPr="005F3FCF">
      <w:rPr>
        <w:rFonts w:ascii="Calibri" w:hAnsi="Calibri"/>
        <w:i/>
        <w:color w:val="404040"/>
        <w:sz w:val="18"/>
        <w:szCs w:val="18"/>
      </w:rPr>
      <w:t xml:space="preserve">How is the City helping </w:t>
    </w:r>
    <w:r w:rsidRPr="005F3FCF">
      <w:rPr>
        <w:rFonts w:ascii="Gotham Book" w:hAnsi="Gotham Book"/>
        <w:color w:val="404040"/>
        <w:sz w:val="18"/>
        <w:szCs w:val="18"/>
      </w:rPr>
      <w:t xml:space="preserve">homeless persons (especially chronically homeless individuals and families, families with children, veterans and their families, and </w:t>
    </w:r>
    <w:r w:rsidRPr="00BF2DE4">
      <w:rPr>
        <w:rFonts w:ascii="Calibri" w:hAnsi="Calibri" w:cs="Calibri"/>
        <w:b/>
        <w:color w:val="404040"/>
        <w:szCs w:val="20"/>
      </w:rPr>
      <w:t>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14:paraId="3C76FE88" w14:textId="77777777" w:rsidR="005F3FCF" w:rsidRPr="005F3FCF" w:rsidRDefault="005F3FCF" w:rsidP="005F3FCF">
    <w:pPr>
      <w:pStyle w:val="Footer"/>
      <w:rPr>
        <w:rFonts w:ascii="Calibri" w:hAnsi="Calibri"/>
        <w:i/>
        <w:color w:val="404040"/>
        <w:sz w:val="18"/>
        <w:szCs w:val="18"/>
      </w:rPr>
    </w:pPr>
  </w:p>
  <w:p w14:paraId="3C0F6A8B" w14:textId="77777777" w:rsidR="005F3FCF" w:rsidRDefault="005F3FCF" w:rsidP="005F3FCF">
    <w:pPr>
      <w:pStyle w:val="Footer"/>
      <w:rPr>
        <w:rFonts w:ascii="Calibri" w:hAnsi="Calibri" w:cs="Calibri"/>
        <w:color w:val="404040"/>
        <w:szCs w:val="20"/>
      </w:rPr>
    </w:pPr>
    <w:r w:rsidRPr="005F3FCF">
      <w:rPr>
        <w:rFonts w:ascii="Calibri" w:hAnsi="Calibri"/>
        <w:i/>
        <w:color w:val="404040"/>
        <w:sz w:val="18"/>
        <w:szCs w:val="18"/>
      </w:rPr>
      <w:t>Salt Lake City,</w:t>
    </w:r>
    <w:r w:rsidRPr="005F3FCF">
      <w:rPr>
        <w:rFonts w:ascii="Gotham Book" w:hAnsi="Gotham Book"/>
        <w:color w:val="404040"/>
        <w:sz w:val="18"/>
        <w:szCs w:val="18"/>
      </w:rPr>
      <w:t xml:space="preserve"> along with its service partners, work with </w:t>
    </w:r>
    <w:r>
      <w:rPr>
        <w:rFonts w:ascii="Calibri" w:hAnsi="Calibri" w:cs="Calibri"/>
        <w:color w:val="404040"/>
        <w:szCs w:val="20"/>
      </w:rPr>
      <w:t xml:space="preserve">individuals experiencing homelessness to assist them with transitioning from living on the streets or in emergency shelter to permanent housing and self-sufficiency. To that end, the City works with local developers to prioritize housing projects with units that are affordable. The mayor and city council have supported City efforts to make affordable housing more attractive to developers through fee waivers and deferred loan payments. </w:t>
    </w:r>
  </w:p>
  <w:p w14:paraId="367726BF" w14:textId="77777777" w:rsidR="005F3FCF" w:rsidRPr="005F3FCF" w:rsidRDefault="005F3FCF" w:rsidP="005F3FCF">
    <w:pPr>
      <w:pStyle w:val="Title"/>
      <w:tabs>
        <w:tab w:val="center" w:pos="4320"/>
        <w:tab w:val="right" w:pos="8640"/>
      </w:tabs>
      <w:rPr>
        <w:rFonts w:ascii="Gotham Book" w:hAnsi="Gotham Book"/>
        <w:color w:val="404040"/>
        <w:sz w:val="18"/>
        <w:szCs w:val="18"/>
      </w:rPr>
    </w:pPr>
  </w:p>
  <w:p w14:paraId="14163579" w14:textId="77777777" w:rsidR="005F3FCF" w:rsidRPr="00955F80" w:rsidRDefault="005F3FCF" w:rsidP="005F3FCF">
    <w:pPr>
      <w:pStyle w:val="Title"/>
      <w:tabs>
        <w:tab w:val="center" w:pos="4320"/>
        <w:tab w:val="right" w:pos="8640"/>
      </w:tabs>
      <w:rPr>
        <w:rFonts w:ascii="Calibri" w:hAnsi="Calibri" w:cs="Calibri"/>
        <w:color w:val="404040"/>
        <w:szCs w:val="20"/>
      </w:rPr>
    </w:pPr>
    <w:r w:rsidRPr="005F3FCF">
      <w:rPr>
        <w:rFonts w:ascii="Gotham Book" w:hAnsi="Gotham Book"/>
        <w:color w:val="404040"/>
        <w:sz w:val="18"/>
        <w:szCs w:val="18"/>
      </w:rPr>
      <w:t xml:space="preserve">Last program year, HAND developed a new affordable housing plan, Growing SLC, </w:t>
    </w:r>
    <w:r>
      <w:rPr>
        <w:rFonts w:ascii="Calibri" w:hAnsi="Calibri" w:cs="Calibri"/>
        <w:color w:val="404040"/>
        <w:szCs w:val="20"/>
      </w:rPr>
      <w:t xml:space="preserve">which was the first comprehensive, citywide housing plan in Salt Lake in nearly two decades. This plan has guided staff in conversations regarding the creation of new tools to build affordable units. The City released a Renovation Pilot Program at the end of the program year; this program was created to ensure that currently existing affordable units are preserved and not lost to market rate increases. The program emphasized the need for rehabilitation of existing housing stock to ensure that affordable units are safe, decent, and structurally sound. Funding for this program will be awarded during the 2018-2019 program year. </w:t>
    </w:r>
  </w:p>
  <w:p w14:paraId="330E0C65" w14:textId="77777777" w:rsidR="005F3FCF" w:rsidRPr="005F3FCF" w:rsidRDefault="005F3FCF" w:rsidP="005F3FCF">
    <w:pPr>
      <w:pStyle w:val="ListParagraph"/>
      <w:numPr>
        <w:ilvl w:val="0"/>
        <w:numId w:val="28"/>
      </w:numPr>
      <w:spacing w:line="360" w:lineRule="auto"/>
      <w:rPr>
        <w:rFonts w:ascii="Gotham Book" w:hAnsi="Gotham Book"/>
        <w:color w:val="404040"/>
        <w:sz w:val="18"/>
        <w:szCs w:val="18"/>
      </w:rPr>
    </w:pPr>
  </w:p>
  <w:p w14:paraId="3CFE4354" w14:textId="77777777" w:rsidR="005F3FCF" w:rsidRPr="00BF2DE4" w:rsidRDefault="005F3FCF" w:rsidP="005F3FCF">
    <w:pPr>
      <w:pStyle w:val="ListParagraph"/>
      <w:numPr>
        <w:ilvl w:val="0"/>
        <w:numId w:val="28"/>
      </w:numPr>
      <w:spacing w:line="360" w:lineRule="auto"/>
      <w:rPr>
        <w:rFonts w:ascii="Calibri" w:hAnsi="Calibri" w:cs="Calibri"/>
        <w:i/>
        <w:color w:val="FF0000"/>
        <w:sz w:val="18"/>
        <w:szCs w:val="18"/>
      </w:rPr>
    </w:pPr>
    <w:r w:rsidRPr="005F3FCF">
      <w:rPr>
        <w:rFonts w:ascii="Gotham Book" w:hAnsi="Gotham Book"/>
        <w:color w:val="404040"/>
        <w:sz w:val="18"/>
        <w:szCs w:val="18"/>
      </w:rPr>
      <w:br w:type="page"/>
      <w:t xml:space="preserve"> CR-30 PUBLIC HOUSING – 91.220 (h); </w:t>
    </w:r>
    <w:r w:rsidRPr="00BF2DE4">
      <w:rPr>
        <w:rFonts w:ascii="Calibri" w:hAnsi="Calibri" w:cs="Calibri"/>
        <w:i/>
        <w:color w:val="1F497D"/>
        <w:sz w:val="18"/>
        <w:szCs w:val="18"/>
      </w:rPr>
      <w:t xml:space="preserve">91.320(j) </w:t>
    </w:r>
  </w:p>
  <w:p w14:paraId="0169AFAE" w14:textId="77777777" w:rsidR="005F3FCF" w:rsidRPr="005F3FCF" w:rsidRDefault="005F3FCF" w:rsidP="005F3FCF">
    <w:pPr>
      <w:pStyle w:val="ListParagraph"/>
      <w:numPr>
        <w:ilvl w:val="0"/>
        <w:numId w:val="28"/>
      </w:numPr>
      <w:spacing w:line="360" w:lineRule="auto"/>
      <w:rPr>
        <w:rFonts w:ascii="Gotham Book" w:hAnsi="Gotham Book"/>
        <w:color w:val="404040"/>
        <w:sz w:val="18"/>
        <w:szCs w:val="18"/>
      </w:rPr>
    </w:pPr>
  </w:p>
  <w:p w14:paraId="4E856899" w14:textId="77777777" w:rsidR="005F3FCF" w:rsidRPr="005F3FCF" w:rsidRDefault="005F3FCF" w:rsidP="005F3FCF">
    <w:pPr>
      <w:pStyle w:val="ListParagraph"/>
      <w:numPr>
        <w:ilvl w:val="0"/>
        <w:numId w:val="28"/>
      </w:numPr>
      <w:rPr>
        <w:rFonts w:ascii="Gotham Book" w:hAnsi="Gotham Book"/>
        <w:color w:val="404040"/>
        <w:sz w:val="18"/>
        <w:szCs w:val="18"/>
      </w:rPr>
    </w:pPr>
    <w:r w:rsidRPr="005F3FCF">
      <w:rPr>
        <w:rFonts w:ascii="Gotham Book" w:hAnsi="Gotham Book"/>
        <w:color w:val="404040"/>
        <w:sz w:val="18"/>
        <w:szCs w:val="18"/>
      </w:rPr>
      <w:t xml:space="preserve">Actions taken to address the needs of public housing </w:t>
    </w:r>
  </w:p>
  <w:p w14:paraId="6F0A8CDF" w14:textId="77777777" w:rsidR="005F3FCF" w:rsidRDefault="005F3FCF" w:rsidP="005F3FCF">
    <w:pPr>
      <w:pStyle w:val="ListParagraph"/>
      <w:numPr>
        <w:ilvl w:val="0"/>
        <w:numId w:val="28"/>
      </w:numPr>
      <w:rPr>
        <w:rFonts w:ascii="Calibri" w:hAnsi="Calibri" w:cs="Calibri"/>
        <w:color w:val="404040"/>
        <w:szCs w:val="20"/>
      </w:rPr>
    </w:pPr>
    <w:r w:rsidRPr="005F3FCF">
      <w:rPr>
        <w:rFonts w:ascii="Gotham Book" w:hAnsi="Gotham Book"/>
        <w:color w:val="404040"/>
        <w:sz w:val="18"/>
        <w:szCs w:val="18"/>
      </w:rPr>
      <w:t xml:space="preserve">The Housing Authority </w:t>
    </w:r>
    <w:r>
      <w:rPr>
        <w:rFonts w:ascii="Calibri" w:hAnsi="Calibri" w:cs="Calibri"/>
        <w:color w:val="404040"/>
        <w:szCs w:val="20"/>
      </w:rPr>
      <w:t xml:space="preserve">of Salt Lake City (HASLC) is the responsible agency for administering housing choice voucher programs, managing public housing, and developing and preserving affordable housing units with Salt Lake City. The mission of the HASLC is to provide rent subsidies and promote affordable housing for low-income persons residing within Salt Lake City. The HASLC currently manages an inventory of 389 public housing units designated for low-income seniors and people with disabilities. </w:t>
    </w:r>
  </w:p>
  <w:p w14:paraId="02CB43C5" w14:textId="77777777" w:rsidR="005F3FCF" w:rsidRPr="005F3FCF" w:rsidRDefault="005F3FCF" w:rsidP="005F3FCF">
    <w:pPr>
      <w:spacing w:line="360" w:lineRule="auto"/>
      <w:rPr>
        <w:rFonts w:ascii="Gotham Book" w:hAnsi="Gotham Book"/>
        <w:color w:val="404040"/>
        <w:sz w:val="18"/>
        <w:szCs w:val="18"/>
      </w:rPr>
    </w:pPr>
  </w:p>
  <w:p w14:paraId="4AF3A0AD" w14:textId="77777777" w:rsidR="005F3FCF" w:rsidRDefault="005F3FCF" w:rsidP="00C91F30">
    <w:pPr>
      <w:spacing w:line="360" w:lineRule="auto"/>
      <w:ind w:right="360"/>
      <w:rPr>
        <w:rFonts w:ascii="Calibri" w:hAnsi="Calibri" w:cs="Calibri"/>
        <w:color w:val="404040"/>
        <w:szCs w:val="20"/>
      </w:rPr>
    </w:pPr>
    <w:r>
      <w:rPr>
        <w:rFonts w:ascii="Calibri" w:hAnsi="Calibri" w:cs="Calibri"/>
        <w:color w:val="404040"/>
        <w:szCs w:val="20"/>
      </w:rPr>
      <w:t xml:space="preserve">The HASLC manages multiple voucher programs that provide housing subsidies to a variety of low-income populations, including veterans, victims of domestic violence, and chronically homeless individuals. The HASLC administers the Housing Choice Voucher program within City boundaries, which provides rental assistance to households at or below 50% of AMI. Approximately 2,800 low-income families, individuals with disabilities, elderly persons, and chronically homeless individuals benefit from this program. Other housing choice voucher programs administered by the HASLC include Veterans Affairs Supportive Housing Vouchers, Shelter Plus Care Vouchers, Section 8 Moderate Rehabilitation, and Multifamily Project Based Vouchers. HASCL has also partnered with GIV to begin development of a new 100 unit PSH project, Pamela’s Place. </w:t>
    </w:r>
  </w:p>
  <w:p w14:paraId="7F67EAF5" w14:textId="77777777" w:rsidR="005F3FCF" w:rsidRPr="00592656" w:rsidRDefault="005F3FCF" w:rsidP="00C91F30">
    <w:pPr>
      <w:spacing w:line="360" w:lineRule="auto"/>
      <w:ind w:right="360"/>
      <w:rPr>
        <w:rFonts w:ascii="Calibri" w:hAnsi="Calibri" w:cs="Calibri"/>
        <w:color w:val="404040"/>
        <w:szCs w:val="20"/>
      </w:rPr>
    </w:pPr>
  </w:p>
  <w:p w14:paraId="50ADAF3D" w14:textId="77777777" w:rsidR="005F3FCF" w:rsidRDefault="005F3FCF" w:rsidP="00C91F30">
    <w:pPr>
      <w:spacing w:line="360" w:lineRule="auto"/>
      <w:ind w:right="360"/>
      <w:rPr>
        <w:rFonts w:ascii="Calibri" w:hAnsi="Calibri" w:cs="Calibri"/>
        <w:color w:val="404040"/>
        <w:szCs w:val="20"/>
      </w:rPr>
    </w:pPr>
    <w:r>
      <w:rPr>
        <w:rFonts w:ascii="Calibri" w:hAnsi="Calibri" w:cs="Calibri"/>
        <w:color w:val="404040"/>
        <w:szCs w:val="20"/>
      </w:rPr>
      <w:t xml:space="preserve">Additionally, the HASLC has heavily pursued funding opportunities for new affordable housing developments over the past year. Projects currently in development include a permanent supportive housing complex with an onsite clinic and 100 units for chronically homeless individuals, a unique housing complex of 54 units created in partnership with the Urban Indian Center, a local nonprofit, designed to target the unique needs of the low-income Native American homeless population, and an 83 unit building, designed with the Asian Association of Utah, projected to serve homeless refugee and immigrant households. </w:t>
    </w:r>
  </w:p>
  <w:p w14:paraId="3228A947" w14:textId="77777777" w:rsidR="005F3FCF" w:rsidRDefault="005F3FCF" w:rsidP="00C91F30">
    <w:pPr>
      <w:spacing w:line="360" w:lineRule="auto"/>
      <w:ind w:right="360"/>
      <w:rPr>
        <w:rFonts w:ascii="Calibri" w:hAnsi="Calibri" w:cs="Calibri"/>
        <w:color w:val="404040"/>
        <w:szCs w:val="20"/>
      </w:rPr>
    </w:pPr>
  </w:p>
  <w:p w14:paraId="5CF2D4C5" w14:textId="77777777" w:rsidR="005F3FCF" w:rsidRPr="00DD16E4" w:rsidRDefault="005F3FCF" w:rsidP="00C91F30">
    <w:pPr>
      <w:spacing w:line="360" w:lineRule="auto"/>
      <w:ind w:right="360"/>
      <w:rPr>
        <w:rFonts w:ascii="Calibri" w:hAnsi="Calibri" w:cs="Calibri"/>
        <w:color w:val="404040"/>
        <w:szCs w:val="20"/>
      </w:rPr>
    </w:pPr>
    <w:r>
      <w:rPr>
        <w:rFonts w:ascii="Calibri" w:hAnsi="Calibri" w:cs="Calibri"/>
        <w:color w:val="404040"/>
        <w:szCs w:val="20"/>
      </w:rPr>
      <w:t xml:space="preserve">During the program year, the Housing Authority of the County of Salt Lake opened a 60 unit transit-oriented affordable housing complex for persons with disabilities and chronically homeless individuals. The Housing Authority of the County of Salt Lake is in the process of securing funding for a 50 unit complex that will serve homeless refugee and immigrant families with larger household sizes. This project is a partnership between the County Housing Authority and the International Rescue Committee in Salt Lake City and is expected to be completed within the next three years. </w:t>
    </w:r>
  </w:p>
  <w:p w14:paraId="6AD96A72" w14:textId="77777777" w:rsidR="005F3FCF" w:rsidRPr="005F3FCF" w:rsidRDefault="005F3FCF" w:rsidP="00C91F30">
    <w:pPr>
      <w:spacing w:line="360" w:lineRule="auto"/>
      <w:ind w:right="360"/>
      <w:rPr>
        <w:rFonts w:ascii="Calibri" w:hAnsi="Calibri" w:cs="Calibri"/>
        <w:color w:val="404040"/>
        <w:szCs w:val="20"/>
      </w:rPr>
    </w:pPr>
  </w:p>
  <w:p w14:paraId="31D5924C" w14:textId="77777777" w:rsidR="005F3FCF" w:rsidRPr="005F3FCF" w:rsidRDefault="005F3FCF" w:rsidP="005F3FCF">
    <w:pPr>
      <w:spacing w:line="360" w:lineRule="auto"/>
      <w:ind w:right="360"/>
      <w:rPr>
        <w:rFonts w:ascii="Calibri" w:hAnsi="Calibri" w:cs="Calibri"/>
        <w:color w:val="404040"/>
        <w:szCs w:val="20"/>
      </w:rPr>
    </w:pPr>
    <w:r w:rsidRPr="005F3FCF">
      <w:rPr>
        <w:rFonts w:ascii="Calibri" w:hAnsi="Calibri" w:cs="Calibri"/>
        <w:color w:val="404040"/>
        <w:szCs w:val="20"/>
      </w:rPr>
      <w:t>Payment in Lieu of Taxes:</w:t>
    </w:r>
  </w:p>
  <w:p w14:paraId="695A4340" w14:textId="77777777" w:rsidR="005F3FCF" w:rsidRDefault="005F3FCF" w:rsidP="005F3FCF">
    <w:pPr>
      <w:spacing w:line="360" w:lineRule="auto"/>
      <w:ind w:right="360"/>
      <w:rPr>
        <w:rFonts w:ascii="Calibri" w:hAnsi="Calibri" w:cs="Arial"/>
        <w:color w:val="404040"/>
      </w:rPr>
    </w:pPr>
    <w:r w:rsidRPr="005F3FCF">
      <w:rPr>
        <w:rFonts w:ascii="Calibri" w:hAnsi="Calibri" w:cs="Calibri"/>
        <w:color w:val="404040"/>
        <w:szCs w:val="20"/>
      </w:rPr>
      <w:t xml:space="preserve">The City provides </w:t>
    </w:r>
    <w:r>
      <w:rPr>
        <w:rFonts w:ascii="Calibri" w:hAnsi="Calibri" w:cs="Arial"/>
        <w:color w:val="404040"/>
      </w:rPr>
      <w:t xml:space="preserve">support to the Housing Authority through the Housing Authority Payment in Lieu of Taxes (PILOT) funds it pays. This contribution supports the Homeless Programs administered by the HASLC. These programs include Sunrise Metro Apartments, a permanent supportive housing complex for chronically homeless individuals, Valor House, a transitional housing complex for homeless veterans with extensive supportive services provided by the local Department of Veterans Affairs, and Freedom Landing and Cedar Crest, two properties for homeless or formerly homeless veterans. </w:t>
    </w:r>
  </w:p>
  <w:p w14:paraId="46D2DFB1" w14:textId="77777777" w:rsidR="005F3FCF" w:rsidRPr="005F3FCF" w:rsidRDefault="005F3FCF" w:rsidP="005F3FCF">
    <w:pPr>
      <w:spacing w:line="360" w:lineRule="auto"/>
      <w:ind w:right="360"/>
      <w:rPr>
        <w:rFonts w:ascii="Calibri" w:hAnsi="Calibri" w:cs="Calibri"/>
        <w:color w:val="404040"/>
        <w:szCs w:val="20"/>
      </w:rPr>
    </w:pPr>
  </w:p>
  <w:p w14:paraId="22DC634B" w14:textId="77777777" w:rsidR="005F3FCF" w:rsidRPr="005F3FCF" w:rsidRDefault="005F3FCF" w:rsidP="00C91F30">
    <w:pPr>
      <w:spacing w:line="360" w:lineRule="auto"/>
      <w:ind w:right="360"/>
      <w:rPr>
        <w:rFonts w:ascii="Calibri" w:hAnsi="Calibri" w:cs="Calibri"/>
        <w:color w:val="404040"/>
        <w:szCs w:val="20"/>
      </w:rPr>
    </w:pPr>
    <w:r w:rsidRPr="005F3FCF">
      <w:rPr>
        <w:rFonts w:ascii="Calibri" w:hAnsi="Calibri" w:cs="Calibri"/>
        <w:color w:val="404040"/>
        <w:szCs w:val="20"/>
      </w:rPr>
      <w:t xml:space="preserve">Actions taken to encourage public housing residents to become more involved in management and participate in homeownership </w:t>
    </w:r>
  </w:p>
  <w:p w14:paraId="7BD9ED7D" w14:textId="77777777" w:rsidR="005F3FCF" w:rsidRDefault="005F3FCF" w:rsidP="00C91F30">
    <w:pPr>
      <w:spacing w:line="360" w:lineRule="auto"/>
      <w:ind w:right="360"/>
      <w:rPr>
        <w:rFonts w:ascii="Calibri" w:hAnsi="Calibri" w:cs="Arial"/>
        <w:color w:val="404040"/>
      </w:rPr>
    </w:pPr>
    <w:r w:rsidRPr="005F3FCF">
      <w:rPr>
        <w:rFonts w:ascii="Calibri" w:hAnsi="Calibri" w:cs="Calibri"/>
        <w:color w:val="404040"/>
        <w:szCs w:val="20"/>
      </w:rPr>
      <w:t xml:space="preserve">The City and County </w:t>
    </w:r>
    <w:r>
      <w:rPr>
        <w:rFonts w:ascii="Calibri" w:hAnsi="Calibri" w:cs="Arial"/>
        <w:color w:val="404040"/>
      </w:rPr>
      <w:t>Housing Authorities provide opportunities to tenant residents to provide feedback and suggestions to enhance how management impacts residents. Each organization has resident advisory boards for select housing projects and for the overall organization. Meetings are held on a regular basis to allow residents to describe their experiences in housing and have a healthy dialogue with management regarding unmet needs and service improvements.</w:t>
    </w:r>
  </w:p>
  <w:p w14:paraId="7278CBEB" w14:textId="77777777" w:rsidR="005F3FCF" w:rsidRPr="005F3FCF" w:rsidRDefault="005F3FCF" w:rsidP="00C91F30">
    <w:pPr>
      <w:spacing w:line="360" w:lineRule="auto"/>
      <w:ind w:right="360"/>
      <w:rPr>
        <w:rFonts w:ascii="Calibri" w:hAnsi="Calibri" w:cs="Calibri"/>
        <w:color w:val="404040"/>
        <w:szCs w:val="20"/>
      </w:rPr>
    </w:pPr>
  </w:p>
  <w:p w14:paraId="1F33EBC9" w14:textId="77777777" w:rsidR="005F3FCF" w:rsidRDefault="005F3FCF" w:rsidP="00C91F30">
    <w:pPr>
      <w:spacing w:line="360" w:lineRule="auto"/>
      <w:ind w:right="360"/>
      <w:rPr>
        <w:rFonts w:ascii="Calibri" w:hAnsi="Calibri" w:cs="Arial"/>
        <w:color w:val="404040"/>
      </w:rPr>
    </w:pPr>
    <w:r w:rsidRPr="005F3FCF">
      <w:rPr>
        <w:rFonts w:ascii="Calibri" w:hAnsi="Calibri" w:cs="Calibri"/>
        <w:color w:val="404040"/>
        <w:szCs w:val="20"/>
      </w:rPr>
      <w:t xml:space="preserve">Housing case managers assess each client on an individual basis to determine </w:t>
    </w:r>
    <w:r>
      <w:rPr>
        <w:rFonts w:ascii="Calibri" w:hAnsi="Calibri" w:cs="Arial"/>
        <w:color w:val="404040"/>
      </w:rPr>
      <w:t>the best course of action regarding the client’s housing stability. Clients who are interested in home ownership and ready to move forward with a new housing opportunity are referred to community partners who provide pre-purchase home counseling. There are multiple organizations within the City that provide such counseling and other services relevant to homeownership for low-income families, such as down payment assistance, including Community Development Corporation of Utah and Neighborworks America, Salt Lake.</w:t>
    </w:r>
  </w:p>
  <w:p w14:paraId="25E949C6" w14:textId="77777777" w:rsidR="005F3FCF" w:rsidRPr="005F3FCF" w:rsidRDefault="005F3FCF" w:rsidP="00C91F30">
    <w:pPr>
      <w:spacing w:line="360" w:lineRule="auto"/>
      <w:ind w:right="360"/>
      <w:rPr>
        <w:rFonts w:ascii="Calibri" w:hAnsi="Calibri" w:cs="Calibri"/>
        <w:color w:val="404040"/>
        <w:szCs w:val="20"/>
      </w:rPr>
    </w:pPr>
  </w:p>
  <w:p w14:paraId="01BFFCE9" w14:textId="77777777" w:rsidR="005F3FCF" w:rsidRPr="00BF2DE4" w:rsidRDefault="005F3FCF" w:rsidP="00C91F30">
    <w:pPr>
      <w:spacing w:line="360" w:lineRule="auto"/>
      <w:ind w:right="360"/>
      <w:rPr>
        <w:rFonts w:ascii="Calibri" w:hAnsi="Calibri" w:cs="Calibri"/>
        <w:b/>
        <w:color w:val="404040"/>
        <w:szCs w:val="20"/>
      </w:rPr>
    </w:pPr>
    <w:r w:rsidRPr="005F3FCF">
      <w:rPr>
        <w:rFonts w:ascii="Calibri" w:hAnsi="Calibri" w:cs="Calibri"/>
        <w:color w:val="404040"/>
        <w:szCs w:val="20"/>
      </w:rPr>
      <w:t>Actions taken to provide assistance to troubled PHA’s</w:t>
    </w:r>
    <w:r w:rsidRPr="00BF2DE4">
      <w:rPr>
        <w:rFonts w:ascii="Calibri" w:hAnsi="Calibri" w:cs="Calibri"/>
        <w:b/>
        <w:color w:val="404040"/>
        <w:szCs w:val="20"/>
      </w:rPr>
      <w:t xml:space="preserve">  </w:t>
    </w:r>
  </w:p>
  <w:p w14:paraId="3D56312A" w14:textId="77777777" w:rsidR="005F3FCF" w:rsidRPr="00BA34F6" w:rsidRDefault="005F3FCF" w:rsidP="00BA34F6">
    <w:pPr>
      <w:spacing w:line="360" w:lineRule="auto"/>
      <w:ind w:right="360"/>
      <w:rPr>
        <w:rFonts w:ascii="Calibri" w:hAnsi="Calibri" w:cs="Arial"/>
        <w:color w:val="404040"/>
      </w:rPr>
    </w:pPr>
    <w:r w:rsidRPr="005F3FCF">
      <w:rPr>
        <w:rFonts w:ascii="Calibri" w:hAnsi="Calibri" w:cs="Calibri"/>
        <w:color w:val="404040"/>
        <w:szCs w:val="20"/>
      </w:rPr>
      <w:t>The</w:t>
    </w:r>
    <w:r w:rsidRPr="00BA34F6">
      <w:rPr>
        <w:rFonts w:ascii="Calibri" w:hAnsi="Calibri" w:cs="Arial"/>
        <w:color w:val="404040"/>
      </w:rPr>
      <w:t xml:space="preserve"> City works hand in hand with the local housing authorities to provide support and align priorities to ensure funding is leveraged efficiently and services offered are not duplicative. Both the Housing Authority of Salt Lake City and the Housing Authority of Salt Lake County are designated as high performers. The Housing Authority of Salt Lake City is aggressively pursuing affordable housing development projects through City, County, and low-income housing tax credit funding. HAND will continue to partner with these organizations and collaborate on affordable housing opportunities within the community.</w:t>
    </w:r>
  </w:p>
  <w:p w14:paraId="2EA8ECC8" w14:textId="77777777" w:rsidR="005F3FCF" w:rsidRPr="005F3FCF" w:rsidRDefault="005F3FCF" w:rsidP="005F3FCF">
    <w:pPr>
      <w:spacing w:line="360" w:lineRule="auto"/>
      <w:ind w:right="360"/>
      <w:rPr>
        <w:rFonts w:ascii="Calibri" w:hAnsi="Calibri" w:cs="Calibri"/>
        <w:color w:val="404040"/>
        <w:szCs w:val="20"/>
      </w:rPr>
    </w:pPr>
  </w:p>
  <w:p w14:paraId="21907AF1" w14:textId="77777777" w:rsidR="005F3FCF" w:rsidRPr="005F3FCF" w:rsidRDefault="005F3FCF" w:rsidP="005F3FCF">
    <w:pPr>
      <w:spacing w:line="360" w:lineRule="auto"/>
      <w:ind w:right="360"/>
      <w:rPr>
        <w:rFonts w:ascii="Calibri" w:hAnsi="Calibri" w:cs="Calibri"/>
        <w:color w:val="404040"/>
        <w:szCs w:val="20"/>
      </w:rPr>
    </w:pPr>
    <w:r w:rsidRPr="005F3FCF">
      <w:rPr>
        <w:rFonts w:ascii="Calibri" w:hAnsi="Calibri" w:cs="Calibri"/>
        <w:color w:val="404040"/>
        <w:szCs w:val="20"/>
      </w:rPr>
      <w:br w:type="page"/>
      <w:t>CR-35 OTHER ACTIONS – 91.220 (j-k); 91.320(i-j)</w:t>
    </w:r>
  </w:p>
  <w:p w14:paraId="3EC93190" w14:textId="77777777" w:rsidR="005F3FCF" w:rsidRPr="005F3FCF" w:rsidRDefault="005F3FCF" w:rsidP="00C91F30">
    <w:pPr>
      <w:spacing w:line="360" w:lineRule="auto"/>
      <w:ind w:right="360"/>
      <w:rPr>
        <w:rFonts w:ascii="Calibri" w:hAnsi="Calibri" w:cs="Calibri"/>
        <w:color w:val="404040"/>
        <w:szCs w:val="20"/>
      </w:rPr>
    </w:pPr>
    <w:r w:rsidRPr="005F3FCF">
      <w:rPr>
        <w:rFonts w:ascii="Calibri" w:hAnsi="Calibri" w:cs="Calibri"/>
        <w:color w:val="404040"/>
        <w:szCs w:val="20"/>
      </w:rPr>
      <w:t xml:space="preserve">Actions taken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 </w:t>
    </w:r>
  </w:p>
  <w:p w14:paraId="477F3C20" w14:textId="77777777" w:rsidR="005F3FCF" w:rsidRPr="00C91F30" w:rsidRDefault="005F3FCF" w:rsidP="005F3FCF">
    <w:pPr>
      <w:spacing w:line="360" w:lineRule="auto"/>
      <w:ind w:right="360"/>
      <w:rPr>
        <w:rFonts w:ascii="Calibri" w:hAnsi="Calibri"/>
        <w:color w:val="404040"/>
        <w:szCs w:val="20"/>
      </w:rPr>
    </w:pPr>
    <w:r w:rsidRPr="005F3FCF">
      <w:rPr>
        <w:rFonts w:ascii="Calibri" w:hAnsi="Calibri" w:cs="Calibri"/>
        <w:color w:val="404040"/>
        <w:szCs w:val="20"/>
      </w:rPr>
      <w:t xml:space="preserve">The most critical public policy barriers (direct and indirect) to </w:t>
    </w:r>
    <w:r w:rsidRPr="00C91F30">
      <w:rPr>
        <w:rFonts w:ascii="Calibri" w:hAnsi="Calibri"/>
        <w:color w:val="404040"/>
        <w:szCs w:val="20"/>
      </w:rPr>
      <w:t xml:space="preserve">the production and preservation of affordable housing include the following: </w:t>
    </w:r>
  </w:p>
  <w:p w14:paraId="77327728" w14:textId="77777777" w:rsidR="005F3FCF" w:rsidRPr="005F3FCF" w:rsidRDefault="005F3FCF" w:rsidP="005F3FCF">
    <w:pPr>
      <w:spacing w:line="360" w:lineRule="auto"/>
      <w:ind w:right="360"/>
      <w:rPr>
        <w:rFonts w:ascii="Calibri" w:hAnsi="Calibri" w:cs="Calibri"/>
        <w:color w:val="404040"/>
        <w:szCs w:val="20"/>
      </w:rPr>
    </w:pPr>
  </w:p>
  <w:p w14:paraId="66122A12" w14:textId="77777777" w:rsidR="005F3FCF" w:rsidRPr="005F3FCF" w:rsidRDefault="005F3FCF" w:rsidP="005F3FCF">
    <w:pPr>
      <w:spacing w:line="360" w:lineRule="auto"/>
      <w:ind w:right="360"/>
    </w:pPr>
    <w:r w:rsidRPr="005F3FCF">
      <w:br w:type="page"/>
    </w:r>
    <w:r w:rsidRPr="00C91F30">
      <w:rPr>
        <w:rFonts w:ascii="Calibri" w:hAnsi="Calibri" w:cs="Calibri"/>
        <w:color w:val="404040"/>
        <w:szCs w:val="20"/>
      </w:rPr>
      <w:t>Land costs</w:t>
    </w:r>
  </w:p>
  <w:p w14:paraId="2690FA14" w14:textId="77777777" w:rsidR="005F3FCF" w:rsidRPr="005F3FCF" w:rsidRDefault="005F3FCF" w:rsidP="005F3FCF">
    <w:pPr>
      <w:spacing w:line="360" w:lineRule="auto"/>
      <w:ind w:right="360"/>
      <w:rPr>
        <w:rFonts w:ascii="Calibri" w:hAnsi="Calibri" w:cs="Calibri"/>
        <w:color w:val="404040"/>
        <w:szCs w:val="20"/>
      </w:rPr>
    </w:pPr>
    <w:r w:rsidRPr="005F3FCF">
      <w:rPr>
        <w:rFonts w:ascii="Calibri" w:hAnsi="Calibri" w:cs="Calibri"/>
        <w:color w:val="404040"/>
        <w:szCs w:val="20"/>
      </w:rPr>
      <w:t>Construction costs</w:t>
    </w:r>
  </w:p>
  <w:p w14:paraId="22D695AD" w14:textId="77777777" w:rsidR="005F3FCF" w:rsidRPr="005F3FCF" w:rsidRDefault="005F3FCF" w:rsidP="005F3FCF">
    <w:pPr>
      <w:spacing w:line="360" w:lineRule="auto"/>
      <w:ind w:right="360"/>
      <w:rPr>
        <w:rFonts w:ascii="Calibri" w:hAnsi="Calibri" w:cs="Calibri"/>
        <w:color w:val="404040"/>
        <w:szCs w:val="20"/>
      </w:rPr>
    </w:pPr>
    <w:r w:rsidRPr="005F3FCF">
      <w:rPr>
        <w:rFonts w:ascii="Calibri" w:hAnsi="Calibri" w:cs="Calibri"/>
        <w:color w:val="404040"/>
        <w:szCs w:val="20"/>
      </w:rPr>
      <w:t>Development and rehabilitation financing</w:t>
    </w:r>
  </w:p>
  <w:p w14:paraId="1D38E178" w14:textId="77777777" w:rsidR="005F3FCF" w:rsidRPr="005F3FCF" w:rsidRDefault="005F3FCF" w:rsidP="005F3FCF">
    <w:pPr>
      <w:spacing w:line="360" w:lineRule="auto"/>
      <w:ind w:right="360"/>
      <w:rPr>
        <w:rFonts w:ascii="Calibri" w:hAnsi="Calibri" w:cs="Calibri"/>
        <w:color w:val="404040"/>
        <w:szCs w:val="20"/>
      </w:rPr>
    </w:pPr>
    <w:r w:rsidRPr="005F3FCF">
      <w:rPr>
        <w:rFonts w:ascii="Calibri" w:hAnsi="Calibri" w:cs="Calibri"/>
        <w:color w:val="404040"/>
        <w:szCs w:val="20"/>
      </w:rPr>
      <w:t>Housing rehabilitation complexities</w:t>
    </w:r>
  </w:p>
  <w:p w14:paraId="2A2E8758" w14:textId="77777777" w:rsidR="005F3FCF" w:rsidRPr="005F3FCF" w:rsidRDefault="005F3FCF" w:rsidP="005F3FCF">
    <w:pPr>
      <w:spacing w:line="360" w:lineRule="auto"/>
      <w:ind w:right="360"/>
      <w:rPr>
        <w:rFonts w:ascii="Calibri" w:hAnsi="Calibri" w:cs="Calibri"/>
        <w:b/>
        <w:color w:val="404040"/>
        <w:szCs w:val="20"/>
      </w:rPr>
    </w:pPr>
    <w:r w:rsidRPr="005F3FCF">
      <w:rPr>
        <w:rFonts w:ascii="Calibri" w:hAnsi="Calibri" w:cs="Calibri"/>
        <w:color w:val="404040"/>
        <w:szCs w:val="20"/>
      </w:rPr>
      <w:t>Foreclosures</w:t>
    </w:r>
    <w:r w:rsidRPr="005F3FCF">
      <w:rPr>
        <w:rFonts w:ascii="Calibri" w:hAnsi="Calibri" w:cs="Calibri"/>
        <w:b/>
        <w:color w:val="404040"/>
        <w:szCs w:val="20"/>
      </w:rPr>
      <w:t xml:space="preserve"> and loan modifications</w:t>
    </w:r>
  </w:p>
  <w:p w14:paraId="560B1123" w14:textId="77777777" w:rsidR="005F3FCF" w:rsidRPr="005F3FCF" w:rsidRDefault="005F3FCF" w:rsidP="005F3FCF">
    <w:pPr>
      <w:spacing w:line="360" w:lineRule="auto"/>
      <w:ind w:right="360"/>
      <w:rPr>
        <w:rFonts w:ascii="Calibri" w:hAnsi="Calibri" w:cs="Calibri"/>
        <w:b/>
        <w:color w:val="404040"/>
        <w:szCs w:val="20"/>
      </w:rPr>
    </w:pPr>
    <w:r w:rsidRPr="005F3FCF">
      <w:rPr>
        <w:rFonts w:ascii="Calibri" w:hAnsi="Calibri" w:cs="Calibri"/>
        <w:b/>
        <w:color w:val="404040"/>
        <w:szCs w:val="20"/>
      </w:rPr>
      <w:t>Neighborhood market conditions</w:t>
    </w:r>
  </w:p>
  <w:p w14:paraId="019D4136" w14:textId="77777777" w:rsidR="005F3FCF" w:rsidRPr="005F3FCF" w:rsidRDefault="005F3FCF" w:rsidP="005F3FCF">
    <w:pPr>
      <w:spacing w:line="360" w:lineRule="auto"/>
      <w:ind w:right="360"/>
      <w:rPr>
        <w:rFonts w:ascii="Calibri" w:hAnsi="Calibri" w:cs="Calibri"/>
        <w:b/>
        <w:color w:val="404040"/>
        <w:szCs w:val="20"/>
      </w:rPr>
    </w:pPr>
    <w:r w:rsidRPr="005F3FCF">
      <w:rPr>
        <w:rFonts w:ascii="Calibri" w:hAnsi="Calibri" w:cs="Calibri"/>
        <w:b/>
        <w:color w:val="404040"/>
        <w:szCs w:val="20"/>
      </w:rPr>
      <w:t>Economic conditions</w:t>
    </w:r>
  </w:p>
  <w:p w14:paraId="08DB71C3" w14:textId="77777777" w:rsidR="005F3FCF" w:rsidRPr="005F3FCF" w:rsidRDefault="005F3FCF" w:rsidP="005F3FCF">
    <w:pPr>
      <w:spacing w:line="360" w:lineRule="auto"/>
      <w:ind w:right="360"/>
      <w:rPr>
        <w:rFonts w:ascii="Calibri" w:hAnsi="Calibri" w:cs="Calibri"/>
        <w:b/>
        <w:color w:val="404040"/>
        <w:szCs w:val="20"/>
      </w:rPr>
    </w:pPr>
    <w:r w:rsidRPr="005F3FCF">
      <w:rPr>
        <w:rFonts w:ascii="Calibri" w:hAnsi="Calibri" w:cs="Calibri"/>
        <w:b/>
        <w:color w:val="404040"/>
        <w:szCs w:val="20"/>
      </w:rPr>
      <w:t>Land use regulations</w:t>
    </w:r>
  </w:p>
  <w:p w14:paraId="65A801B5" w14:textId="77777777" w:rsidR="005F3FCF" w:rsidRPr="005F3FCF" w:rsidRDefault="005F3FCF" w:rsidP="005F3FCF">
    <w:pPr>
      <w:spacing w:line="360" w:lineRule="auto"/>
      <w:ind w:right="360"/>
      <w:rPr>
        <w:rFonts w:ascii="Calibri" w:hAnsi="Calibri" w:cs="Calibri"/>
        <w:b/>
        <w:color w:val="404040"/>
        <w:szCs w:val="20"/>
      </w:rPr>
    </w:pPr>
    <w:r w:rsidRPr="005F3FCF">
      <w:rPr>
        <w:rFonts w:ascii="Calibri" w:hAnsi="Calibri" w:cs="Calibri"/>
        <w:b/>
        <w:color w:val="404040"/>
        <w:szCs w:val="20"/>
      </w:rPr>
      <w:t>Development fees and assessments</w:t>
    </w:r>
  </w:p>
  <w:p w14:paraId="7956671D" w14:textId="77777777" w:rsidR="005F3FCF" w:rsidRPr="005F3FCF" w:rsidRDefault="005F3FCF" w:rsidP="005F3FCF">
    <w:pPr>
      <w:spacing w:line="360" w:lineRule="auto"/>
      <w:ind w:right="360"/>
      <w:rPr>
        <w:rFonts w:ascii="Calibri" w:hAnsi="Calibri" w:cs="Calibri"/>
        <w:b/>
        <w:color w:val="404040"/>
        <w:szCs w:val="20"/>
      </w:rPr>
    </w:pPr>
    <w:r w:rsidRPr="005F3FCF">
      <w:rPr>
        <w:rFonts w:ascii="Calibri" w:hAnsi="Calibri" w:cs="Calibri"/>
        <w:b/>
        <w:color w:val="404040"/>
        <w:szCs w:val="20"/>
      </w:rPr>
      <w:t>Permit processing procedures</w:t>
    </w:r>
  </w:p>
  <w:p w14:paraId="02BEAA57" w14:textId="77777777" w:rsidR="005F3FCF" w:rsidRPr="005F3FCF" w:rsidRDefault="005F3FCF" w:rsidP="005F3FCF">
    <w:pPr>
      <w:spacing w:line="360" w:lineRule="auto"/>
      <w:ind w:right="360"/>
      <w:rPr>
        <w:rFonts w:ascii="Calibri" w:hAnsi="Calibri" w:cs="Calibri"/>
        <w:b/>
        <w:color w:val="404040"/>
        <w:szCs w:val="20"/>
      </w:rPr>
    </w:pPr>
    <w:r w:rsidRPr="005F3FCF">
      <w:rPr>
        <w:rFonts w:ascii="Calibri" w:hAnsi="Calibri" w:cs="Calibri"/>
        <w:b/>
        <w:color w:val="404040"/>
        <w:szCs w:val="20"/>
      </w:rPr>
      <w:t>Lack of zoning and development incentives</w:t>
    </w:r>
  </w:p>
  <w:p w14:paraId="6799872C" w14:textId="77777777" w:rsidR="005F3FCF" w:rsidRPr="005F3FCF" w:rsidRDefault="005F3FCF" w:rsidP="005F3FCF">
    <w:pPr>
      <w:spacing w:line="360" w:lineRule="auto"/>
      <w:ind w:right="360"/>
    </w:pPr>
    <w:r w:rsidRPr="005F3FCF">
      <w:br w:type="page"/>
    </w:r>
  </w:p>
  <w:p w14:paraId="3F8B988F" w14:textId="77777777" w:rsidR="005F3FCF" w:rsidRPr="005F3FCF" w:rsidRDefault="005F3FCF" w:rsidP="005F3FCF">
    <w:pPr>
      <w:spacing w:line="360" w:lineRule="auto"/>
      <w:ind w:right="360"/>
      <w:rPr>
        <w:rFonts w:ascii="Calibri" w:hAnsi="Calibri"/>
        <w:i/>
        <w:color w:val="404040"/>
        <w:sz w:val="18"/>
        <w:szCs w:val="18"/>
      </w:rPr>
    </w:pPr>
    <w:r w:rsidRPr="005F3FCF">
      <w:rPr>
        <w:rFonts w:ascii="Calibri" w:hAnsi="Calibri" w:cs="Calibri"/>
        <w:color w:val="404040"/>
        <w:szCs w:val="20"/>
      </w:rPr>
      <w:t>While these continue to be, and will</w:t>
    </w:r>
    <w:r w:rsidRPr="005F3FCF">
      <w:rPr>
        <w:rFonts w:ascii="Calibri" w:hAnsi="Calibri"/>
        <w:i/>
        <w:color w:val="404040"/>
        <w:sz w:val="18"/>
        <w:szCs w:val="18"/>
      </w:rPr>
      <w:t xml:space="preserve"> continue to be barriers, the City is committed to finding ways to address these issues to the extent possible. </w:t>
    </w:r>
  </w:p>
  <w:p w14:paraId="69686D34" w14:textId="77777777" w:rsidR="005F3FCF" w:rsidRPr="005F3FCF" w:rsidRDefault="005F3FCF" w:rsidP="005F3FCF">
    <w:pPr>
      <w:spacing w:line="360" w:lineRule="auto"/>
      <w:ind w:right="360"/>
      <w:rPr>
        <w:rFonts w:ascii="Calibri" w:hAnsi="Calibri"/>
        <w:i/>
        <w:color w:val="404040"/>
        <w:sz w:val="18"/>
        <w:szCs w:val="18"/>
      </w:rPr>
    </w:pPr>
  </w:p>
  <w:p w14:paraId="66325A20" w14:textId="77777777" w:rsidR="005F3FCF" w:rsidRPr="00C91F30" w:rsidRDefault="005F3FCF" w:rsidP="005F3FCF">
    <w:pPr>
      <w:spacing w:line="360" w:lineRule="auto"/>
      <w:ind w:right="360"/>
      <w:rPr>
        <w:rFonts w:ascii="Calibri" w:hAnsi="Calibri"/>
        <w:color w:val="404040"/>
        <w:szCs w:val="20"/>
      </w:rPr>
    </w:pPr>
    <w:r w:rsidRPr="005F3FCF">
      <w:rPr>
        <w:rFonts w:ascii="Calibri" w:hAnsi="Calibri"/>
        <w:i/>
        <w:color w:val="404040"/>
        <w:sz w:val="18"/>
        <w:szCs w:val="18"/>
      </w:rPr>
      <w:t xml:space="preserve">Efforts for the program year included </w:t>
    </w:r>
    <w:r w:rsidRPr="00C91F30">
      <w:rPr>
        <w:rFonts w:ascii="Calibri" w:eastAsia="Calibri" w:hAnsi="Calibri" w:cs="Verdana"/>
        <w:bCs/>
        <w:color w:val="404040"/>
        <w:szCs w:val="20"/>
      </w:rPr>
      <w:t xml:space="preserve">working to reduce barriers to affordable housing through the following planning </w:t>
    </w:r>
    <w:r w:rsidRPr="00C91F30">
      <w:rPr>
        <w:rFonts w:ascii="Calibri" w:hAnsi="Calibri" w:cs="Calibri Light"/>
        <w:color w:val="404040"/>
        <w:szCs w:val="20"/>
      </w:rPr>
      <w:t>efforts and initiatives:</w:t>
    </w:r>
  </w:p>
  <w:p w14:paraId="34B86F98" w14:textId="77777777" w:rsidR="005F3FCF" w:rsidRPr="00C91F30" w:rsidRDefault="005F3FCF" w:rsidP="005F3FCF">
    <w:pPr>
      <w:spacing w:line="360" w:lineRule="auto"/>
      <w:ind w:right="360"/>
      <w:rPr>
        <w:rFonts w:ascii="Calibri" w:hAnsi="Calibri" w:cs="Calibri Light"/>
        <w:color w:val="404040"/>
        <w:szCs w:val="20"/>
      </w:rPr>
    </w:pPr>
    <w:r w:rsidRPr="005F3FCF">
      <w:rPr>
        <w:rFonts w:ascii="Calibri" w:hAnsi="Calibri" w:cs="Calibri"/>
        <w:color w:val="404040"/>
        <w:szCs w:val="20"/>
      </w:rPr>
      <w:t>Citywide</w:t>
    </w:r>
    <w:r w:rsidRPr="00C91F30">
      <w:rPr>
        <w:rFonts w:ascii="Calibri" w:hAnsi="Calibri" w:cs="Calibri Light"/>
        <w:color w:val="404040"/>
        <w:szCs w:val="20"/>
      </w:rPr>
      <w:t xml:space="preserve"> Housing Plan: The trends outlined are not new to city officials. This represents the latest data on a growing crisis of housing affordability and choice in Salt Lake. HAND has been focused on this trend for the past several years and has been aligning its federal resources with other City funds to combat the compounding factors affecting residents at all income levels:</w:t>
    </w:r>
  </w:p>
  <w:p w14:paraId="229DD843" w14:textId="77777777" w:rsidR="005F3FCF" w:rsidRPr="005F3FCF" w:rsidRDefault="005F3FCF" w:rsidP="005F3FCF">
    <w:pPr>
      <w:spacing w:line="360" w:lineRule="auto"/>
      <w:ind w:right="360"/>
      <w:rPr>
        <w:rFonts w:ascii="Calibri" w:hAnsi="Calibri" w:cs="Calibri"/>
        <w:color w:val="404040"/>
        <w:szCs w:val="20"/>
      </w:rPr>
    </w:pPr>
    <w:r w:rsidRPr="005F3FCF">
      <w:rPr>
        <w:rFonts w:ascii="Calibri" w:hAnsi="Calibri" w:cs="Calibri"/>
        <w:color w:val="404040"/>
        <w:szCs w:val="20"/>
      </w:rPr>
      <w:t>Rapid home price increases,</w:t>
    </w:r>
  </w:p>
  <w:p w14:paraId="1C7E451A" w14:textId="77777777" w:rsidR="005F3FCF" w:rsidRPr="00C91F30" w:rsidRDefault="005F3FCF" w:rsidP="005F3FCF">
    <w:pPr>
      <w:spacing w:line="360" w:lineRule="auto"/>
      <w:ind w:right="360"/>
      <w:rPr>
        <w:rFonts w:ascii="Calibri" w:hAnsi="Calibri" w:cs="Calibri Light"/>
        <w:color w:val="404040"/>
        <w:szCs w:val="20"/>
      </w:rPr>
    </w:pPr>
    <w:r w:rsidRPr="005F3FCF">
      <w:rPr>
        <w:rFonts w:ascii="Calibri" w:hAnsi="Calibri" w:cs="Calibri"/>
        <w:color w:val="404040"/>
        <w:szCs w:val="20"/>
      </w:rPr>
      <w:t>Stagnant</w:t>
    </w:r>
    <w:r w:rsidRPr="00C91F30">
      <w:rPr>
        <w:rFonts w:ascii="Calibri" w:hAnsi="Calibri" w:cs="Calibri Light"/>
        <w:color w:val="404040"/>
        <w:szCs w:val="20"/>
      </w:rPr>
      <w:t xml:space="preserve"> wages, and</w:t>
    </w:r>
  </w:p>
  <w:p w14:paraId="332DCA37" w14:textId="77777777" w:rsidR="005F3FCF" w:rsidRPr="00C91F30" w:rsidRDefault="005F3FCF" w:rsidP="005F3FCF">
    <w:pPr>
      <w:pStyle w:val="Title"/>
      <w:ind w:right="360"/>
      <w:rPr>
        <w:rFonts w:ascii="Calibri" w:hAnsi="Calibri" w:cs="Calibri Light"/>
        <w:color w:val="404040"/>
        <w:szCs w:val="20"/>
      </w:rPr>
    </w:pPr>
    <w:r w:rsidRPr="00C91F30">
      <w:rPr>
        <w:rFonts w:ascii="Calibri" w:hAnsi="Calibri" w:cs="Calibri Light"/>
        <w:color w:val="404040"/>
        <w:szCs w:val="20"/>
      </w:rPr>
      <w:t>Historically high land value which is driving an increase in rental rates.</w:t>
    </w:r>
  </w:p>
  <w:p w14:paraId="7EB37CAA" w14:textId="77777777" w:rsidR="005F3FCF" w:rsidRPr="00C91F30" w:rsidRDefault="005F3FCF" w:rsidP="00C91F30">
    <w:pPr>
      <w:spacing w:line="360" w:lineRule="auto"/>
      <w:ind w:left="720"/>
      <w:contextualSpacing/>
      <w:rPr>
        <w:rFonts w:ascii="Calibri" w:hAnsi="Calibri" w:cs="Calibri Light"/>
        <w:color w:val="404040"/>
        <w:szCs w:val="20"/>
      </w:rPr>
    </w:pPr>
  </w:p>
  <w:p w14:paraId="46C27A0C" w14:textId="77777777" w:rsidR="005F3FCF" w:rsidRPr="00C91F30" w:rsidRDefault="005F3FCF" w:rsidP="00C91F30">
    <w:pPr>
      <w:spacing w:line="360" w:lineRule="auto"/>
      <w:rPr>
        <w:rFonts w:ascii="Calibri" w:hAnsi="Calibri" w:cs="Calibri Light"/>
        <w:color w:val="404040"/>
        <w:szCs w:val="20"/>
      </w:rPr>
    </w:pPr>
    <w:r w:rsidRPr="00C91F30">
      <w:rPr>
        <w:rFonts w:ascii="Calibri" w:hAnsi="Calibri" w:cs="Calibri Light"/>
        <w:color w:val="404040"/>
        <w:szCs w:val="20"/>
      </w:rPr>
      <w:t xml:space="preserve">HAND continues to implement the citywide housing master plan, </w:t>
    </w:r>
    <w:r w:rsidRPr="00C91F30">
      <w:rPr>
        <w:rFonts w:ascii="Calibri" w:hAnsi="Calibri" w:cs="Calibri Light"/>
        <w:i/>
        <w:iCs/>
        <w:color w:val="404040"/>
        <w:szCs w:val="20"/>
      </w:rPr>
      <w:t>Growing SLC</w:t>
    </w:r>
    <w:r w:rsidRPr="00C91F30">
      <w:rPr>
        <w:rFonts w:ascii="Calibri" w:hAnsi="Calibri" w:cs="Calibri Light"/>
        <w:color w:val="404040"/>
        <w:szCs w:val="20"/>
      </w:rPr>
      <w:t xml:space="preserve">: A Five Year Housing Plan, 2018-2022. The plan outlines a thoughtful strategy for ensuring long-term affordability and preservation that continues to enhance neighborhoods, while balancing their unique needs. </w:t>
    </w:r>
    <w:r w:rsidRPr="00C91F30">
      <w:rPr>
        <w:rFonts w:ascii="Calibri" w:hAnsi="Calibri" w:cs="Calibri Light"/>
        <w:i/>
        <w:iCs/>
        <w:color w:val="404040"/>
        <w:szCs w:val="20"/>
      </w:rPr>
      <w:t xml:space="preserve">Growing SLC </w:t>
    </w:r>
    <w:r w:rsidRPr="00C91F30">
      <w:rPr>
        <w:rFonts w:ascii="Calibri" w:hAnsi="Calibri" w:cs="Calibri Light"/>
        <w:color w:val="404040"/>
        <w:szCs w:val="20"/>
      </w:rPr>
      <w:t>lays out a number of comprehensive solutions and policies to address the lack (an estimated 7,500 units) of affordable housing for households earning 40% or below the Area Median Income. To date, HAND has completed the following housing plan goals:</w:t>
    </w:r>
  </w:p>
  <w:p w14:paraId="2DD0F49A" w14:textId="77777777" w:rsidR="005F3FCF" w:rsidRPr="00C91F30" w:rsidRDefault="005F3FCF" w:rsidP="00C91F30">
    <w:pPr>
      <w:numPr>
        <w:ilvl w:val="0"/>
        <w:numId w:val="36"/>
      </w:numPr>
      <w:spacing w:line="360" w:lineRule="auto"/>
      <w:contextualSpacing/>
      <w:rPr>
        <w:rFonts w:ascii="Calibri" w:hAnsi="Calibri" w:cs="Calibri Light"/>
        <w:color w:val="404040"/>
        <w:szCs w:val="20"/>
      </w:rPr>
    </w:pPr>
    <w:r w:rsidRPr="00C91F30">
      <w:rPr>
        <w:rFonts w:ascii="Calibri" w:hAnsi="Calibri" w:cs="Calibri Light"/>
        <w:color w:val="404040"/>
        <w:szCs w:val="20"/>
      </w:rPr>
      <w:t xml:space="preserve">Modifications to Transit Station Area zoning to increase points for affordable housing developers, which will result </w:t>
    </w:r>
    <w:r>
      <w:rPr>
        <w:rFonts w:ascii="Calibri" w:hAnsi="Calibri" w:cs="Calibri Light"/>
        <w:color w:val="404040"/>
        <w:szCs w:val="20"/>
      </w:rPr>
      <w:t xml:space="preserve">in more affordable housing developments occurring near transit station areas. </w:t>
    </w:r>
  </w:p>
  <w:p w14:paraId="44449468" w14:textId="77777777" w:rsidR="005F3FCF" w:rsidRPr="00C91F30" w:rsidRDefault="005F3FCF" w:rsidP="00C91F30">
    <w:pPr>
      <w:numPr>
        <w:ilvl w:val="0"/>
        <w:numId w:val="36"/>
      </w:numPr>
      <w:spacing w:line="360" w:lineRule="auto"/>
      <w:contextualSpacing/>
      <w:rPr>
        <w:rFonts w:ascii="Calibri" w:hAnsi="Calibri" w:cs="Calibri Light"/>
        <w:color w:val="404040"/>
        <w:szCs w:val="20"/>
      </w:rPr>
    </w:pPr>
    <w:r w:rsidRPr="00C91F30">
      <w:rPr>
        <w:rFonts w:ascii="Calibri" w:hAnsi="Calibri" w:cs="Calibri Light"/>
        <w:color w:val="404040"/>
        <w:szCs w:val="20"/>
      </w:rPr>
      <w:t>A Blue Ribbon Commission was convened to identify funding strategies and partnerships.</w:t>
    </w:r>
  </w:p>
  <w:p w14:paraId="15FE392B" w14:textId="77777777" w:rsidR="005F3FCF" w:rsidRPr="00C91F30" w:rsidRDefault="005F3FCF" w:rsidP="00C91F30">
    <w:pPr>
      <w:numPr>
        <w:ilvl w:val="0"/>
        <w:numId w:val="36"/>
      </w:numPr>
      <w:spacing w:line="360" w:lineRule="auto"/>
      <w:contextualSpacing/>
      <w:rPr>
        <w:rFonts w:ascii="Calibri" w:hAnsi="Calibri" w:cs="Calibri Light"/>
        <w:color w:val="404040"/>
        <w:szCs w:val="20"/>
      </w:rPr>
    </w:pPr>
    <w:r w:rsidRPr="00C91F30">
      <w:rPr>
        <w:rFonts w:ascii="Calibri" w:hAnsi="Calibri" w:cs="Calibri Light"/>
        <w:color w:val="404040"/>
        <w:szCs w:val="20"/>
      </w:rPr>
      <w:t>A long-term, sustainable affordable housing funding source was secured in the form of the Sales Tax Increase.</w:t>
    </w:r>
  </w:p>
  <w:p w14:paraId="54E3E2DD" w14:textId="77777777" w:rsidR="005F3FCF" w:rsidRPr="00C91F30" w:rsidRDefault="005F3FCF" w:rsidP="00C91F30">
    <w:pPr>
      <w:numPr>
        <w:ilvl w:val="0"/>
        <w:numId w:val="36"/>
      </w:numPr>
      <w:spacing w:line="360" w:lineRule="auto"/>
      <w:contextualSpacing/>
      <w:rPr>
        <w:rFonts w:ascii="Calibri" w:hAnsi="Calibri" w:cs="Calibri Light"/>
        <w:color w:val="404040"/>
        <w:szCs w:val="20"/>
      </w:rPr>
    </w:pPr>
    <w:r w:rsidRPr="00C91F30">
      <w:rPr>
        <w:rFonts w:ascii="Calibri" w:hAnsi="Calibri" w:cs="Calibri Light"/>
        <w:color w:val="404040"/>
        <w:szCs w:val="20"/>
      </w:rPr>
      <w:t>The creation of an Affordable Housing Community Land Trust that has already secured six owner-occupied homes.</w:t>
    </w:r>
  </w:p>
  <w:p w14:paraId="4583139F" w14:textId="77777777" w:rsidR="005F3FCF" w:rsidRPr="00C91F30" w:rsidRDefault="005F3FCF" w:rsidP="00C91F30">
    <w:pPr>
      <w:numPr>
        <w:ilvl w:val="0"/>
        <w:numId w:val="36"/>
      </w:numPr>
      <w:spacing w:line="360" w:lineRule="auto"/>
      <w:contextualSpacing/>
      <w:rPr>
        <w:rFonts w:ascii="Calibri" w:hAnsi="Calibri" w:cs="Calibri Light"/>
        <w:color w:val="404040"/>
        <w:szCs w:val="20"/>
      </w:rPr>
    </w:pPr>
    <w:r w:rsidRPr="00C91F30">
      <w:rPr>
        <w:rFonts w:ascii="Calibri" w:hAnsi="Calibri" w:cs="Calibri Light"/>
        <w:color w:val="404040"/>
        <w:szCs w:val="20"/>
      </w:rPr>
      <w:t>Launched an Affordable Housing Renovation Pilot Program for landlords to improve the quality of affordable rental units.</w:t>
    </w:r>
  </w:p>
  <w:p w14:paraId="5094A4B6" w14:textId="77777777" w:rsidR="005F3FCF" w:rsidRPr="00C91F30" w:rsidRDefault="005F3FCF" w:rsidP="00C91F30">
    <w:pPr>
      <w:numPr>
        <w:ilvl w:val="0"/>
        <w:numId w:val="36"/>
      </w:numPr>
      <w:spacing w:line="360" w:lineRule="auto"/>
      <w:contextualSpacing/>
      <w:rPr>
        <w:rFonts w:ascii="Calibri" w:hAnsi="Calibri" w:cs="Calibri Light"/>
        <w:color w:val="404040"/>
        <w:szCs w:val="20"/>
      </w:rPr>
    </w:pPr>
    <w:r w:rsidRPr="00C91F30">
      <w:rPr>
        <w:rFonts w:ascii="Calibri" w:hAnsi="Calibri" w:cs="Calibri Light"/>
        <w:color w:val="404040"/>
        <w:szCs w:val="20"/>
      </w:rPr>
      <w:t xml:space="preserve">The publication of an online Housing Dashboard to provide residents, community advocates, business leaders, and elected officials with high quality data to drive decision-making, and to track the progress of </w:t>
    </w:r>
    <w:r w:rsidRPr="00C91F30">
      <w:rPr>
        <w:rFonts w:ascii="Calibri" w:hAnsi="Calibri" w:cs="Calibri Light"/>
        <w:i/>
        <w:iCs/>
        <w:color w:val="404040"/>
        <w:szCs w:val="20"/>
      </w:rPr>
      <w:t>Growing SLC</w:t>
    </w:r>
    <w:r w:rsidRPr="00C91F30">
      <w:rPr>
        <w:rFonts w:ascii="Calibri" w:hAnsi="Calibri" w:cs="Calibri Light"/>
        <w:color w:val="404040"/>
        <w:szCs w:val="20"/>
      </w:rPr>
      <w:t>.</w:t>
    </w:r>
  </w:p>
  <w:p w14:paraId="717FADCF" w14:textId="77777777" w:rsidR="005F3FCF" w:rsidRPr="00C91F30" w:rsidRDefault="005F3FCF" w:rsidP="00C91F30">
    <w:pPr>
      <w:spacing w:line="360" w:lineRule="auto"/>
      <w:ind w:left="720"/>
      <w:contextualSpacing/>
      <w:rPr>
        <w:rFonts w:ascii="Calibri" w:hAnsi="Calibri" w:cs="Calibri Light"/>
        <w:color w:val="404040"/>
        <w:szCs w:val="20"/>
      </w:rPr>
    </w:pPr>
  </w:p>
  <w:p w14:paraId="4A3BDA48" w14:textId="77777777" w:rsidR="005F3FCF" w:rsidRPr="00C91F30" w:rsidRDefault="005F3FCF" w:rsidP="00C91F30">
    <w:pPr>
      <w:spacing w:line="360" w:lineRule="auto"/>
      <w:rPr>
        <w:rFonts w:ascii="Calibri" w:hAnsi="Calibri" w:cs="Calibri Light"/>
        <w:color w:val="404040"/>
        <w:szCs w:val="20"/>
      </w:rPr>
    </w:pPr>
    <w:r w:rsidRPr="00C91F30">
      <w:rPr>
        <w:rFonts w:ascii="Calibri" w:hAnsi="Calibri" w:cs="Calibri Light"/>
        <w:color w:val="404040"/>
        <w:szCs w:val="20"/>
      </w:rPr>
      <w:t xml:space="preserve">To further spur more construction of affordable housing, two new initiatives have recently been launched. One, an expanded fee waiver program for developers seeking to build mixed-income residential projects if they set aside at least 20% of their units for moderate-income tenants. The second, a strengthened policy aimed at preserving existing residential units by requiring </w:t>
    </w:r>
    <w:r>
      <w:rPr>
        <w:rFonts w:ascii="Calibri" w:hAnsi="Calibri" w:cs="Calibri Light"/>
        <w:color w:val="404040"/>
        <w:szCs w:val="20"/>
      </w:rPr>
      <w:t xml:space="preserve">any residential demolition result in either replaced units, saved units or a fee that will assist the City in replacing the units. </w:t>
    </w:r>
  </w:p>
  <w:p w14:paraId="7531CE33" w14:textId="77777777" w:rsidR="005F3FCF" w:rsidRPr="00C91F30" w:rsidRDefault="005F3FCF" w:rsidP="00C91F30">
    <w:pPr>
      <w:spacing w:line="360" w:lineRule="auto"/>
      <w:ind w:left="720"/>
      <w:contextualSpacing/>
      <w:rPr>
        <w:rFonts w:ascii="Calibri" w:hAnsi="Calibri" w:cs="Calibri Light"/>
        <w:color w:val="404040"/>
        <w:szCs w:val="20"/>
      </w:rPr>
    </w:pPr>
  </w:p>
  <w:p w14:paraId="12C076C3" w14:textId="77777777" w:rsidR="005F3FCF" w:rsidRPr="00C91F30" w:rsidRDefault="005F3FCF" w:rsidP="00C91F30">
    <w:pPr>
      <w:spacing w:line="360" w:lineRule="auto"/>
      <w:rPr>
        <w:rFonts w:ascii="Calibri" w:hAnsi="Calibri" w:cs="Calibri Light"/>
        <w:color w:val="404040"/>
        <w:szCs w:val="20"/>
      </w:rPr>
    </w:pPr>
    <w:r w:rsidRPr="00C91F30">
      <w:rPr>
        <w:rFonts w:ascii="Calibri" w:hAnsi="Calibri" w:cs="Calibri Light"/>
        <w:color w:val="404040"/>
        <w:szCs w:val="20"/>
      </w:rPr>
      <w:t>HAND is committed to addressing the City’s affordable housing crisis by exploring a myriad of ways to encourage developers to build as many new and innovative affordable housing units as possible.</w:t>
    </w:r>
  </w:p>
  <w:p w14:paraId="7C98D09B" w14:textId="77777777" w:rsidR="005F3FCF" w:rsidRPr="00C91F30" w:rsidRDefault="005F3FCF" w:rsidP="00C91F30">
    <w:pPr>
      <w:spacing w:line="360" w:lineRule="auto"/>
      <w:ind w:left="720"/>
      <w:contextualSpacing/>
      <w:rPr>
        <w:rFonts w:ascii="Calibri" w:hAnsi="Calibri" w:cs="Calibri Light"/>
        <w:color w:val="404040"/>
        <w:szCs w:val="20"/>
      </w:rPr>
    </w:pPr>
  </w:p>
  <w:p w14:paraId="0D87CC3D" w14:textId="77777777" w:rsidR="005F3FCF" w:rsidRPr="00C91F30" w:rsidRDefault="005F3FCF" w:rsidP="00C91F30">
    <w:pPr>
      <w:numPr>
        <w:ilvl w:val="0"/>
        <w:numId w:val="12"/>
      </w:numPr>
      <w:spacing w:line="360" w:lineRule="auto"/>
      <w:contextualSpacing/>
      <w:rPr>
        <w:rFonts w:ascii="Calibri" w:hAnsi="Calibri" w:cs="Calibri Light"/>
        <w:color w:val="404040"/>
        <w:szCs w:val="20"/>
      </w:rPr>
    </w:pPr>
    <w:r w:rsidRPr="00C91F30">
      <w:rPr>
        <w:rFonts w:ascii="Calibri" w:hAnsi="Calibri" w:cs="Calibri Light"/>
        <w:color w:val="404040"/>
        <w:szCs w:val="20"/>
      </w:rPr>
      <w:t>Mayor’s Blue Ribbon Commission: Provided guidance in implementing long-term solutions to creating and preserving affordable housing in Salt Lake. Utilizing this guidance, HAND has helped facilitate the creation of approximately 1,500 units of affordable housing, including 242 units of permanent supportive housing, and is on track to create approximately 2</w:t>
    </w:r>
    <w:r>
      <w:rPr>
        <w:rFonts w:ascii="Calibri" w:hAnsi="Calibri" w:cs="Calibri Light"/>
        <w:color w:val="404040"/>
        <w:szCs w:val="20"/>
      </w:rPr>
      <w:t>,</w:t>
    </w:r>
    <w:r w:rsidRPr="00C91F30">
      <w:rPr>
        <w:rFonts w:ascii="Calibri" w:hAnsi="Calibri" w:cs="Calibri Light"/>
        <w:color w:val="404040"/>
        <w:szCs w:val="20"/>
      </w:rPr>
      <w:t xml:space="preserve">000 units by June 2019. </w:t>
    </w:r>
  </w:p>
  <w:p w14:paraId="2DB2F270" w14:textId="77777777" w:rsidR="005F3FCF" w:rsidRPr="00C91F30" w:rsidRDefault="005F3FCF" w:rsidP="00C91F30">
    <w:pPr>
      <w:spacing w:line="360" w:lineRule="auto"/>
      <w:ind w:left="720"/>
      <w:contextualSpacing/>
      <w:rPr>
        <w:rFonts w:ascii="Calibri" w:hAnsi="Calibri" w:cs="Calibri Light"/>
        <w:color w:val="404040"/>
        <w:szCs w:val="20"/>
      </w:rPr>
    </w:pPr>
  </w:p>
  <w:p w14:paraId="450B87F5" w14:textId="77777777" w:rsidR="005F3FCF" w:rsidRPr="00C91F30" w:rsidRDefault="005F3FCF" w:rsidP="00C91F30">
    <w:pPr>
      <w:numPr>
        <w:ilvl w:val="0"/>
        <w:numId w:val="12"/>
      </w:numPr>
      <w:spacing w:line="360" w:lineRule="auto"/>
      <w:contextualSpacing/>
      <w:rPr>
        <w:rFonts w:ascii="Calibri" w:hAnsi="Calibri" w:cs="Calibri Light"/>
        <w:color w:val="404040"/>
        <w:szCs w:val="20"/>
      </w:rPr>
    </w:pPr>
    <w:r w:rsidRPr="00C91F30">
      <w:rPr>
        <w:rFonts w:ascii="Calibri" w:hAnsi="Calibri" w:cs="Calibri Light"/>
        <w:color w:val="404040"/>
        <w:szCs w:val="20"/>
      </w:rPr>
      <w:t>Community Land Trust for Affordable Housing: The Community Land Trust</w:t>
    </w:r>
    <w:r>
      <w:rPr>
        <w:rFonts w:ascii="Calibri" w:hAnsi="Calibri" w:cs="Calibri Light"/>
        <w:color w:val="404040"/>
        <w:szCs w:val="20"/>
      </w:rPr>
      <w:t xml:space="preserve"> (CLT)</w:t>
    </w:r>
    <w:r w:rsidRPr="00C91F30">
      <w:rPr>
        <w:rFonts w:ascii="Calibri" w:hAnsi="Calibri" w:cs="Calibri Light"/>
        <w:color w:val="404040"/>
        <w:szCs w:val="20"/>
      </w:rPr>
      <w:t xml:space="preserve"> model will allow income-qualifying households to purchase and own homes as personal property while the land under the home remains property of the trust. The purchaser will own the structure and the city will own the land. Partnership rooted in a shared investment in real property throughout the city and the desire the preserve and secure safe, quality housing stock for generations to come.</w:t>
    </w:r>
  </w:p>
  <w:p w14:paraId="666B909A" w14:textId="77777777" w:rsidR="005F3FCF" w:rsidRPr="00C91F30" w:rsidRDefault="005F3FCF" w:rsidP="00C91F30">
    <w:pPr>
      <w:spacing w:line="360" w:lineRule="auto"/>
      <w:ind w:left="720"/>
      <w:contextualSpacing/>
      <w:rPr>
        <w:rFonts w:ascii="Calibri" w:hAnsi="Calibri" w:cs="Calibri Light"/>
        <w:color w:val="404040"/>
        <w:szCs w:val="20"/>
      </w:rPr>
    </w:pPr>
  </w:p>
  <w:p w14:paraId="4797528A" w14:textId="77777777" w:rsidR="005F3FCF" w:rsidRPr="00C91F30" w:rsidRDefault="005F3FCF" w:rsidP="00C618DC">
    <w:pPr>
      <w:spacing w:line="360" w:lineRule="auto"/>
      <w:ind w:left="720"/>
      <w:contextualSpacing/>
      <w:rPr>
        <w:rFonts w:ascii="Calibri" w:hAnsi="Calibri" w:cs="Calibri Light"/>
        <w:color w:val="404040"/>
        <w:szCs w:val="20"/>
      </w:rPr>
    </w:pPr>
    <w:r w:rsidRPr="00C91F30">
      <w:rPr>
        <w:rFonts w:ascii="Calibri" w:hAnsi="Calibri" w:cs="Calibri Light"/>
        <w:color w:val="404040"/>
        <w:szCs w:val="20"/>
      </w:rPr>
      <w:t>The CLT model will allow income-qualifying households to purchase a home while the land that home sits on remains in the Trust, so the City will own the land and purchaser will own the structure. If and when that household sells the home, they will be able to do so at a modest gain, thereby building equity while allowing another income-qualifying household the opportunity to purchase an affordabl</w:t>
    </w:r>
    <w:r>
      <w:rPr>
        <w:rFonts w:ascii="Calibri" w:hAnsi="Calibri" w:cs="Calibri Light"/>
        <w:color w:val="404040"/>
        <w:szCs w:val="20"/>
      </w:rPr>
      <w:t xml:space="preserve">e home. </w:t>
    </w:r>
    <w:r w:rsidRPr="00C91F30">
      <w:rPr>
        <w:rFonts w:ascii="Calibri" w:hAnsi="Calibri" w:cs="Calibri Light"/>
        <w:color w:val="404040"/>
        <w:szCs w:val="20"/>
      </w:rPr>
      <w:t>The CLT will start by holding city-owned single family home properties. Over time, the City will look to acquire and maintain multifamily structures, and eventually turning over the management of the Trust to an external non-profit.</w:t>
    </w:r>
  </w:p>
  <w:p w14:paraId="134655DF" w14:textId="77777777" w:rsidR="005F3FCF" w:rsidRPr="00C91F30" w:rsidRDefault="005F3FCF" w:rsidP="00C91F30">
    <w:pPr>
      <w:spacing w:line="360" w:lineRule="auto"/>
      <w:ind w:left="720"/>
      <w:contextualSpacing/>
      <w:rPr>
        <w:rFonts w:ascii="Calibri" w:hAnsi="Calibri" w:cs="Calibri Light"/>
        <w:color w:val="404040"/>
        <w:szCs w:val="20"/>
      </w:rPr>
    </w:pPr>
  </w:p>
  <w:p w14:paraId="0C590868" w14:textId="77777777" w:rsidR="005F3FCF" w:rsidRPr="00C91F30" w:rsidRDefault="005F3FCF" w:rsidP="00C91F30">
    <w:pPr>
      <w:numPr>
        <w:ilvl w:val="0"/>
        <w:numId w:val="12"/>
      </w:numPr>
      <w:spacing w:line="360" w:lineRule="auto"/>
      <w:contextualSpacing/>
      <w:rPr>
        <w:rFonts w:ascii="Calibri" w:hAnsi="Calibri" w:cs="Calibri Light"/>
        <w:color w:val="404040"/>
        <w:szCs w:val="20"/>
      </w:rPr>
    </w:pPr>
    <w:r w:rsidRPr="00C91F30">
      <w:rPr>
        <w:rFonts w:ascii="Calibri" w:hAnsi="Calibri" w:cs="Calibri Light"/>
        <w:color w:val="404040"/>
        <w:szCs w:val="20"/>
      </w:rPr>
      <w:t xml:space="preserve">House 20: The House 20 concept was developed in 2015 as a response to housing the top 20 users of emergency services in and around the Depot District. HAND relied on the Police and Fire Departments and The Road Home to help identify those single men and women who were the most frequent users of services. These are individuals who suffer from disabling conditions that create high barriers to stable housing, individuals who are in need of regular, ongoing supportive services. House 20 has helped transition some of the most vulnerable members of our community into permanent housing and has provided them with intensive case management. Those enrolled in the program have reduced their interactions with emergency services by approximately 75%. The original funding for the program has been exhausted, but HAND will continue to fund the program in the upcoming year with a portion of the revenue received from the sales tax increase. </w:t>
    </w:r>
  </w:p>
  <w:p w14:paraId="4EA440B1" w14:textId="77777777" w:rsidR="005F3FCF" w:rsidRPr="00C91F30" w:rsidRDefault="005F3FCF" w:rsidP="00C91F30">
    <w:pPr>
      <w:spacing w:line="360" w:lineRule="auto"/>
      <w:ind w:left="720"/>
      <w:contextualSpacing/>
      <w:rPr>
        <w:rFonts w:ascii="Calibri" w:hAnsi="Calibri" w:cs="Calibri Light"/>
        <w:color w:val="404040"/>
        <w:szCs w:val="20"/>
      </w:rPr>
    </w:pPr>
  </w:p>
  <w:p w14:paraId="0E52A803" w14:textId="77777777" w:rsidR="005F3FCF" w:rsidRPr="00C91F30" w:rsidRDefault="005F3FCF" w:rsidP="00C91F30">
    <w:pPr>
      <w:numPr>
        <w:ilvl w:val="0"/>
        <w:numId w:val="12"/>
      </w:numPr>
      <w:spacing w:line="360" w:lineRule="auto"/>
      <w:contextualSpacing/>
      <w:rPr>
        <w:rFonts w:ascii="Calibri" w:hAnsi="Calibri" w:cs="Calibri Light"/>
        <w:color w:val="404040"/>
        <w:szCs w:val="20"/>
      </w:rPr>
    </w:pPr>
    <w:r w:rsidRPr="00C91F30">
      <w:rPr>
        <w:rFonts w:ascii="Calibri" w:hAnsi="Calibri" w:cs="Calibri Light"/>
        <w:color w:val="404040"/>
        <w:szCs w:val="20"/>
      </w:rPr>
      <w:t>Home Ownership Options: The City is continuing to provide down-payment assistance to low to moderate-income residents of the City. Previously the program only served first-time homebuyers, but was expanded during the 17-18 program year to offer any eligible resident the opportunity to purchase a home regardless of whether it was their first home purchase. It helps stabilize communities, provides incentive for neighborhood investments, and allows families to build wealth.</w:t>
    </w:r>
  </w:p>
  <w:p w14:paraId="1404292C" w14:textId="77777777" w:rsidR="005F3FCF" w:rsidRPr="00C91F30" w:rsidRDefault="005F3FCF" w:rsidP="00C91F30">
    <w:pPr>
      <w:spacing w:line="360" w:lineRule="auto"/>
      <w:ind w:left="720"/>
      <w:contextualSpacing/>
      <w:rPr>
        <w:rFonts w:ascii="Calibri" w:hAnsi="Calibri" w:cs="Calibri Light"/>
        <w:color w:val="404040"/>
        <w:szCs w:val="20"/>
      </w:rPr>
    </w:pPr>
  </w:p>
  <w:p w14:paraId="7EAC4BA8" w14:textId="77777777" w:rsidR="005F3FCF" w:rsidRPr="00C91F30" w:rsidRDefault="005F3FCF" w:rsidP="00C91F30">
    <w:pPr>
      <w:numPr>
        <w:ilvl w:val="0"/>
        <w:numId w:val="12"/>
      </w:numPr>
      <w:spacing w:line="360" w:lineRule="auto"/>
      <w:contextualSpacing/>
      <w:rPr>
        <w:rFonts w:ascii="Calibri" w:hAnsi="Calibri" w:cs="Calibri Light"/>
        <w:color w:val="404040"/>
        <w:szCs w:val="20"/>
      </w:rPr>
    </w:pPr>
    <w:r w:rsidRPr="00C91F30">
      <w:rPr>
        <w:rFonts w:ascii="Calibri" w:hAnsi="Calibri" w:cs="Calibri Light"/>
        <w:color w:val="404040"/>
        <w:szCs w:val="20"/>
      </w:rPr>
      <w:t xml:space="preserve">Affordable Housing Initiative: The City is committed to providing a comprehensive housing initiative to address Salt Lake City’s lack of housing options affordable to low-wage workers and moderate income families, persons with disabilities and those on fixed incomes. By utilizing the Salt Lake City Housing Trust Fund and other community resources, the City will support the preservation, development, and rental assistance of housing units over the time period of the Consolidated Plan. The initiative will target these forms of assistance to extremely low-income renter households as well as expanding homeownership and housing opportunities for low to middle-income families and individuals. </w:t>
    </w:r>
  </w:p>
  <w:p w14:paraId="32DF6198" w14:textId="77777777" w:rsidR="005F3FCF" w:rsidRPr="00C91F30" w:rsidRDefault="005F3FCF" w:rsidP="00C91F30">
    <w:pPr>
      <w:spacing w:line="360" w:lineRule="auto"/>
      <w:ind w:left="720"/>
      <w:contextualSpacing/>
      <w:rPr>
        <w:rFonts w:ascii="Calibri" w:hAnsi="Calibri" w:cs="Calibri Light"/>
        <w:color w:val="404040"/>
        <w:szCs w:val="20"/>
      </w:rPr>
    </w:pPr>
  </w:p>
  <w:p w14:paraId="3EAFDDE9" w14:textId="77777777" w:rsidR="005F3FCF" w:rsidRPr="00C91F30" w:rsidRDefault="005F3FCF" w:rsidP="00C91F30">
    <w:pPr>
      <w:widowControl w:val="0"/>
      <w:autoSpaceDE w:val="0"/>
      <w:autoSpaceDN w:val="0"/>
      <w:adjustRightInd w:val="0"/>
      <w:spacing w:line="360" w:lineRule="auto"/>
      <w:rPr>
        <w:rFonts w:ascii="Calibri" w:eastAsia="Calibri" w:hAnsi="Calibri" w:cs="Verdana"/>
        <w:b/>
        <w:bCs/>
        <w:color w:val="404040"/>
        <w:szCs w:val="20"/>
      </w:rPr>
    </w:pPr>
    <w:r w:rsidRPr="00C91F30">
      <w:rPr>
        <w:rFonts w:ascii="Calibri" w:eastAsia="Calibri" w:hAnsi="Calibri" w:cs="Verdana"/>
        <w:b/>
        <w:bCs/>
        <w:color w:val="404040"/>
        <w:szCs w:val="20"/>
      </w:rPr>
      <w:t>Actions taken to address obstacles to meeting underserved needs:</w:t>
    </w:r>
  </w:p>
  <w:p w14:paraId="7BE0F760" w14:textId="77777777" w:rsidR="005F3FCF" w:rsidRPr="00C91F30" w:rsidRDefault="005F3FCF" w:rsidP="00C91F30">
    <w:pPr>
      <w:spacing w:line="360" w:lineRule="auto"/>
      <w:rPr>
        <w:rFonts w:ascii="Calibri" w:hAnsi="Calibri"/>
        <w:color w:val="404040"/>
        <w:szCs w:val="20"/>
      </w:rPr>
    </w:pPr>
    <w:r w:rsidRPr="00C91F30">
      <w:rPr>
        <w:rFonts w:ascii="Calibri" w:eastAsia="Calibri" w:hAnsi="Calibri" w:cs="Verdana"/>
        <w:bCs/>
        <w:color w:val="404040"/>
        <w:szCs w:val="20"/>
      </w:rPr>
      <w:t>The most substantial impediment in meeting underserved needs is a lack of funding and resources. Strategic shifts identified through Salt Lake City’s 2015-2019 Consolidated Plan provide</w:t>
    </w:r>
    <w:r w:rsidRPr="00C91F30">
      <w:rPr>
        <w:rFonts w:ascii="Calibri" w:hAnsi="Calibri"/>
        <w:color w:val="404040"/>
        <w:szCs w:val="20"/>
      </w:rPr>
      <w:t xml:space="preserve"> a framework for maximizing and leveraging federal funding to better focus funding to address underserved needs. Underserved needs and strategic actions are as follows:</w:t>
    </w:r>
  </w:p>
  <w:p w14:paraId="007F25E0" w14:textId="77777777" w:rsidR="005F3FCF" w:rsidRPr="00C91F30" w:rsidRDefault="005F3FCF" w:rsidP="00C91F30">
    <w:pPr>
      <w:spacing w:line="360" w:lineRule="auto"/>
      <w:rPr>
        <w:rFonts w:ascii="Calibri" w:hAnsi="Calibri"/>
        <w:color w:val="404040"/>
        <w:szCs w:val="20"/>
      </w:rPr>
    </w:pPr>
  </w:p>
  <w:p w14:paraId="28DCA990" w14:textId="77777777" w:rsidR="005F3FCF" w:rsidRPr="00C91F30" w:rsidRDefault="005F3FCF" w:rsidP="00C91F30">
    <w:pPr>
      <w:spacing w:line="360" w:lineRule="auto"/>
      <w:rPr>
        <w:rFonts w:ascii="Calibri" w:hAnsi="Calibri"/>
        <w:i/>
        <w:color w:val="404040"/>
        <w:szCs w:val="20"/>
      </w:rPr>
    </w:pPr>
    <w:r w:rsidRPr="00C91F30">
      <w:rPr>
        <w:rFonts w:ascii="Calibri" w:hAnsi="Calibri"/>
        <w:i/>
        <w:color w:val="404040"/>
        <w:szCs w:val="20"/>
      </w:rPr>
      <w:t>Underserved Need: Affordable housing</w:t>
    </w:r>
  </w:p>
  <w:p w14:paraId="3461D314" w14:textId="77777777" w:rsidR="005F3FCF" w:rsidRPr="00C91F30" w:rsidRDefault="005F3FCF" w:rsidP="00C91F30">
    <w:pPr>
      <w:numPr>
        <w:ilvl w:val="0"/>
        <w:numId w:val="13"/>
      </w:numPr>
      <w:spacing w:line="360" w:lineRule="auto"/>
      <w:contextualSpacing/>
      <w:rPr>
        <w:rFonts w:ascii="Calibri" w:hAnsi="Calibri"/>
        <w:color w:val="404040"/>
        <w:szCs w:val="20"/>
      </w:rPr>
    </w:pPr>
    <w:r w:rsidRPr="00C91F30">
      <w:rPr>
        <w:rFonts w:ascii="Calibri" w:hAnsi="Calibri"/>
        <w:color w:val="404040"/>
        <w:szCs w:val="20"/>
      </w:rPr>
      <w:t>Actions: Salt Lake City utilized federal and local resources to expand both rental and homeownership opportunities. In addition, the City is utilizing public land to leverage private capital for the development of affordable housing. These efforts will work to address the affordable housing gap in Salt Lake City.</w:t>
    </w:r>
  </w:p>
  <w:p w14:paraId="27EB7C79" w14:textId="77777777" w:rsidR="005F3FCF" w:rsidRPr="00C91F30" w:rsidRDefault="005F3FCF" w:rsidP="00C91F30">
    <w:pPr>
      <w:spacing w:line="360" w:lineRule="auto"/>
      <w:rPr>
        <w:rFonts w:ascii="Calibri" w:hAnsi="Calibri"/>
        <w:i/>
        <w:color w:val="404040"/>
        <w:szCs w:val="20"/>
      </w:rPr>
    </w:pPr>
  </w:p>
  <w:p w14:paraId="1012F3C2" w14:textId="77777777" w:rsidR="005F3FCF" w:rsidRPr="00C91F30" w:rsidRDefault="005F3FCF" w:rsidP="00C91F30">
    <w:pPr>
      <w:spacing w:line="360" w:lineRule="auto"/>
      <w:rPr>
        <w:rFonts w:ascii="Calibri" w:hAnsi="Calibri"/>
        <w:i/>
        <w:color w:val="404040"/>
        <w:szCs w:val="20"/>
      </w:rPr>
    </w:pPr>
    <w:r w:rsidRPr="00C91F30">
      <w:rPr>
        <w:rFonts w:ascii="Calibri" w:hAnsi="Calibri"/>
        <w:i/>
        <w:color w:val="404040"/>
        <w:szCs w:val="20"/>
      </w:rPr>
      <w:t>Underserved Need: Homelessness</w:t>
    </w:r>
  </w:p>
  <w:p w14:paraId="421E0160" w14:textId="77777777" w:rsidR="005F3FCF" w:rsidRPr="00C91F30" w:rsidRDefault="005F3FCF" w:rsidP="00C91F30">
    <w:pPr>
      <w:numPr>
        <w:ilvl w:val="0"/>
        <w:numId w:val="13"/>
      </w:numPr>
      <w:spacing w:line="360" w:lineRule="auto"/>
      <w:contextualSpacing/>
      <w:rPr>
        <w:rFonts w:ascii="Calibri" w:hAnsi="Calibri"/>
        <w:color w:val="404040"/>
        <w:szCs w:val="20"/>
      </w:rPr>
    </w:pPr>
    <w:r w:rsidRPr="00C91F30">
      <w:rPr>
        <w:rFonts w:ascii="Calibri" w:hAnsi="Calibri"/>
        <w:color w:val="404040"/>
        <w:szCs w:val="20"/>
      </w:rPr>
      <w:t xml:space="preserve">Actions: Salt Lake City is working with housing and homeless service providers and Salt Lake County to coordinate and streamline processes for service delivery. By utilizing the VI-SPDAT pre-screen survey, providers are able to access and prioritize services based on chronicity and medical vulnerability. Improvements are also being made to the CoC’s coordinated assessment system. During the 17-18 program year, Salt Lake City continued the process of helping to create new homeless resource centers in the community. The site selection and design processes have now been completed and construction of the facilities is underway. The new resource centers should improve overall service delivery to those experiencing homelessness and should provide increased safety and security for those seeking services. </w:t>
    </w:r>
  </w:p>
  <w:p w14:paraId="1427A24C" w14:textId="77777777" w:rsidR="005F3FCF" w:rsidRPr="00C91F30" w:rsidRDefault="005F3FCF" w:rsidP="00C91F30">
    <w:pPr>
      <w:spacing w:line="360" w:lineRule="auto"/>
      <w:rPr>
        <w:rFonts w:ascii="Calibri" w:hAnsi="Calibri"/>
        <w:i/>
        <w:color w:val="404040"/>
        <w:szCs w:val="20"/>
      </w:rPr>
    </w:pPr>
  </w:p>
  <w:p w14:paraId="4F89F44E" w14:textId="77777777" w:rsidR="005F3FCF" w:rsidRPr="00C91F30" w:rsidRDefault="005F3FCF" w:rsidP="00C91F30">
    <w:pPr>
      <w:spacing w:line="360" w:lineRule="auto"/>
      <w:rPr>
        <w:rFonts w:ascii="Calibri" w:hAnsi="Calibri"/>
        <w:i/>
        <w:color w:val="404040"/>
        <w:szCs w:val="20"/>
      </w:rPr>
    </w:pPr>
    <w:r w:rsidRPr="00C91F30">
      <w:rPr>
        <w:rFonts w:ascii="Calibri" w:hAnsi="Calibri"/>
        <w:i/>
        <w:color w:val="404040"/>
        <w:szCs w:val="20"/>
      </w:rPr>
      <w:t>Underserved Need: Special needs individuals</w:t>
    </w:r>
  </w:p>
  <w:p w14:paraId="7A6E451A" w14:textId="77777777" w:rsidR="005F3FCF" w:rsidRPr="00C91F30" w:rsidRDefault="005F3FCF" w:rsidP="00C91F30">
    <w:pPr>
      <w:numPr>
        <w:ilvl w:val="0"/>
        <w:numId w:val="13"/>
      </w:numPr>
      <w:spacing w:line="360" w:lineRule="auto"/>
      <w:contextualSpacing/>
      <w:rPr>
        <w:rFonts w:ascii="Calibri" w:hAnsi="Calibri"/>
        <w:color w:val="404040"/>
        <w:szCs w:val="20"/>
      </w:rPr>
    </w:pPr>
    <w:r w:rsidRPr="00C91F30">
      <w:rPr>
        <w:rFonts w:ascii="Calibri" w:hAnsi="Calibri"/>
        <w:color w:val="404040"/>
        <w:szCs w:val="20"/>
      </w:rPr>
      <w:t>Actions: Salt Lake City has continued to address underserved needs for refugees, immigrants, the elderly, victims of domestic violence, persons living with HIV/AIDS, and persons with a disability by providing resources for basic needs, as well as resources to expand self-sufficiency. Federal funding was targeted to early childhood education for non-English speaking families and other at-risk children, has helped improve immediate and long-term outcomes for persons living with HIV/AIDS, has funded job training to vulnerable populations, and helped provide medical and hospice services for at risk populations.</w:t>
    </w:r>
  </w:p>
  <w:p w14:paraId="735DDE71" w14:textId="77777777" w:rsidR="005F3FCF" w:rsidRPr="00C91F30" w:rsidRDefault="005F3FCF" w:rsidP="00C91F30">
    <w:pPr>
      <w:spacing w:line="276" w:lineRule="auto"/>
      <w:ind w:right="360"/>
      <w:rPr>
        <w:rFonts w:ascii="Calibri" w:hAnsi="Calibri" w:cs="Calibri"/>
        <w:b/>
        <w:color w:val="FF0000"/>
        <w:szCs w:val="20"/>
      </w:rPr>
    </w:pPr>
  </w:p>
  <w:p w14:paraId="732B99BF" w14:textId="77777777" w:rsidR="005F3FCF" w:rsidRPr="00C91F30" w:rsidRDefault="005F3FCF" w:rsidP="00C91F30">
    <w:pPr>
      <w:spacing w:line="360" w:lineRule="auto"/>
      <w:ind w:right="360"/>
      <w:rPr>
        <w:rFonts w:ascii="Calibri" w:hAnsi="Calibri" w:cs="Calibri"/>
        <w:b/>
        <w:color w:val="404040"/>
        <w:szCs w:val="20"/>
      </w:rPr>
    </w:pPr>
    <w:r w:rsidRPr="00C91F30">
      <w:rPr>
        <w:rFonts w:ascii="Calibri" w:hAnsi="Calibri" w:cs="Calibri"/>
        <w:b/>
        <w:color w:val="404040"/>
        <w:szCs w:val="20"/>
      </w:rPr>
      <w:t>Actions taken to reduce lead-based paint hazards.</w:t>
    </w:r>
  </w:p>
  <w:p w14:paraId="6AB62899" w14:textId="77777777" w:rsidR="005F3FCF" w:rsidRPr="00C91F30" w:rsidRDefault="005F3FCF" w:rsidP="00C91F30">
    <w:pPr>
      <w:spacing w:line="360" w:lineRule="auto"/>
      <w:rPr>
        <w:rFonts w:ascii="Calibri" w:hAnsi="Calibri" w:cs="Arial"/>
        <w:color w:val="404040"/>
      </w:rPr>
    </w:pPr>
    <w:r w:rsidRPr="00C91F30">
      <w:rPr>
        <w:rFonts w:ascii="Calibri" w:hAnsi="Calibri" w:cs="Arial"/>
        <w:color w:val="404040"/>
      </w:rPr>
      <w:t xml:space="preserve">The City continues to maintain “lead procedures” to ensure compliance with both HUD and EPA lead rules.  Many of our contractors have obtained EPA certification due to continued coordinated effort with Salt Lake County. Those that aren’t certified are required to use a certified sub-contractor to handle any lead related work that is included in his or her projects.  </w:t>
    </w:r>
  </w:p>
  <w:p w14:paraId="69406B4B" w14:textId="77777777" w:rsidR="005F3FCF" w:rsidRPr="00C91F30" w:rsidRDefault="005F3FCF" w:rsidP="00C91F30">
    <w:pPr>
      <w:spacing w:line="360" w:lineRule="auto"/>
      <w:rPr>
        <w:rFonts w:ascii="Calibri" w:hAnsi="Calibri" w:cs="Arial"/>
        <w:color w:val="404040"/>
      </w:rPr>
    </w:pPr>
  </w:p>
  <w:p w14:paraId="676103CB" w14:textId="77777777" w:rsidR="005F3FCF" w:rsidRPr="00C91F30" w:rsidRDefault="005F3FCF" w:rsidP="00C91F30">
    <w:pPr>
      <w:spacing w:line="360" w:lineRule="auto"/>
      <w:rPr>
        <w:rFonts w:ascii="Calibri" w:hAnsi="Calibri" w:cs="Arial"/>
        <w:color w:val="404040"/>
      </w:rPr>
    </w:pPr>
    <w:r w:rsidRPr="00C91F30">
      <w:rPr>
        <w:rFonts w:ascii="Calibri" w:hAnsi="Calibri" w:cs="Arial"/>
        <w:color w:val="404040"/>
      </w:rPr>
      <w:t xml:space="preserve">Our staff members have been trained in Lead issues, and when fully staffed the City looks to maintain a balance of Lead Risk Assessors and Certified Lead Inspectors to ensure the City stays compliant with lead requirements.  </w:t>
    </w:r>
  </w:p>
  <w:p w14:paraId="0FDB8400" w14:textId="77777777" w:rsidR="005F3FCF" w:rsidRPr="00C91F30" w:rsidRDefault="005F3FCF" w:rsidP="00C91F30">
    <w:pPr>
      <w:spacing w:line="360" w:lineRule="auto"/>
      <w:rPr>
        <w:rFonts w:ascii="Calibri" w:hAnsi="Calibri" w:cs="Arial"/>
        <w:color w:val="404040"/>
      </w:rPr>
    </w:pPr>
  </w:p>
  <w:p w14:paraId="7363B423" w14:textId="77777777" w:rsidR="005F3FCF" w:rsidRPr="00C91F30" w:rsidRDefault="005F3FCF" w:rsidP="00C91F30">
    <w:pPr>
      <w:spacing w:line="360" w:lineRule="auto"/>
      <w:rPr>
        <w:rFonts w:ascii="Calibri" w:hAnsi="Calibri" w:cs="Arial"/>
        <w:color w:val="404040"/>
      </w:rPr>
    </w:pPr>
    <w:r w:rsidRPr="00C91F30">
      <w:rPr>
        <w:rFonts w:ascii="Calibri" w:hAnsi="Calibri" w:cs="Arial"/>
        <w:color w:val="404040"/>
      </w:rPr>
      <w:t>The City completes a risk assessment for each project that results in preparation of an official work description.  If an applicant decides not to pursue the project, they are given a copy of the risk assessment for their file in the event they want to do work in the future.  We do more risk assessments than we do projects.</w:t>
    </w:r>
  </w:p>
  <w:p w14:paraId="53028F23" w14:textId="77777777" w:rsidR="005F3FCF" w:rsidRPr="00C91F30" w:rsidRDefault="005F3FCF" w:rsidP="00C91F30">
    <w:pPr>
      <w:spacing w:line="360" w:lineRule="auto"/>
      <w:rPr>
        <w:rFonts w:ascii="Calibri" w:hAnsi="Calibri" w:cs="Arial"/>
        <w:color w:val="404040"/>
      </w:rPr>
    </w:pPr>
  </w:p>
  <w:p w14:paraId="243A0543" w14:textId="77777777" w:rsidR="005F3FCF" w:rsidRPr="00C91F30" w:rsidRDefault="005F3FCF" w:rsidP="00C91F30">
    <w:pPr>
      <w:spacing w:line="360" w:lineRule="auto"/>
      <w:rPr>
        <w:rFonts w:ascii="Calibri" w:hAnsi="Calibri" w:cs="Arial"/>
        <w:color w:val="404040"/>
      </w:rPr>
    </w:pPr>
    <w:r w:rsidRPr="00C91F30">
      <w:rPr>
        <w:rFonts w:ascii="Calibri" w:hAnsi="Calibri" w:cs="Arial"/>
        <w:color w:val="404040"/>
      </w:rPr>
      <w:t xml:space="preserve">The City continues to work closely with Salt Lake County in the Lead Safe Housing Program, attending monthly meetings and distributing literature on the program every time we participate in an event or have opportunities </w:t>
    </w:r>
    <w:r>
      <w:rPr>
        <w:rFonts w:ascii="Calibri" w:hAnsi="Calibri" w:cs="Arial"/>
        <w:color w:val="404040"/>
      </w:rPr>
      <w:t xml:space="preserve">to communicate with community. </w:t>
    </w:r>
    <w:r w:rsidRPr="00C91F30">
      <w:rPr>
        <w:rFonts w:ascii="Calibri" w:hAnsi="Calibri" w:cs="Arial"/>
        <w:color w:val="404040"/>
      </w:rPr>
      <w:t>Any of our rehabilitation projects that qualify for county lead funding are referred to the county to ap</w:t>
    </w:r>
    <w:r>
      <w:rPr>
        <w:rFonts w:ascii="Calibri" w:hAnsi="Calibri" w:cs="Arial"/>
        <w:color w:val="404040"/>
      </w:rPr>
      <w:t xml:space="preserve">ply for the county lead grant. </w:t>
    </w:r>
    <w:r w:rsidRPr="00C91F30">
      <w:rPr>
        <w:rFonts w:ascii="Calibri" w:hAnsi="Calibri" w:cs="Arial"/>
        <w:color w:val="404040"/>
      </w:rPr>
      <w:t>If the project doesn’t qualify for county funding, the city will grant up to $5,000 to cover the additional costs thus completing any lead related work that needs to be accomplished.  We continue to find that many homeowners are still resistant to the concept of paying additional money to remediate lead dangers.</w:t>
    </w:r>
  </w:p>
  <w:p w14:paraId="60E8A31F" w14:textId="77777777" w:rsidR="005F3FCF" w:rsidRPr="00C91F30" w:rsidRDefault="005F3FCF" w:rsidP="00C91F30">
    <w:pPr>
      <w:spacing w:line="360" w:lineRule="auto"/>
      <w:rPr>
        <w:rFonts w:ascii="Calibri" w:hAnsi="Calibri" w:cs="Arial"/>
        <w:color w:val="404040"/>
      </w:rPr>
    </w:pPr>
  </w:p>
  <w:p w14:paraId="57C6B68D" w14:textId="77777777" w:rsidR="005F3FCF" w:rsidRPr="00C91F30" w:rsidRDefault="005F3FCF" w:rsidP="00C91F30">
    <w:pPr>
      <w:spacing w:line="360" w:lineRule="auto"/>
      <w:rPr>
        <w:rFonts w:ascii="Calibri" w:hAnsi="Calibri" w:cs="Arial"/>
        <w:color w:val="404040"/>
      </w:rPr>
    </w:pPr>
    <w:r w:rsidRPr="00C91F30">
      <w:rPr>
        <w:rFonts w:ascii="Calibri" w:hAnsi="Calibri" w:cs="Arial"/>
        <w:color w:val="404040"/>
      </w:rPr>
      <w:t xml:space="preserve">We do outreach in an ongoing manner, using mailings to households in our target areas, as well as participate at community open houses, </w:t>
    </w:r>
    <w:r>
      <w:rPr>
        <w:rFonts w:ascii="Calibri" w:hAnsi="Calibri" w:cs="Arial"/>
        <w:color w:val="404040"/>
      </w:rPr>
      <w:t xml:space="preserve">community festivals and fairs. </w:t>
    </w:r>
    <w:r w:rsidRPr="00C91F30">
      <w:rPr>
        <w:rFonts w:ascii="Calibri" w:hAnsi="Calibri" w:cs="Arial"/>
        <w:color w:val="404040"/>
      </w:rPr>
      <w:t>Staff always makes lead a major point for discussion in our ini</w:t>
    </w:r>
    <w:r>
      <w:rPr>
        <w:rFonts w:ascii="Calibri" w:hAnsi="Calibri" w:cs="Arial"/>
        <w:color w:val="404040"/>
      </w:rPr>
      <w:t xml:space="preserve">tial meetings with homeowners. </w:t>
    </w:r>
    <w:r w:rsidRPr="00C91F30">
      <w:rPr>
        <w:rFonts w:ascii="Calibri" w:hAnsi="Calibri" w:cs="Arial"/>
        <w:color w:val="404040"/>
      </w:rPr>
      <w:t xml:space="preserve">We are working with Salt Lake County to develop projects to address lead issues in cases where elevated blood lead levels have been found.  </w:t>
    </w:r>
  </w:p>
  <w:p w14:paraId="7D561456" w14:textId="77777777" w:rsidR="005F3FCF" w:rsidRPr="00C91F30" w:rsidRDefault="005F3FCF" w:rsidP="00C91F30">
    <w:pPr>
      <w:spacing w:line="276" w:lineRule="auto"/>
      <w:ind w:right="360"/>
      <w:rPr>
        <w:rFonts w:ascii="Calibri" w:hAnsi="Calibri" w:cs="Calibri"/>
        <w:b/>
        <w:color w:val="FF0000"/>
        <w:szCs w:val="20"/>
      </w:rPr>
    </w:pPr>
  </w:p>
  <w:p w14:paraId="6A5734A1" w14:textId="77777777" w:rsidR="005F3FCF" w:rsidRPr="00C91F30" w:rsidRDefault="005F3FCF" w:rsidP="00C91F30">
    <w:pPr>
      <w:widowControl w:val="0"/>
      <w:autoSpaceDE w:val="0"/>
      <w:autoSpaceDN w:val="0"/>
      <w:adjustRightInd w:val="0"/>
      <w:spacing w:line="360" w:lineRule="auto"/>
      <w:rPr>
        <w:rFonts w:ascii="Calibri" w:eastAsia="Calibri" w:hAnsi="Calibri" w:cs="Verdana"/>
        <w:b/>
        <w:bCs/>
        <w:color w:val="404040"/>
        <w:szCs w:val="20"/>
      </w:rPr>
    </w:pPr>
    <w:r w:rsidRPr="00C91F30">
      <w:rPr>
        <w:rFonts w:ascii="Calibri" w:eastAsia="Calibri" w:hAnsi="Calibri" w:cs="Verdana"/>
        <w:b/>
        <w:bCs/>
        <w:color w:val="404040"/>
        <w:szCs w:val="20"/>
      </w:rPr>
      <w:t>Actions taken to reduce the number of poverty-level families:</w:t>
    </w:r>
  </w:p>
  <w:p w14:paraId="2E8AFB67" w14:textId="77777777" w:rsidR="005F3FCF" w:rsidRPr="00C91F30" w:rsidRDefault="005F3FCF" w:rsidP="00C91F30">
    <w:pPr>
      <w:spacing w:line="360" w:lineRule="auto"/>
      <w:rPr>
        <w:rFonts w:ascii="Calibri" w:hAnsi="Calibri"/>
        <w:color w:val="404040"/>
        <w:szCs w:val="20"/>
      </w:rPr>
    </w:pPr>
    <w:r w:rsidRPr="00C91F30">
      <w:rPr>
        <w:rFonts w:ascii="Calibri" w:hAnsi="Calibri"/>
        <w:color w:val="404040"/>
        <w:szCs w:val="20"/>
      </w:rPr>
      <w:t>In a strategic effort to reduce the number of households living in poverty and prevent households at risk of moving in to poverty from doing so, Salt Lake City is focusing on a two-pronged approach:</w:t>
    </w:r>
  </w:p>
  <w:p w14:paraId="24DB5C03" w14:textId="77777777" w:rsidR="005F3FCF" w:rsidRPr="00C91F30" w:rsidRDefault="005F3FCF" w:rsidP="00C91F30">
    <w:pPr>
      <w:spacing w:line="360" w:lineRule="auto"/>
      <w:rPr>
        <w:rFonts w:ascii="Calibri" w:hAnsi="Calibri"/>
        <w:color w:val="404040"/>
        <w:szCs w:val="20"/>
      </w:rPr>
    </w:pPr>
  </w:p>
  <w:p w14:paraId="0E659E68" w14:textId="77777777" w:rsidR="005F3FCF" w:rsidRPr="00C91F30" w:rsidRDefault="005F3FCF" w:rsidP="00C91F30">
    <w:pPr>
      <w:numPr>
        <w:ilvl w:val="0"/>
        <w:numId w:val="18"/>
      </w:numPr>
      <w:spacing w:line="360" w:lineRule="auto"/>
      <w:contextualSpacing/>
      <w:rPr>
        <w:rFonts w:ascii="Calibri" w:hAnsi="Calibri"/>
        <w:color w:val="404040"/>
        <w:szCs w:val="20"/>
      </w:rPr>
    </w:pPr>
    <w:r w:rsidRPr="00C91F30">
      <w:rPr>
        <w:rFonts w:ascii="Calibri" w:hAnsi="Calibri"/>
        <w:color w:val="404040"/>
        <w:szCs w:val="20"/>
      </w:rPr>
      <w:t>Creating neighborhoods of opportunity to build capacity and expand resources within concentrated areas of poverty.</w:t>
    </w:r>
  </w:p>
  <w:p w14:paraId="6B7AC1E9" w14:textId="77777777" w:rsidR="005F3FCF" w:rsidRPr="00C91F30" w:rsidRDefault="005F3FCF" w:rsidP="00C91F30">
    <w:pPr>
      <w:numPr>
        <w:ilvl w:val="0"/>
        <w:numId w:val="18"/>
      </w:numPr>
      <w:spacing w:line="360" w:lineRule="auto"/>
      <w:contextualSpacing/>
      <w:rPr>
        <w:rFonts w:ascii="Calibri" w:hAnsi="Calibri"/>
        <w:color w:val="404040"/>
        <w:szCs w:val="20"/>
      </w:rPr>
    </w:pPr>
    <w:r w:rsidRPr="00C91F30">
      <w:rPr>
        <w:rFonts w:ascii="Calibri" w:hAnsi="Calibri"/>
        <w:color w:val="404040"/>
        <w:szCs w:val="20"/>
      </w:rPr>
      <w:t>Support the city’s most vulnerable populations, including the chronically homeless, homeless families, food-insecure individuals, the disabled, persons living with HIV/AIDS, victims of domestic violence, at-risk children, individuals with substance use disorders, and the low-income elderly.</w:t>
    </w:r>
  </w:p>
  <w:p w14:paraId="5F6E0872" w14:textId="77777777" w:rsidR="005F3FCF" w:rsidRPr="00C91F30" w:rsidRDefault="005F3FCF" w:rsidP="00C91F30">
    <w:pPr>
      <w:spacing w:line="360" w:lineRule="auto"/>
      <w:rPr>
        <w:rFonts w:ascii="Calibri" w:hAnsi="Calibri"/>
        <w:color w:val="404040"/>
        <w:szCs w:val="20"/>
      </w:rPr>
    </w:pPr>
  </w:p>
  <w:p w14:paraId="1B46E08C" w14:textId="77777777" w:rsidR="005F3FCF" w:rsidRPr="00C91F30" w:rsidRDefault="005F3FCF" w:rsidP="00C91F30">
    <w:pPr>
      <w:spacing w:line="360" w:lineRule="auto"/>
      <w:rPr>
        <w:rFonts w:ascii="Calibri" w:hAnsi="Calibri"/>
        <w:color w:val="404040"/>
        <w:szCs w:val="20"/>
      </w:rPr>
    </w:pPr>
    <w:r w:rsidRPr="00C91F30">
      <w:rPr>
        <w:rFonts w:ascii="Calibri" w:hAnsi="Calibri"/>
        <w:color w:val="404040"/>
        <w:szCs w:val="20"/>
      </w:rPr>
      <w:t>The City’s anti-poverty strategy aims to close the gap in a number of socioeconomic indicators, such improving housing affordability, school-readiness of young children, employment skills of at-risk adults, and access to transportation for low-income households. Efforts were focused on the following objectives:</w:t>
    </w:r>
  </w:p>
  <w:p w14:paraId="09211A41" w14:textId="77777777" w:rsidR="005F3FCF" w:rsidRPr="00C91F30" w:rsidRDefault="005F3FCF" w:rsidP="00C91F30">
    <w:pPr>
      <w:numPr>
        <w:ilvl w:val="0"/>
        <w:numId w:val="14"/>
      </w:numPr>
      <w:spacing w:line="360" w:lineRule="auto"/>
      <w:contextualSpacing/>
      <w:rPr>
        <w:rFonts w:ascii="Calibri" w:hAnsi="Calibri"/>
        <w:color w:val="404040"/>
        <w:szCs w:val="20"/>
      </w:rPr>
    </w:pPr>
    <w:r w:rsidRPr="00C91F30">
      <w:rPr>
        <w:rFonts w:ascii="Calibri" w:hAnsi="Calibri"/>
        <w:color w:val="404040"/>
        <w:szCs w:val="20"/>
      </w:rPr>
      <w:t>Assist low-income individuals to maximize their incomes</w:t>
    </w:r>
  </w:p>
  <w:p w14:paraId="55F8D65A" w14:textId="77777777" w:rsidR="005F3FCF" w:rsidRPr="00C91F30" w:rsidRDefault="005F3FCF" w:rsidP="00C91F30">
    <w:pPr>
      <w:numPr>
        <w:ilvl w:val="0"/>
        <w:numId w:val="14"/>
      </w:numPr>
      <w:spacing w:line="360" w:lineRule="auto"/>
      <w:contextualSpacing/>
      <w:rPr>
        <w:rFonts w:ascii="Calibri" w:hAnsi="Calibri"/>
        <w:color w:val="404040"/>
        <w:szCs w:val="20"/>
      </w:rPr>
    </w:pPr>
    <w:r w:rsidRPr="00C91F30">
      <w:rPr>
        <w:rFonts w:ascii="Calibri" w:hAnsi="Calibri"/>
        <w:color w:val="404040"/>
        <w:szCs w:val="20"/>
      </w:rPr>
      <w:t>Reduce the linkages between poor health and poverty</w:t>
    </w:r>
  </w:p>
  <w:p w14:paraId="46441103" w14:textId="77777777" w:rsidR="005F3FCF" w:rsidRPr="00C91F30" w:rsidRDefault="005F3FCF" w:rsidP="00C91F30">
    <w:pPr>
      <w:numPr>
        <w:ilvl w:val="0"/>
        <w:numId w:val="14"/>
      </w:numPr>
      <w:spacing w:line="360" w:lineRule="auto"/>
      <w:contextualSpacing/>
      <w:rPr>
        <w:rFonts w:ascii="Calibri" w:hAnsi="Calibri"/>
        <w:color w:val="404040"/>
        <w:szCs w:val="20"/>
      </w:rPr>
    </w:pPr>
    <w:r w:rsidRPr="00C91F30">
      <w:rPr>
        <w:rFonts w:ascii="Calibri" w:hAnsi="Calibri"/>
        <w:color w:val="404040"/>
        <w:szCs w:val="20"/>
      </w:rPr>
      <w:t>Expand housing opportunities</w:t>
    </w:r>
  </w:p>
  <w:p w14:paraId="3C4D8385" w14:textId="77777777" w:rsidR="005F3FCF" w:rsidRPr="00C91F30" w:rsidRDefault="005F3FCF" w:rsidP="00C91F30">
    <w:pPr>
      <w:numPr>
        <w:ilvl w:val="0"/>
        <w:numId w:val="14"/>
      </w:numPr>
      <w:spacing w:line="360" w:lineRule="auto"/>
      <w:contextualSpacing/>
      <w:rPr>
        <w:rFonts w:ascii="Calibri" w:hAnsi="Calibri"/>
        <w:color w:val="404040"/>
        <w:szCs w:val="20"/>
      </w:rPr>
    </w:pPr>
    <w:r w:rsidRPr="00C91F30">
      <w:rPr>
        <w:rFonts w:ascii="Calibri" w:hAnsi="Calibri"/>
        <w:color w:val="404040"/>
        <w:szCs w:val="20"/>
      </w:rPr>
      <w:t>Reduce the impacts of poverty on children</w:t>
    </w:r>
  </w:p>
  <w:p w14:paraId="04BB6095" w14:textId="77777777" w:rsidR="005F3FCF" w:rsidRPr="00C91F30" w:rsidRDefault="005F3FCF" w:rsidP="00C91F30">
    <w:pPr>
      <w:numPr>
        <w:ilvl w:val="0"/>
        <w:numId w:val="14"/>
      </w:numPr>
      <w:spacing w:line="360" w:lineRule="auto"/>
      <w:contextualSpacing/>
      <w:rPr>
        <w:rFonts w:ascii="Calibri" w:hAnsi="Calibri"/>
        <w:color w:val="404040"/>
        <w:szCs w:val="20"/>
      </w:rPr>
    </w:pPr>
    <w:r w:rsidRPr="00C91F30">
      <w:rPr>
        <w:rFonts w:ascii="Calibri" w:hAnsi="Calibri"/>
        <w:color w:val="404040"/>
        <w:szCs w:val="20"/>
      </w:rPr>
      <w:t>Ensure that vulnerable populations have access to supportive services</w:t>
    </w:r>
  </w:p>
  <w:p w14:paraId="2374F0BF" w14:textId="77777777" w:rsidR="005F3FCF" w:rsidRPr="00C91F30" w:rsidRDefault="005F3FCF" w:rsidP="00C91F30">
    <w:pPr>
      <w:spacing w:line="360" w:lineRule="auto"/>
      <w:rPr>
        <w:rFonts w:ascii="Calibri" w:hAnsi="Calibri"/>
        <w:color w:val="404040"/>
        <w:szCs w:val="20"/>
      </w:rPr>
    </w:pPr>
  </w:p>
  <w:p w14:paraId="5844A734" w14:textId="77777777" w:rsidR="005F3FCF" w:rsidRPr="00C91F30" w:rsidRDefault="005F3FCF" w:rsidP="00C91F30">
    <w:pPr>
      <w:spacing w:line="360" w:lineRule="auto"/>
      <w:rPr>
        <w:rFonts w:ascii="Calibri" w:hAnsi="Calibri"/>
        <w:color w:val="404040"/>
        <w:szCs w:val="20"/>
      </w:rPr>
    </w:pPr>
    <w:r w:rsidRPr="00C91F30">
      <w:rPr>
        <w:rFonts w:ascii="Calibri" w:hAnsi="Calibri"/>
        <w:color w:val="404040"/>
        <w:szCs w:val="20"/>
      </w:rPr>
      <w:t>Federal entitlement funds allocated through this program year supported the City’s anti-poverty strategy through the following efforts:</w:t>
    </w:r>
  </w:p>
  <w:p w14:paraId="5CCF4B3C" w14:textId="77777777" w:rsidR="005F3FCF" w:rsidRPr="00C91F30" w:rsidRDefault="005F3FCF" w:rsidP="00C91F30">
    <w:pPr>
      <w:numPr>
        <w:ilvl w:val="0"/>
        <w:numId w:val="15"/>
      </w:numPr>
      <w:spacing w:line="360" w:lineRule="auto"/>
      <w:contextualSpacing/>
      <w:rPr>
        <w:rFonts w:ascii="Calibri" w:hAnsi="Calibri"/>
        <w:color w:val="404040"/>
        <w:szCs w:val="20"/>
      </w:rPr>
    </w:pPr>
    <w:r w:rsidRPr="00C91F30">
      <w:rPr>
        <w:rFonts w:ascii="Calibri" w:hAnsi="Calibri"/>
        <w:color w:val="404040"/>
        <w:szCs w:val="20"/>
      </w:rPr>
      <w:t>Provided job training for vulnerable populations</w:t>
    </w:r>
  </w:p>
  <w:p w14:paraId="1786125E" w14:textId="77777777" w:rsidR="005F3FCF" w:rsidRPr="00C91F30" w:rsidRDefault="005F3FCF" w:rsidP="00C91F30">
    <w:pPr>
      <w:numPr>
        <w:ilvl w:val="0"/>
        <w:numId w:val="15"/>
      </w:numPr>
      <w:spacing w:line="360" w:lineRule="auto"/>
      <w:contextualSpacing/>
      <w:rPr>
        <w:rFonts w:ascii="Calibri" w:hAnsi="Calibri"/>
        <w:color w:val="404040"/>
        <w:szCs w:val="20"/>
      </w:rPr>
    </w:pPr>
    <w:r w:rsidRPr="00C91F30">
      <w:rPr>
        <w:rFonts w:ascii="Calibri" w:hAnsi="Calibri"/>
        <w:color w:val="404040"/>
        <w:szCs w:val="20"/>
      </w:rPr>
      <w:t>Provided early childhood education to limit the effects of intergenerational poverty</w:t>
    </w:r>
  </w:p>
  <w:p w14:paraId="0D7B6443" w14:textId="77777777" w:rsidR="005F3FCF" w:rsidRPr="00C91F30" w:rsidRDefault="005F3FCF" w:rsidP="00C91F30">
    <w:pPr>
      <w:numPr>
        <w:ilvl w:val="0"/>
        <w:numId w:val="15"/>
      </w:numPr>
      <w:spacing w:line="360" w:lineRule="auto"/>
      <w:contextualSpacing/>
      <w:rPr>
        <w:rFonts w:ascii="Calibri" w:hAnsi="Calibri"/>
        <w:color w:val="404040"/>
        <w:szCs w:val="20"/>
      </w:rPr>
    </w:pPr>
    <w:r w:rsidRPr="00C91F30">
      <w:rPr>
        <w:rFonts w:ascii="Calibri" w:hAnsi="Calibri"/>
        <w:color w:val="404040"/>
        <w:szCs w:val="20"/>
      </w:rPr>
      <w:t>Provided essential supportive services for vulnerable populations</w:t>
    </w:r>
  </w:p>
  <w:p w14:paraId="51C21616" w14:textId="77777777" w:rsidR="005F3FCF" w:rsidRPr="00C91F30" w:rsidRDefault="005F3FCF" w:rsidP="00C91F30">
    <w:pPr>
      <w:numPr>
        <w:ilvl w:val="0"/>
        <w:numId w:val="15"/>
      </w:numPr>
      <w:spacing w:line="360" w:lineRule="auto"/>
      <w:contextualSpacing/>
      <w:rPr>
        <w:rFonts w:ascii="Calibri" w:hAnsi="Calibri"/>
        <w:color w:val="404040"/>
        <w:szCs w:val="20"/>
      </w:rPr>
    </w:pPr>
    <w:r w:rsidRPr="00C91F30">
      <w:rPr>
        <w:rFonts w:ascii="Calibri" w:hAnsi="Calibri"/>
        <w:color w:val="404040"/>
        <w:szCs w:val="20"/>
      </w:rPr>
      <w:t>Provided housing rehabilitation for low-income homeowners</w:t>
    </w:r>
  </w:p>
  <w:p w14:paraId="1DD6293A" w14:textId="77777777" w:rsidR="005F3FCF" w:rsidRPr="00C91F30" w:rsidRDefault="005F3FCF" w:rsidP="00C91F30">
    <w:pPr>
      <w:numPr>
        <w:ilvl w:val="0"/>
        <w:numId w:val="15"/>
      </w:numPr>
      <w:spacing w:line="360" w:lineRule="auto"/>
      <w:contextualSpacing/>
      <w:rPr>
        <w:rFonts w:ascii="Calibri" w:hAnsi="Calibri"/>
        <w:color w:val="404040"/>
        <w:szCs w:val="20"/>
      </w:rPr>
    </w:pPr>
    <w:r w:rsidRPr="00C91F30">
      <w:rPr>
        <w:rFonts w:ascii="Calibri" w:hAnsi="Calibri"/>
        <w:color w:val="404040"/>
        <w:szCs w:val="20"/>
      </w:rPr>
      <w:t>Expanded affordable housing opportunities</w:t>
    </w:r>
  </w:p>
  <w:p w14:paraId="3BF86ABD" w14:textId="77777777" w:rsidR="005F3FCF" w:rsidRPr="00C91F30" w:rsidRDefault="005F3FCF" w:rsidP="00C91F30">
    <w:pPr>
      <w:numPr>
        <w:ilvl w:val="0"/>
        <w:numId w:val="15"/>
      </w:numPr>
      <w:spacing w:line="360" w:lineRule="auto"/>
      <w:contextualSpacing/>
      <w:rPr>
        <w:rFonts w:ascii="Calibri" w:hAnsi="Calibri"/>
        <w:color w:val="404040"/>
        <w:szCs w:val="20"/>
      </w:rPr>
    </w:pPr>
    <w:r w:rsidRPr="00C91F30">
      <w:rPr>
        <w:rFonts w:ascii="Calibri" w:hAnsi="Calibri"/>
        <w:color w:val="404040"/>
        <w:szCs w:val="20"/>
      </w:rPr>
      <w:t>Improved neighborhood/commercial infrastructure in concentrated areas of poverty</w:t>
    </w:r>
  </w:p>
  <w:p w14:paraId="4423B83D" w14:textId="77777777" w:rsidR="005F3FCF" w:rsidRPr="00C91F30" w:rsidRDefault="005F3FCF" w:rsidP="00C91F30">
    <w:pPr>
      <w:widowControl w:val="0"/>
      <w:autoSpaceDE w:val="0"/>
      <w:autoSpaceDN w:val="0"/>
      <w:adjustRightInd w:val="0"/>
      <w:spacing w:line="360" w:lineRule="auto"/>
      <w:rPr>
        <w:rFonts w:ascii="Calibri" w:eastAsia="Calibri" w:hAnsi="Calibri" w:cs="Verdana"/>
        <w:b/>
        <w:bCs/>
        <w:color w:val="404040"/>
        <w:szCs w:val="20"/>
      </w:rPr>
    </w:pPr>
  </w:p>
  <w:p w14:paraId="295FE55C" w14:textId="77777777" w:rsidR="005F3FCF" w:rsidRDefault="005F3FCF" w:rsidP="00C91F30">
    <w:pPr>
      <w:widowControl w:val="0"/>
      <w:autoSpaceDE w:val="0"/>
      <w:autoSpaceDN w:val="0"/>
      <w:adjustRightInd w:val="0"/>
      <w:spacing w:line="360" w:lineRule="auto"/>
      <w:rPr>
        <w:rFonts w:ascii="Calibri" w:eastAsia="Calibri" w:hAnsi="Calibri" w:cs="Verdana"/>
        <w:b/>
        <w:bCs/>
        <w:color w:val="404040"/>
        <w:szCs w:val="20"/>
      </w:rPr>
    </w:pPr>
  </w:p>
  <w:p w14:paraId="5EEED529" w14:textId="77777777" w:rsidR="005F3FCF" w:rsidRPr="00C91F30" w:rsidRDefault="005F3FCF" w:rsidP="00C91F30">
    <w:pPr>
      <w:widowControl w:val="0"/>
      <w:autoSpaceDE w:val="0"/>
      <w:autoSpaceDN w:val="0"/>
      <w:adjustRightInd w:val="0"/>
      <w:spacing w:line="360" w:lineRule="auto"/>
      <w:rPr>
        <w:rFonts w:ascii="Calibri" w:eastAsia="Calibri" w:hAnsi="Calibri" w:cs="Verdana"/>
        <w:b/>
        <w:bCs/>
        <w:color w:val="404040"/>
        <w:szCs w:val="20"/>
      </w:rPr>
    </w:pPr>
    <w:r w:rsidRPr="00C91F30">
      <w:rPr>
        <w:rFonts w:ascii="Calibri" w:eastAsia="Calibri" w:hAnsi="Calibri" w:cs="Verdana"/>
        <w:b/>
        <w:bCs/>
        <w:color w:val="404040"/>
        <w:szCs w:val="20"/>
      </w:rPr>
      <w:t>Actions taken to develop institutional structure:</w:t>
    </w:r>
  </w:p>
  <w:p w14:paraId="0B745E77" w14:textId="77777777" w:rsidR="005F3FCF" w:rsidRPr="00C91F30" w:rsidRDefault="005F3FCF" w:rsidP="00C91F30">
    <w:pPr>
      <w:spacing w:line="360" w:lineRule="auto"/>
      <w:rPr>
        <w:rFonts w:ascii="Calibri" w:eastAsia="Calibri" w:hAnsi="Calibri" w:cs="Verdana"/>
        <w:bCs/>
        <w:color w:val="404040"/>
        <w:szCs w:val="20"/>
      </w:rPr>
    </w:pPr>
    <w:r w:rsidRPr="00C91F30">
      <w:rPr>
        <w:rFonts w:ascii="Calibri" w:eastAsia="Calibri" w:hAnsi="Calibri" w:cs="Verdana"/>
        <w:bCs/>
        <w:color w:val="404040"/>
        <w:szCs w:val="20"/>
      </w:rPr>
      <w:t>As outlined in the 2015-2019 Consolidated Plan, Salt Lake City has taken a coordinated and strategic shift in allocating federal entitlement funds to place a stronger emphasis on community needs, goals, objectives and outcomes. This includes the following efforts to strengthen and develop institutional structure:</w:t>
    </w:r>
  </w:p>
  <w:p w14:paraId="0A58A32C" w14:textId="77777777" w:rsidR="005F3FCF" w:rsidRPr="00C91F30" w:rsidRDefault="005F3FCF" w:rsidP="00C91F30">
    <w:pPr>
      <w:numPr>
        <w:ilvl w:val="0"/>
        <w:numId w:val="16"/>
      </w:numPr>
      <w:spacing w:line="360" w:lineRule="auto"/>
      <w:contextualSpacing/>
      <w:rPr>
        <w:rFonts w:ascii="Calibri" w:eastAsia="Calibri" w:hAnsi="Calibri" w:cs="Verdana"/>
        <w:bCs/>
        <w:color w:val="404040"/>
        <w:szCs w:val="20"/>
      </w:rPr>
    </w:pPr>
    <w:r w:rsidRPr="00C91F30">
      <w:rPr>
        <w:rFonts w:ascii="Calibri" w:eastAsia="Calibri" w:hAnsi="Calibri" w:cs="Verdana"/>
        <w:bCs/>
        <w:color w:val="404040"/>
        <w:szCs w:val="20"/>
      </w:rPr>
      <w:t xml:space="preserve">Geographically targeted funding to racial and ethnic concentrated areas of poverty, with focus on the Central City/Central Ninth and Poplar Grove local target areas, to increase access to opportunity within these neighborhoods. </w:t>
    </w:r>
  </w:p>
  <w:p w14:paraId="05787B59" w14:textId="77777777" w:rsidR="005F3FCF" w:rsidRPr="00C91F30" w:rsidRDefault="005F3FCF" w:rsidP="00C91F30">
    <w:pPr>
      <w:numPr>
        <w:ilvl w:val="0"/>
        <w:numId w:val="16"/>
      </w:numPr>
      <w:spacing w:line="360" w:lineRule="auto"/>
      <w:contextualSpacing/>
      <w:rPr>
        <w:rFonts w:ascii="Calibri" w:eastAsia="Calibri" w:hAnsi="Calibri" w:cs="Verdana"/>
        <w:bCs/>
        <w:color w:val="404040"/>
        <w:szCs w:val="20"/>
      </w:rPr>
    </w:pPr>
    <w:r w:rsidRPr="00C91F30">
      <w:rPr>
        <w:rFonts w:ascii="Calibri" w:eastAsia="Calibri" w:hAnsi="Calibri" w:cs="Verdana"/>
        <w:bCs/>
        <w:color w:val="404040"/>
        <w:szCs w:val="20"/>
      </w:rPr>
      <w:t>Increased coordination between housing and supportive service providers to reduce/eliminate duplicative efforts, encourage partnerships, increase transparency, and standardize processes.</w:t>
    </w:r>
  </w:p>
  <w:p w14:paraId="7A20A6D2" w14:textId="77777777" w:rsidR="005F3FCF" w:rsidRPr="00C91F30" w:rsidRDefault="005F3FCF" w:rsidP="00C91F30">
    <w:pPr>
      <w:numPr>
        <w:ilvl w:val="0"/>
        <w:numId w:val="16"/>
      </w:numPr>
      <w:spacing w:line="360" w:lineRule="auto"/>
      <w:contextualSpacing/>
      <w:rPr>
        <w:rFonts w:ascii="Calibri" w:hAnsi="Calibri"/>
        <w:color w:val="404040"/>
        <w:szCs w:val="20"/>
      </w:rPr>
    </w:pPr>
    <w:r w:rsidRPr="00C91F30">
      <w:rPr>
        <w:rFonts w:ascii="Calibri" w:hAnsi="Calibri"/>
        <w:color w:val="404040"/>
        <w:szCs w:val="20"/>
      </w:rPr>
      <w:t>Strengthened support for the city’s most vulnerable populations, including the chronically homeless, homeless families, food-insecure individuals, the disabled, persons living with HIV/AIDS, victims of domestic violence and the low-income elderly.</w:t>
    </w:r>
  </w:p>
  <w:p w14:paraId="51ACCDE9" w14:textId="77777777" w:rsidR="005F3FCF" w:rsidRPr="00C91F30" w:rsidRDefault="005F3FCF" w:rsidP="00C91F30">
    <w:pPr>
      <w:numPr>
        <w:ilvl w:val="0"/>
        <w:numId w:val="16"/>
      </w:numPr>
      <w:spacing w:line="360" w:lineRule="auto"/>
      <w:contextualSpacing/>
      <w:rPr>
        <w:rFonts w:ascii="Calibri" w:hAnsi="Calibri"/>
        <w:color w:val="404040"/>
        <w:szCs w:val="20"/>
      </w:rPr>
    </w:pPr>
    <w:r w:rsidRPr="00C91F30">
      <w:rPr>
        <w:rFonts w:ascii="Calibri" w:hAnsi="Calibri"/>
        <w:color w:val="404040"/>
        <w:szCs w:val="20"/>
      </w:rPr>
      <w:t>Supported housing efforts that connect residents with supportive services and programs that improve self-sufficiency.</w:t>
    </w:r>
  </w:p>
  <w:p w14:paraId="6D6434CA" w14:textId="77777777" w:rsidR="005F3FCF" w:rsidRPr="00C91F30" w:rsidRDefault="005F3FCF" w:rsidP="00C91F30">
    <w:pPr>
      <w:numPr>
        <w:ilvl w:val="0"/>
        <w:numId w:val="16"/>
      </w:numPr>
      <w:spacing w:line="360" w:lineRule="auto"/>
      <w:contextualSpacing/>
      <w:rPr>
        <w:rFonts w:ascii="Calibri" w:hAnsi="Calibri"/>
        <w:color w:val="404040"/>
        <w:szCs w:val="20"/>
      </w:rPr>
    </w:pPr>
    <w:r w:rsidRPr="00C91F30">
      <w:rPr>
        <w:rFonts w:ascii="Calibri" w:hAnsi="Calibri"/>
        <w:color w:val="404040"/>
        <w:szCs w:val="20"/>
      </w:rPr>
      <w:t xml:space="preserve">Provided technical assistance to agencies implementing projects with CDBG, ESG, HOME, and/or HOPWA funding to ensure compliance and support of program objectives. Technical assistance was provided to each agency that had not received funding from Salt Lake City in the past few years, or any agency that requested it to assist in strengthening their programs and the knowledge of staff members. </w:t>
    </w:r>
  </w:p>
  <w:p w14:paraId="384A1EB9" w14:textId="77777777" w:rsidR="005F3FCF" w:rsidRPr="00C91F30" w:rsidRDefault="005F3FCF" w:rsidP="00C91F30">
    <w:pPr>
      <w:numPr>
        <w:ilvl w:val="0"/>
        <w:numId w:val="16"/>
      </w:numPr>
      <w:spacing w:line="360" w:lineRule="auto"/>
      <w:contextualSpacing/>
      <w:rPr>
        <w:rFonts w:ascii="Calibri" w:hAnsi="Calibri"/>
        <w:color w:val="404040"/>
        <w:szCs w:val="20"/>
      </w:rPr>
    </w:pPr>
    <w:r w:rsidRPr="00C91F30">
      <w:rPr>
        <w:rFonts w:ascii="Calibri" w:hAnsi="Calibri"/>
        <w:color w:val="404040"/>
        <w:szCs w:val="20"/>
      </w:rPr>
      <w:t>Supported employee training and certifications to expand the internal knowledge base on HUD programs, as well as housing and community development best practices.</w:t>
    </w:r>
  </w:p>
  <w:p w14:paraId="0E896412" w14:textId="77777777" w:rsidR="005F3FCF" w:rsidRPr="00C91F30" w:rsidRDefault="005F3FCF" w:rsidP="00C91F30">
    <w:pPr>
      <w:numPr>
        <w:ilvl w:val="0"/>
        <w:numId w:val="16"/>
      </w:numPr>
      <w:spacing w:line="360" w:lineRule="auto"/>
      <w:contextualSpacing/>
      <w:rPr>
        <w:rFonts w:ascii="Calibri" w:hAnsi="Calibri"/>
        <w:color w:val="404040"/>
        <w:szCs w:val="20"/>
      </w:rPr>
    </w:pPr>
    <w:r w:rsidRPr="00C91F30">
      <w:rPr>
        <w:rFonts w:ascii="Calibri" w:hAnsi="Calibri"/>
        <w:color w:val="404040"/>
        <w:szCs w:val="20"/>
      </w:rPr>
      <w:t xml:space="preserve">Sent staff to HUD led trainings including the HOPWA Institute and CPD Grant Training. </w:t>
    </w:r>
  </w:p>
  <w:p w14:paraId="47D0B73E" w14:textId="77777777" w:rsidR="005F3FCF" w:rsidRPr="00C91F30" w:rsidRDefault="005F3FCF" w:rsidP="00C91F30">
    <w:pPr>
      <w:spacing w:line="360" w:lineRule="auto"/>
      <w:ind w:right="360"/>
      <w:rPr>
        <w:rFonts w:ascii="Calibri" w:hAnsi="Calibri" w:cs="Calibri"/>
        <w:b/>
        <w:color w:val="404040"/>
        <w:szCs w:val="20"/>
      </w:rPr>
    </w:pPr>
  </w:p>
  <w:p w14:paraId="2D12A1E9" w14:textId="77777777" w:rsidR="005F3FCF" w:rsidRPr="00C91F30" w:rsidRDefault="005F3FCF" w:rsidP="00C91F30">
    <w:pPr>
      <w:widowControl w:val="0"/>
      <w:autoSpaceDE w:val="0"/>
      <w:autoSpaceDN w:val="0"/>
      <w:adjustRightInd w:val="0"/>
      <w:spacing w:line="360" w:lineRule="auto"/>
      <w:rPr>
        <w:rFonts w:ascii="Calibri" w:eastAsia="Calibri" w:hAnsi="Calibri" w:cs="Verdana"/>
        <w:b/>
        <w:bCs/>
        <w:color w:val="404040"/>
        <w:szCs w:val="20"/>
      </w:rPr>
    </w:pPr>
    <w:r w:rsidRPr="00C91F30">
      <w:rPr>
        <w:rFonts w:ascii="Calibri" w:eastAsia="Calibri" w:hAnsi="Calibri" w:cs="Verdana"/>
        <w:b/>
        <w:bCs/>
        <w:color w:val="404040"/>
        <w:szCs w:val="20"/>
      </w:rPr>
      <w:t>Actions taken to enhance coordination between public and private housing and social service agencies:</w:t>
    </w:r>
  </w:p>
  <w:p w14:paraId="3EDA400F" w14:textId="77777777" w:rsidR="005F3FCF" w:rsidRPr="00C91F30" w:rsidRDefault="005F3FCF" w:rsidP="00C91F30">
    <w:pPr>
      <w:spacing w:line="360" w:lineRule="auto"/>
      <w:rPr>
        <w:rFonts w:ascii="Calibri" w:eastAsia="Calibri" w:hAnsi="Calibri" w:cs="Verdana"/>
        <w:bCs/>
        <w:color w:val="404040"/>
        <w:szCs w:val="20"/>
      </w:rPr>
    </w:pPr>
    <w:r w:rsidRPr="00C91F30">
      <w:rPr>
        <w:rFonts w:ascii="Calibri" w:eastAsia="Calibri" w:hAnsi="Calibri" w:cs="Verdana"/>
        <w:bCs/>
        <w:color w:val="404040"/>
        <w:szCs w:val="20"/>
      </w:rPr>
      <w:t>Salt Lake City recognizes the importance of coordination between supportive service and housing providers in meeting priority needs. Stakeholders have continued to work towards developing and implementing a streamlined and effective delivery system to include the following efforts:</w:t>
    </w:r>
  </w:p>
  <w:p w14:paraId="55D8662D" w14:textId="77777777" w:rsidR="005F3FCF" w:rsidRPr="00C91F30" w:rsidRDefault="005F3FCF" w:rsidP="00C91F30">
    <w:pPr>
      <w:numPr>
        <w:ilvl w:val="0"/>
        <w:numId w:val="17"/>
      </w:numPr>
      <w:spacing w:line="360" w:lineRule="auto"/>
      <w:contextualSpacing/>
      <w:rPr>
        <w:rFonts w:ascii="Calibri" w:eastAsia="Calibri" w:hAnsi="Calibri" w:cs="Verdana"/>
        <w:bCs/>
        <w:color w:val="404040"/>
        <w:szCs w:val="20"/>
      </w:rPr>
    </w:pPr>
    <w:r w:rsidRPr="00C91F30">
      <w:rPr>
        <w:rFonts w:ascii="Calibri" w:eastAsia="Calibri" w:hAnsi="Calibri" w:cs="Verdana"/>
        <w:bCs/>
        <w:color w:val="404040"/>
        <w:szCs w:val="20"/>
      </w:rPr>
      <w:t>Increased coordination through the Salt Lake Continuum of Care and Homeless Coordinating Committee</w:t>
    </w:r>
  </w:p>
  <w:p w14:paraId="69D4A74F" w14:textId="77777777" w:rsidR="005F3FCF" w:rsidRPr="00C91F30" w:rsidRDefault="005F3FCF" w:rsidP="00C91F30">
    <w:pPr>
      <w:numPr>
        <w:ilvl w:val="0"/>
        <w:numId w:val="17"/>
      </w:numPr>
      <w:spacing w:line="360" w:lineRule="auto"/>
      <w:contextualSpacing/>
      <w:rPr>
        <w:rFonts w:ascii="Calibri" w:eastAsia="Calibri" w:hAnsi="Calibri" w:cs="Verdana"/>
        <w:bCs/>
        <w:color w:val="404040"/>
        <w:szCs w:val="20"/>
      </w:rPr>
    </w:pPr>
    <w:r w:rsidRPr="00C91F30">
      <w:rPr>
        <w:rFonts w:ascii="Calibri" w:eastAsia="Calibri" w:hAnsi="Calibri" w:cs="Verdana"/>
        <w:bCs/>
        <w:color w:val="404040"/>
        <w:szCs w:val="20"/>
      </w:rPr>
      <w:t>Improving coordinated assessments to help individuals and families experiencing homeless move through the system faster.</w:t>
    </w:r>
  </w:p>
  <w:p w14:paraId="1E236F2C" w14:textId="77777777" w:rsidR="005F3FCF" w:rsidRPr="00C91F30" w:rsidRDefault="005F3FCF" w:rsidP="00C91F30">
    <w:pPr>
      <w:numPr>
        <w:ilvl w:val="0"/>
        <w:numId w:val="17"/>
      </w:numPr>
      <w:spacing w:line="360" w:lineRule="auto"/>
      <w:contextualSpacing/>
      <w:rPr>
        <w:rFonts w:ascii="Calibri" w:eastAsia="Calibri" w:hAnsi="Calibri" w:cs="Verdana"/>
        <w:bCs/>
        <w:color w:val="404040"/>
        <w:szCs w:val="20"/>
      </w:rPr>
    </w:pPr>
    <w:r w:rsidRPr="00C91F30">
      <w:rPr>
        <w:rFonts w:ascii="Calibri" w:eastAsia="Calibri" w:hAnsi="Calibri" w:cs="Verdana"/>
        <w:bCs/>
        <w:color w:val="404040"/>
        <w:szCs w:val="20"/>
      </w:rPr>
      <w:t>Coordinated diversion and homeless prevention resources to reduce new entries into homelessness.</w:t>
    </w:r>
  </w:p>
  <w:p w14:paraId="506CACEC" w14:textId="77777777" w:rsidR="005F3FCF" w:rsidRPr="00C91F30" w:rsidRDefault="005F3FCF" w:rsidP="00C91F30">
    <w:pPr>
      <w:numPr>
        <w:ilvl w:val="0"/>
        <w:numId w:val="17"/>
      </w:numPr>
      <w:spacing w:line="360" w:lineRule="auto"/>
      <w:contextualSpacing/>
      <w:rPr>
        <w:rFonts w:ascii="Calibri" w:eastAsia="Calibri" w:hAnsi="Calibri" w:cs="Verdana"/>
        <w:bCs/>
        <w:color w:val="404040"/>
        <w:szCs w:val="20"/>
      </w:rPr>
    </w:pPr>
    <w:r w:rsidRPr="00C91F30">
      <w:rPr>
        <w:rFonts w:ascii="Calibri" w:eastAsia="Calibri" w:hAnsi="Calibri" w:cs="Verdana"/>
        <w:color w:val="404040"/>
        <w:szCs w:val="20"/>
      </w:rPr>
      <w:t>Monthly “housing triage” meetings that provide a format for developing a housing plan for homeless individuals and families with the most urgent housing needs.</w:t>
    </w:r>
  </w:p>
  <w:p w14:paraId="7432AD94" w14:textId="77777777" w:rsidR="005F3FCF" w:rsidRPr="00C91F30" w:rsidRDefault="005F3FCF" w:rsidP="00C91F30">
    <w:pPr>
      <w:spacing w:line="360" w:lineRule="auto"/>
      <w:rPr>
        <w:rFonts w:ascii="Calibri" w:hAnsi="Calibri" w:cs="Arial"/>
        <w:color w:val="404040"/>
        <w:szCs w:val="20"/>
      </w:rPr>
    </w:pPr>
  </w:p>
  <w:p w14:paraId="5739EA6B" w14:textId="77777777" w:rsidR="005F3FCF" w:rsidRPr="00C91F30" w:rsidRDefault="005F3FCF" w:rsidP="00C91F30">
    <w:pPr>
      <w:spacing w:line="360" w:lineRule="auto"/>
      <w:rPr>
        <w:rFonts w:ascii="Calibri" w:hAnsi="Calibri" w:cs="Arial"/>
        <w:color w:val="404040"/>
        <w:szCs w:val="20"/>
      </w:rPr>
    </w:pPr>
    <w:r w:rsidRPr="00C91F30">
      <w:rPr>
        <w:rFonts w:ascii="Calibri" w:hAnsi="Calibri" w:cs="Arial"/>
        <w:color w:val="404040"/>
        <w:szCs w:val="20"/>
      </w:rPr>
      <w:t>In addition, HAND has continued to explore opportunities to use its Housing Trust Fund monies as match for acquisition, rehabilitation and new construction of transitional and permanent housing projects proposed by local housing development agencies to provide affordable and special needs housing.</w:t>
    </w:r>
  </w:p>
  <w:p w14:paraId="63E2FB30" w14:textId="77777777" w:rsidR="005F3FCF" w:rsidRPr="00C91F30" w:rsidRDefault="005F3FCF" w:rsidP="00C91F30">
    <w:pPr>
      <w:spacing w:line="360" w:lineRule="auto"/>
      <w:rPr>
        <w:rFonts w:ascii="Calibri" w:hAnsi="Calibri" w:cs="Arial"/>
        <w:color w:val="404040"/>
        <w:szCs w:val="20"/>
      </w:rPr>
    </w:pPr>
  </w:p>
  <w:p w14:paraId="15CB44FF" w14:textId="77777777" w:rsidR="005F3FCF" w:rsidRPr="00C91F30" w:rsidRDefault="005F3FCF" w:rsidP="00C91F30">
    <w:pPr>
      <w:spacing w:line="360" w:lineRule="auto"/>
      <w:rPr>
        <w:rFonts w:ascii="Calibri" w:eastAsia="Times New Roman" w:hAnsi="Calibri" w:cs="Arial"/>
        <w:color w:val="404040"/>
        <w:szCs w:val="20"/>
      </w:rPr>
    </w:pPr>
    <w:r w:rsidRPr="00C91F30">
      <w:rPr>
        <w:rFonts w:ascii="Calibri" w:hAnsi="Calibri" w:cs="Arial"/>
        <w:color w:val="404040"/>
        <w:szCs w:val="20"/>
      </w:rPr>
      <w:t xml:space="preserve">Salt Lake City has numerous affordable housing units available for low income families and seniors and has continued </w:t>
    </w:r>
    <w:r>
      <w:rPr>
        <w:rFonts w:ascii="Calibri" w:hAnsi="Calibri" w:cs="Arial"/>
        <w:color w:val="404040"/>
        <w:szCs w:val="20"/>
      </w:rPr>
      <w:t xml:space="preserve">to encourage new developments. </w:t>
    </w:r>
    <w:r w:rsidRPr="00C91F30">
      <w:rPr>
        <w:rFonts w:ascii="Calibri" w:hAnsi="Calibri" w:cs="Arial"/>
        <w:color w:val="404040"/>
        <w:szCs w:val="20"/>
      </w:rPr>
      <w:t>The City has explored opportunities to participate with the Housing Authority, private developers, and non-profit agencies in the construction of affordable housing and supportive and special needs housing.  The City has also continued to collaborate with the providers of homeless services, neighborhood residents and business owners to create an environment where a mix of residents with different income levels and persons with special needs can live, work, and flourish together.</w:t>
    </w:r>
  </w:p>
  <w:p w14:paraId="322294F9" w14:textId="77777777" w:rsidR="005F3FCF" w:rsidRPr="00C91F30" w:rsidRDefault="005F3FCF" w:rsidP="00C91F30">
    <w:pPr>
      <w:spacing w:line="360" w:lineRule="auto"/>
      <w:ind w:right="360"/>
      <w:rPr>
        <w:rFonts w:ascii="Calibri" w:hAnsi="Calibri" w:cs="Calibri"/>
        <w:b/>
        <w:color w:val="FF0000"/>
        <w:szCs w:val="20"/>
      </w:rPr>
    </w:pPr>
  </w:p>
  <w:p w14:paraId="73B9DFFB" w14:textId="77777777" w:rsidR="005F3FCF" w:rsidRPr="00C91F30" w:rsidRDefault="005F3FCF" w:rsidP="00C91F30">
    <w:pPr>
      <w:spacing w:line="360" w:lineRule="auto"/>
      <w:ind w:right="360"/>
      <w:rPr>
        <w:rFonts w:ascii="Calibri" w:hAnsi="Calibri" w:cs="Calibri"/>
        <w:b/>
        <w:color w:val="404040"/>
        <w:szCs w:val="20"/>
      </w:rPr>
    </w:pPr>
    <w:r w:rsidRPr="00C91F30">
      <w:rPr>
        <w:rFonts w:ascii="Calibri" w:hAnsi="Calibri" w:cs="Calibri"/>
        <w:b/>
        <w:color w:val="404040"/>
        <w:szCs w:val="20"/>
      </w:rPr>
      <w:t xml:space="preserve">Identify actions taken to overcome the effects of any impediments identified in the jurisdictions analysis of impediments to fair housing choice. </w:t>
    </w:r>
  </w:p>
  <w:p w14:paraId="3CD2A3FC" w14:textId="77777777" w:rsidR="005F3FCF" w:rsidRPr="00C91F30" w:rsidRDefault="005F3FCF" w:rsidP="00C91F30">
    <w:pPr>
      <w:autoSpaceDE w:val="0"/>
      <w:autoSpaceDN w:val="0"/>
      <w:adjustRightInd w:val="0"/>
      <w:spacing w:line="360" w:lineRule="auto"/>
      <w:rPr>
        <w:rFonts w:ascii="Calibri" w:hAnsi="Calibri"/>
        <w:color w:val="404040"/>
        <w:szCs w:val="20"/>
      </w:rPr>
    </w:pPr>
    <w:r w:rsidRPr="00C91F30">
      <w:rPr>
        <w:rFonts w:ascii="Calibri" w:hAnsi="Calibri"/>
        <w:color w:val="404040"/>
        <w:szCs w:val="20"/>
      </w:rPr>
      <w:t xml:space="preserve">Salt Lake City has addressed impediments as identified in the most recent Analysis of Impediments. In addition, the City began to address impediments as identified through the 2015-2019 Consolidated Plan planning process. Efforts and achievements are as follows: </w:t>
    </w:r>
  </w:p>
  <w:p w14:paraId="77E9C180" w14:textId="77777777" w:rsidR="005F3FCF" w:rsidRPr="00C91F30" w:rsidRDefault="005F3FCF" w:rsidP="00C91F30">
    <w:pPr>
      <w:autoSpaceDE w:val="0"/>
      <w:autoSpaceDN w:val="0"/>
      <w:adjustRightInd w:val="0"/>
      <w:spacing w:line="360" w:lineRule="auto"/>
      <w:rPr>
        <w:rFonts w:ascii="Calibri" w:hAnsi="Calibri"/>
        <w:b/>
        <w:bCs/>
        <w:color w:val="404040"/>
        <w:szCs w:val="20"/>
      </w:rPr>
    </w:pPr>
  </w:p>
  <w:p w14:paraId="5DB14C3A" w14:textId="77777777" w:rsidR="005F3FCF" w:rsidRPr="00C91F30" w:rsidRDefault="005F3FCF" w:rsidP="00C91F30">
    <w:pPr>
      <w:autoSpaceDE w:val="0"/>
      <w:autoSpaceDN w:val="0"/>
      <w:adjustRightInd w:val="0"/>
      <w:spacing w:line="360" w:lineRule="auto"/>
      <w:rPr>
        <w:rFonts w:ascii="Calibri" w:hAnsi="Calibri"/>
        <w:i/>
        <w:color w:val="404040"/>
        <w:szCs w:val="20"/>
        <w:u w:val="single"/>
      </w:rPr>
    </w:pPr>
    <w:r w:rsidRPr="00C91F30">
      <w:rPr>
        <w:rFonts w:ascii="Calibri" w:hAnsi="Calibri"/>
        <w:bCs/>
        <w:i/>
        <w:color w:val="404040"/>
        <w:szCs w:val="20"/>
        <w:u w:val="single"/>
      </w:rPr>
      <w:t xml:space="preserve">Action: Affordable Housing Activities </w:t>
    </w:r>
  </w:p>
  <w:p w14:paraId="75C6294E" w14:textId="77777777" w:rsidR="005F3FCF" w:rsidRPr="00C91F30" w:rsidRDefault="005F3FCF" w:rsidP="00C91F30">
    <w:pPr>
      <w:autoSpaceDE w:val="0"/>
      <w:autoSpaceDN w:val="0"/>
      <w:adjustRightInd w:val="0"/>
      <w:spacing w:line="360" w:lineRule="auto"/>
      <w:ind w:left="360"/>
      <w:rPr>
        <w:rFonts w:ascii="Calibri" w:hAnsi="Calibri"/>
        <w:color w:val="404040"/>
        <w:szCs w:val="20"/>
      </w:rPr>
    </w:pPr>
    <w:r w:rsidRPr="00C91F30">
      <w:rPr>
        <w:rFonts w:ascii="Calibri" w:hAnsi="Calibri"/>
        <w:color w:val="404040"/>
        <w:szCs w:val="20"/>
      </w:rPr>
      <w:t xml:space="preserve">Impediments Addressed: </w:t>
    </w:r>
  </w:p>
  <w:p w14:paraId="4E2B862D" w14:textId="77777777" w:rsidR="005F3FCF" w:rsidRPr="00C91F30" w:rsidRDefault="005F3FCF" w:rsidP="00C91F30">
    <w:pPr>
      <w:numPr>
        <w:ilvl w:val="0"/>
        <w:numId w:val="21"/>
      </w:numPr>
      <w:autoSpaceDE w:val="0"/>
      <w:autoSpaceDN w:val="0"/>
      <w:adjustRightInd w:val="0"/>
      <w:spacing w:after="147"/>
      <w:ind w:left="1080"/>
      <w:rPr>
        <w:rFonts w:ascii="Calibri" w:hAnsi="Calibri"/>
        <w:color w:val="404040"/>
        <w:szCs w:val="20"/>
      </w:rPr>
    </w:pPr>
    <w:r w:rsidRPr="00C91F30">
      <w:rPr>
        <w:rFonts w:ascii="Calibri" w:hAnsi="Calibri"/>
        <w:color w:val="404040"/>
        <w:szCs w:val="20"/>
      </w:rPr>
      <w:t xml:space="preserve">Housing Discrimination and Disparate Treatment </w:t>
    </w:r>
  </w:p>
  <w:p w14:paraId="76C75B77" w14:textId="77777777" w:rsidR="005F3FCF" w:rsidRPr="00C91F30" w:rsidRDefault="005F3FCF" w:rsidP="00C91F30">
    <w:pPr>
      <w:numPr>
        <w:ilvl w:val="0"/>
        <w:numId w:val="21"/>
      </w:numPr>
      <w:autoSpaceDE w:val="0"/>
      <w:autoSpaceDN w:val="0"/>
      <w:adjustRightInd w:val="0"/>
      <w:spacing w:after="147"/>
      <w:ind w:left="1080"/>
      <w:rPr>
        <w:rFonts w:ascii="Calibri" w:hAnsi="Calibri"/>
        <w:color w:val="404040"/>
        <w:szCs w:val="20"/>
      </w:rPr>
    </w:pPr>
    <w:r w:rsidRPr="00C91F30">
      <w:rPr>
        <w:rFonts w:ascii="Calibri" w:hAnsi="Calibri"/>
        <w:color w:val="404040"/>
        <w:szCs w:val="20"/>
      </w:rPr>
      <w:t>Housi</w:t>
    </w:r>
    <w:r>
      <w:rPr>
        <w:rFonts w:ascii="Calibri" w:hAnsi="Calibri"/>
        <w:color w:val="404040"/>
        <w:szCs w:val="20"/>
      </w:rPr>
      <w:t>ng Affordable to Households at 4</w:t>
    </w:r>
    <w:r w:rsidRPr="00C91F30">
      <w:rPr>
        <w:rFonts w:ascii="Calibri" w:hAnsi="Calibri"/>
        <w:color w:val="404040"/>
        <w:szCs w:val="20"/>
      </w:rPr>
      <w:t>0% AMI and Below</w:t>
    </w:r>
  </w:p>
  <w:p w14:paraId="590CCC61" w14:textId="77777777" w:rsidR="005F3FCF" w:rsidRPr="00C91F30" w:rsidRDefault="005F3FCF" w:rsidP="00C91F30">
    <w:pPr>
      <w:numPr>
        <w:ilvl w:val="0"/>
        <w:numId w:val="21"/>
      </w:numPr>
      <w:autoSpaceDE w:val="0"/>
      <w:autoSpaceDN w:val="0"/>
      <w:adjustRightInd w:val="0"/>
      <w:spacing w:after="147"/>
      <w:ind w:left="1080"/>
      <w:rPr>
        <w:rFonts w:ascii="Calibri" w:hAnsi="Calibri"/>
        <w:color w:val="404040"/>
        <w:szCs w:val="20"/>
      </w:rPr>
    </w:pPr>
    <w:r w:rsidRPr="00C91F30">
      <w:rPr>
        <w:rFonts w:ascii="Calibri" w:hAnsi="Calibri"/>
        <w:color w:val="404040"/>
        <w:szCs w:val="20"/>
      </w:rPr>
      <w:t xml:space="preserve">Unfair Lending Practices </w:t>
    </w:r>
  </w:p>
  <w:p w14:paraId="5B0991A8" w14:textId="77777777" w:rsidR="005F3FCF" w:rsidRPr="00C91F30" w:rsidRDefault="005F3FCF" w:rsidP="00C91F30">
    <w:pPr>
      <w:numPr>
        <w:ilvl w:val="0"/>
        <w:numId w:val="21"/>
      </w:numPr>
      <w:autoSpaceDE w:val="0"/>
      <w:autoSpaceDN w:val="0"/>
      <w:adjustRightInd w:val="0"/>
      <w:spacing w:after="147"/>
      <w:ind w:left="1080"/>
      <w:rPr>
        <w:rFonts w:ascii="Calibri" w:hAnsi="Calibri"/>
        <w:color w:val="404040"/>
        <w:szCs w:val="20"/>
      </w:rPr>
    </w:pPr>
    <w:r w:rsidRPr="00C91F30">
      <w:rPr>
        <w:rFonts w:ascii="Calibri" w:hAnsi="Calibri"/>
        <w:color w:val="404040"/>
        <w:szCs w:val="20"/>
      </w:rPr>
      <w:t xml:space="preserve">Racial and Ethnic Segregation </w:t>
    </w:r>
  </w:p>
  <w:p w14:paraId="1925D3DE" w14:textId="77777777" w:rsidR="005F3FCF" w:rsidRPr="00C91F30" w:rsidRDefault="005F3FCF" w:rsidP="00C91F30">
    <w:pPr>
      <w:numPr>
        <w:ilvl w:val="0"/>
        <w:numId w:val="21"/>
      </w:numPr>
      <w:autoSpaceDE w:val="0"/>
      <w:autoSpaceDN w:val="0"/>
      <w:adjustRightInd w:val="0"/>
      <w:spacing w:after="147"/>
      <w:ind w:left="1080"/>
      <w:rPr>
        <w:rFonts w:ascii="Calibri" w:hAnsi="Calibri"/>
        <w:color w:val="404040"/>
        <w:szCs w:val="20"/>
      </w:rPr>
    </w:pPr>
    <w:r w:rsidRPr="00C91F30">
      <w:rPr>
        <w:rFonts w:ascii="Calibri" w:hAnsi="Calibri"/>
        <w:color w:val="404040"/>
        <w:szCs w:val="20"/>
      </w:rPr>
      <w:t xml:space="preserve">Access to Opportunity </w:t>
    </w:r>
  </w:p>
  <w:p w14:paraId="5B3DAC76" w14:textId="77777777" w:rsidR="005F3FCF" w:rsidRPr="00C91F30" w:rsidRDefault="005F3FCF" w:rsidP="00C91F30">
    <w:pPr>
      <w:numPr>
        <w:ilvl w:val="0"/>
        <w:numId w:val="21"/>
      </w:numPr>
      <w:autoSpaceDE w:val="0"/>
      <w:autoSpaceDN w:val="0"/>
      <w:adjustRightInd w:val="0"/>
      <w:spacing w:after="147"/>
      <w:ind w:left="1080"/>
      <w:rPr>
        <w:rFonts w:ascii="Calibri" w:hAnsi="Calibri"/>
        <w:color w:val="404040"/>
        <w:szCs w:val="20"/>
      </w:rPr>
    </w:pPr>
    <w:r w:rsidRPr="00C91F30">
      <w:rPr>
        <w:rFonts w:ascii="Calibri" w:hAnsi="Calibri"/>
        <w:color w:val="404040"/>
        <w:szCs w:val="20"/>
      </w:rPr>
      <w:t xml:space="preserve">Rental Housing for Large Families </w:t>
    </w:r>
  </w:p>
  <w:p w14:paraId="680E0946" w14:textId="77777777" w:rsidR="005F3FCF" w:rsidRPr="00C91F30" w:rsidRDefault="005F3FCF" w:rsidP="00C91F30">
    <w:pPr>
      <w:numPr>
        <w:ilvl w:val="0"/>
        <w:numId w:val="21"/>
      </w:numPr>
      <w:autoSpaceDE w:val="0"/>
      <w:autoSpaceDN w:val="0"/>
      <w:adjustRightInd w:val="0"/>
      <w:ind w:left="1080"/>
      <w:rPr>
        <w:rFonts w:ascii="Calibri" w:hAnsi="Calibri"/>
        <w:color w:val="404040"/>
        <w:szCs w:val="20"/>
      </w:rPr>
    </w:pPr>
    <w:r w:rsidRPr="00C91F30">
      <w:rPr>
        <w:rFonts w:ascii="Calibri" w:hAnsi="Calibri"/>
        <w:color w:val="404040"/>
        <w:szCs w:val="20"/>
      </w:rPr>
      <w:t xml:space="preserve">Housing for Disabled Persons </w:t>
    </w:r>
  </w:p>
  <w:p w14:paraId="7D86BD89" w14:textId="77777777" w:rsidR="005F3FCF" w:rsidRPr="00C91F30" w:rsidRDefault="005F3FCF" w:rsidP="00C91F30">
    <w:pPr>
      <w:autoSpaceDE w:val="0"/>
      <w:autoSpaceDN w:val="0"/>
      <w:adjustRightInd w:val="0"/>
      <w:spacing w:line="360" w:lineRule="auto"/>
      <w:ind w:left="720"/>
      <w:rPr>
        <w:rFonts w:ascii="Calibri" w:hAnsi="Calibri"/>
        <w:color w:val="404040"/>
        <w:szCs w:val="20"/>
      </w:rPr>
    </w:pPr>
  </w:p>
  <w:p w14:paraId="35221B52" w14:textId="77777777" w:rsidR="005F3FCF" w:rsidRPr="00C91F30" w:rsidRDefault="005F3FCF" w:rsidP="00C91F30">
    <w:pPr>
      <w:spacing w:line="360" w:lineRule="auto"/>
      <w:rPr>
        <w:rFonts w:ascii="Calibri" w:hAnsi="Calibri"/>
        <w:color w:val="404040"/>
        <w:szCs w:val="20"/>
      </w:rPr>
    </w:pPr>
    <w:r w:rsidRPr="00C91F30">
      <w:rPr>
        <w:rFonts w:ascii="Calibri" w:hAnsi="Calibri"/>
        <w:color w:val="404040"/>
        <w:szCs w:val="20"/>
      </w:rPr>
      <w:t xml:space="preserve">Summary: Salt Lake City utilized CDBG and HOME funding to provide direct financial assistance and rehabilitation loans to low and moderate-income homebuyers and homeowners; down payment grants; emergency repair and accessibility modification grants; and rental assistance to eligible households. Assistance allowed eligible households to purchase or rehabilitate housing and provided an alternative to traditional bank loans. In addition, assistance provided essential health, safety and welfare improvements for existing homeowners, and provided rental assistance for extremely low-income households. </w:t>
    </w:r>
  </w:p>
  <w:p w14:paraId="787ED7A7" w14:textId="77777777" w:rsidR="005F3FCF" w:rsidRPr="00C91F30" w:rsidRDefault="005F3FCF" w:rsidP="00C91F30">
    <w:pPr>
      <w:spacing w:line="360" w:lineRule="auto"/>
      <w:rPr>
        <w:rFonts w:ascii="Calibri" w:hAnsi="Calibri"/>
        <w:color w:val="404040"/>
        <w:szCs w:val="20"/>
      </w:rPr>
    </w:pPr>
  </w:p>
  <w:p w14:paraId="35240AB8" w14:textId="77777777" w:rsidR="005F3FCF" w:rsidRDefault="005F3FCF" w:rsidP="00C91F30">
    <w:pPr>
      <w:autoSpaceDE w:val="0"/>
      <w:autoSpaceDN w:val="0"/>
      <w:adjustRightInd w:val="0"/>
      <w:spacing w:line="360" w:lineRule="auto"/>
      <w:rPr>
        <w:rFonts w:ascii="Calibri" w:hAnsi="Calibri" w:cs="Calibri"/>
        <w:bCs/>
        <w:i/>
        <w:color w:val="404040"/>
        <w:szCs w:val="20"/>
        <w:u w:val="single"/>
      </w:rPr>
    </w:pPr>
  </w:p>
  <w:p w14:paraId="42BC01CC" w14:textId="77777777" w:rsidR="005F3FCF" w:rsidRPr="00C91F30" w:rsidRDefault="005F3FCF" w:rsidP="00C91F30">
    <w:pPr>
      <w:autoSpaceDE w:val="0"/>
      <w:autoSpaceDN w:val="0"/>
      <w:adjustRightInd w:val="0"/>
      <w:spacing w:line="360" w:lineRule="auto"/>
      <w:rPr>
        <w:rFonts w:ascii="Calibri" w:hAnsi="Calibri" w:cs="Calibri"/>
        <w:i/>
        <w:color w:val="404040"/>
        <w:szCs w:val="20"/>
        <w:u w:val="single"/>
      </w:rPr>
    </w:pPr>
    <w:r w:rsidRPr="00C91F30">
      <w:rPr>
        <w:rFonts w:ascii="Calibri" w:hAnsi="Calibri" w:cs="Calibri"/>
        <w:bCs/>
        <w:i/>
        <w:color w:val="404040"/>
        <w:szCs w:val="20"/>
        <w:u w:val="single"/>
      </w:rPr>
      <w:t xml:space="preserve">Action: Housing Supportive Services and Special Needs Housing </w:t>
    </w:r>
  </w:p>
  <w:p w14:paraId="419DB77E" w14:textId="77777777" w:rsidR="005F3FCF" w:rsidRPr="00C91F30" w:rsidRDefault="005F3FCF" w:rsidP="00C91F30">
    <w:pPr>
      <w:autoSpaceDE w:val="0"/>
      <w:autoSpaceDN w:val="0"/>
      <w:adjustRightInd w:val="0"/>
      <w:spacing w:line="360" w:lineRule="auto"/>
      <w:ind w:left="360"/>
      <w:rPr>
        <w:rFonts w:ascii="Calibri" w:hAnsi="Calibri" w:cs="Calibri"/>
        <w:color w:val="404040"/>
        <w:szCs w:val="20"/>
      </w:rPr>
    </w:pPr>
    <w:r w:rsidRPr="00C91F30">
      <w:rPr>
        <w:rFonts w:ascii="Calibri" w:hAnsi="Calibri" w:cs="Calibri"/>
        <w:color w:val="404040"/>
        <w:szCs w:val="20"/>
      </w:rPr>
      <w:t xml:space="preserve">Impediment Addressed: </w:t>
    </w:r>
  </w:p>
  <w:p w14:paraId="5A952215" w14:textId="77777777" w:rsidR="005F3FCF" w:rsidRPr="00C91F30" w:rsidRDefault="005F3FCF" w:rsidP="00C91F30">
    <w:pPr>
      <w:numPr>
        <w:ilvl w:val="0"/>
        <w:numId w:val="21"/>
      </w:numPr>
      <w:autoSpaceDE w:val="0"/>
      <w:autoSpaceDN w:val="0"/>
      <w:adjustRightInd w:val="0"/>
      <w:spacing w:after="147" w:line="360" w:lineRule="auto"/>
      <w:ind w:left="1080"/>
      <w:contextualSpacing/>
      <w:rPr>
        <w:rFonts w:ascii="Calibri" w:hAnsi="Calibri" w:cs="Calibri"/>
        <w:color w:val="404040"/>
        <w:szCs w:val="20"/>
      </w:rPr>
    </w:pPr>
    <w:r w:rsidRPr="00C91F30">
      <w:rPr>
        <w:rFonts w:ascii="Calibri" w:hAnsi="Calibri" w:cs="Calibri"/>
        <w:color w:val="404040"/>
        <w:szCs w:val="20"/>
      </w:rPr>
      <w:t xml:space="preserve">Housing Discrimination and Disparate Treatment </w:t>
    </w:r>
  </w:p>
  <w:p w14:paraId="26495A25" w14:textId="77777777" w:rsidR="005F3FCF" w:rsidRPr="00C91F30" w:rsidRDefault="005F3FCF" w:rsidP="00C91F30">
    <w:pPr>
      <w:numPr>
        <w:ilvl w:val="0"/>
        <w:numId w:val="21"/>
      </w:numPr>
      <w:autoSpaceDE w:val="0"/>
      <w:autoSpaceDN w:val="0"/>
      <w:adjustRightInd w:val="0"/>
      <w:spacing w:after="147" w:line="360" w:lineRule="auto"/>
      <w:ind w:left="1080"/>
      <w:contextualSpacing/>
      <w:rPr>
        <w:rFonts w:ascii="Calibri" w:hAnsi="Calibri" w:cs="Calibri"/>
        <w:color w:val="404040"/>
        <w:szCs w:val="20"/>
      </w:rPr>
    </w:pPr>
    <w:r w:rsidRPr="00C91F30">
      <w:rPr>
        <w:rFonts w:ascii="Calibri" w:hAnsi="Calibri" w:cs="Calibri"/>
        <w:color w:val="404040"/>
        <w:szCs w:val="20"/>
      </w:rPr>
      <w:t xml:space="preserve">Housing Affordable to Households at 50% AMI and Below </w:t>
    </w:r>
  </w:p>
  <w:p w14:paraId="67140119" w14:textId="77777777" w:rsidR="005F3FCF" w:rsidRPr="00C91F30" w:rsidRDefault="005F3FCF" w:rsidP="00C91F30">
    <w:pPr>
      <w:numPr>
        <w:ilvl w:val="0"/>
        <w:numId w:val="21"/>
      </w:numPr>
      <w:autoSpaceDE w:val="0"/>
      <w:autoSpaceDN w:val="0"/>
      <w:adjustRightInd w:val="0"/>
      <w:spacing w:line="360" w:lineRule="auto"/>
      <w:ind w:left="1080"/>
      <w:contextualSpacing/>
      <w:rPr>
        <w:rFonts w:ascii="Calibri" w:hAnsi="Calibri" w:cs="Calibri"/>
        <w:color w:val="404040"/>
        <w:szCs w:val="20"/>
      </w:rPr>
    </w:pPr>
    <w:r w:rsidRPr="00C91F30">
      <w:rPr>
        <w:rFonts w:ascii="Calibri" w:hAnsi="Calibri" w:cs="Calibri"/>
        <w:color w:val="404040"/>
        <w:szCs w:val="20"/>
      </w:rPr>
      <w:t xml:space="preserve">Housing for Disabled Persons </w:t>
    </w:r>
  </w:p>
  <w:p w14:paraId="057B1D1D" w14:textId="77777777" w:rsidR="005F3FCF" w:rsidRPr="00C91F30" w:rsidRDefault="005F3FCF" w:rsidP="00C91F30">
    <w:pPr>
      <w:autoSpaceDE w:val="0"/>
      <w:autoSpaceDN w:val="0"/>
      <w:adjustRightInd w:val="0"/>
      <w:spacing w:line="360" w:lineRule="auto"/>
      <w:rPr>
        <w:rFonts w:ascii="Calibri" w:hAnsi="Calibri" w:cs="Calibri"/>
        <w:color w:val="404040"/>
        <w:szCs w:val="20"/>
      </w:rPr>
    </w:pPr>
  </w:p>
  <w:p w14:paraId="5F188CC4" w14:textId="77777777" w:rsidR="005F3FCF" w:rsidRPr="00C91F30" w:rsidRDefault="005F3FCF" w:rsidP="00C91F30">
    <w:pPr>
      <w:autoSpaceDE w:val="0"/>
      <w:autoSpaceDN w:val="0"/>
      <w:adjustRightInd w:val="0"/>
      <w:spacing w:line="360" w:lineRule="auto"/>
      <w:rPr>
        <w:rFonts w:ascii="Calibri" w:hAnsi="Calibri" w:cs="Calibri"/>
        <w:color w:val="404040"/>
        <w:szCs w:val="20"/>
      </w:rPr>
    </w:pPr>
    <w:r w:rsidRPr="00C91F30">
      <w:rPr>
        <w:rFonts w:ascii="Calibri" w:hAnsi="Calibri" w:cs="Calibri"/>
        <w:color w:val="404040"/>
        <w:szCs w:val="20"/>
      </w:rPr>
      <w:t xml:space="preserve">Summary: HAND continued to allocate HUD funds to provide emergency shelter for homeless persons; tenant-based rental assistance to transition homeless, special needs, and other at-risk populations into permanent housing; transitional housing and supportive services for homeless single women; residential substance abuse treatment and case management to homeless mothers and therapeutic intervention to their children; residential substance abuse treatment to chronically homeless men; emergency shelter, case management and supportive services to chronically homeless individuals with severe and persistent mental illness; and tenant-based rental assistance, housing information and referral services, short-term rent, mortgage and utility assistance, and permanent housing placement assistance, and case management to persons with HIV/AIDS. </w:t>
    </w:r>
  </w:p>
  <w:p w14:paraId="4BDD33FD" w14:textId="77777777" w:rsidR="005F3FCF" w:rsidRPr="00C91F30" w:rsidRDefault="005F3FCF" w:rsidP="00C91F30">
    <w:pPr>
      <w:spacing w:line="360" w:lineRule="auto"/>
      <w:rPr>
        <w:rFonts w:ascii="Calibri" w:hAnsi="Calibri" w:cs="Calibri"/>
        <w:color w:val="404040"/>
        <w:szCs w:val="20"/>
      </w:rPr>
    </w:pPr>
  </w:p>
  <w:p w14:paraId="00204343" w14:textId="77777777" w:rsidR="005F3FCF" w:rsidRPr="00C91F30" w:rsidRDefault="005F3FCF" w:rsidP="00C91F30">
    <w:pPr>
      <w:autoSpaceDE w:val="0"/>
      <w:autoSpaceDN w:val="0"/>
      <w:adjustRightInd w:val="0"/>
      <w:spacing w:line="360" w:lineRule="auto"/>
      <w:rPr>
        <w:rFonts w:ascii="Calibri" w:hAnsi="Calibri" w:cs="Calibri"/>
        <w:i/>
        <w:color w:val="404040"/>
        <w:szCs w:val="20"/>
        <w:u w:val="single"/>
      </w:rPr>
    </w:pPr>
    <w:r w:rsidRPr="00C91F30">
      <w:rPr>
        <w:rFonts w:ascii="Calibri" w:hAnsi="Calibri" w:cs="Calibri"/>
        <w:bCs/>
        <w:i/>
        <w:color w:val="404040"/>
        <w:szCs w:val="20"/>
        <w:u w:val="single"/>
      </w:rPr>
      <w:t xml:space="preserve">Action: Public Services to Expand Opportunity </w:t>
    </w:r>
  </w:p>
  <w:p w14:paraId="70C1065A" w14:textId="77777777" w:rsidR="005F3FCF" w:rsidRPr="00C91F30" w:rsidRDefault="005F3FCF" w:rsidP="00C91F30">
    <w:pPr>
      <w:autoSpaceDE w:val="0"/>
      <w:autoSpaceDN w:val="0"/>
      <w:adjustRightInd w:val="0"/>
      <w:spacing w:line="360" w:lineRule="auto"/>
      <w:ind w:left="360"/>
      <w:rPr>
        <w:rFonts w:ascii="Calibri" w:hAnsi="Calibri" w:cs="Calibri"/>
        <w:color w:val="404040"/>
        <w:szCs w:val="20"/>
      </w:rPr>
    </w:pPr>
    <w:r w:rsidRPr="00C91F30">
      <w:rPr>
        <w:rFonts w:ascii="Calibri" w:hAnsi="Calibri" w:cs="Calibri"/>
        <w:color w:val="404040"/>
        <w:szCs w:val="20"/>
      </w:rPr>
      <w:t xml:space="preserve">Impediment Addressed: </w:t>
    </w:r>
  </w:p>
  <w:p w14:paraId="381DA08F" w14:textId="77777777" w:rsidR="005F3FCF" w:rsidRPr="00C91F30" w:rsidRDefault="005F3FCF" w:rsidP="00C91F30">
    <w:pPr>
      <w:numPr>
        <w:ilvl w:val="0"/>
        <w:numId w:val="21"/>
      </w:numPr>
      <w:autoSpaceDE w:val="0"/>
      <w:autoSpaceDN w:val="0"/>
      <w:adjustRightInd w:val="0"/>
      <w:spacing w:line="360" w:lineRule="auto"/>
      <w:ind w:left="1080"/>
      <w:contextualSpacing/>
      <w:rPr>
        <w:rFonts w:ascii="Calibri" w:hAnsi="Calibri" w:cs="Calibri"/>
        <w:color w:val="404040"/>
        <w:szCs w:val="20"/>
      </w:rPr>
    </w:pPr>
    <w:r w:rsidRPr="00C91F30">
      <w:rPr>
        <w:rFonts w:ascii="Calibri" w:hAnsi="Calibri" w:cs="Calibri"/>
        <w:color w:val="404040"/>
        <w:szCs w:val="20"/>
      </w:rPr>
      <w:t xml:space="preserve">Expand Opportunity </w:t>
    </w:r>
  </w:p>
  <w:p w14:paraId="63A56B88" w14:textId="77777777" w:rsidR="005F3FCF" w:rsidRPr="00C91F30" w:rsidRDefault="005F3FCF" w:rsidP="00C91F30">
    <w:pPr>
      <w:autoSpaceDE w:val="0"/>
      <w:autoSpaceDN w:val="0"/>
      <w:adjustRightInd w:val="0"/>
      <w:spacing w:line="360" w:lineRule="auto"/>
      <w:rPr>
        <w:rFonts w:ascii="Calibri" w:hAnsi="Calibri" w:cs="Calibri"/>
        <w:color w:val="404040"/>
        <w:szCs w:val="20"/>
      </w:rPr>
    </w:pPr>
  </w:p>
  <w:p w14:paraId="5C1B3B96" w14:textId="77777777" w:rsidR="005F3FCF" w:rsidRPr="00C91F30" w:rsidRDefault="005F3FCF" w:rsidP="00C91F30">
    <w:pPr>
      <w:spacing w:line="360" w:lineRule="auto"/>
      <w:rPr>
        <w:rFonts w:ascii="Calibri" w:hAnsi="Calibri" w:cs="Calibri"/>
        <w:color w:val="404040"/>
        <w:szCs w:val="20"/>
      </w:rPr>
    </w:pPr>
    <w:r w:rsidRPr="00C91F30">
      <w:rPr>
        <w:rFonts w:ascii="Calibri" w:hAnsi="Calibri" w:cs="Calibri"/>
        <w:color w:val="404040"/>
        <w:szCs w:val="20"/>
      </w:rPr>
      <w:t xml:space="preserve">Summary: Public service activities were utilized to expand opportunity with focus on racial and ethnic concentrated areas of poverty. Activities included support for after school programs that serve at risk youth, food banks that assist food insecure households, and programs that provide vocational opportunities for disabled adults, among others. </w:t>
    </w:r>
  </w:p>
  <w:p w14:paraId="1BC9DB03" w14:textId="77777777" w:rsidR="005F3FCF" w:rsidRPr="00C91F30" w:rsidRDefault="005F3FCF" w:rsidP="00C91F30">
    <w:pPr>
      <w:spacing w:line="360" w:lineRule="auto"/>
      <w:rPr>
        <w:rFonts w:ascii="Calibri" w:hAnsi="Calibri" w:cs="Calibri"/>
        <w:color w:val="404040"/>
        <w:szCs w:val="20"/>
      </w:rPr>
    </w:pPr>
  </w:p>
  <w:p w14:paraId="29E3BCAF" w14:textId="77777777" w:rsidR="005F3FCF" w:rsidRPr="00C91F30" w:rsidRDefault="005F3FCF" w:rsidP="00C91F30">
    <w:pPr>
      <w:autoSpaceDE w:val="0"/>
      <w:autoSpaceDN w:val="0"/>
      <w:adjustRightInd w:val="0"/>
      <w:spacing w:line="360" w:lineRule="auto"/>
      <w:rPr>
        <w:rFonts w:ascii="Calibri" w:hAnsi="Calibri" w:cs="Calibri"/>
        <w:i/>
        <w:color w:val="404040"/>
        <w:szCs w:val="20"/>
        <w:u w:val="single"/>
      </w:rPr>
    </w:pPr>
    <w:r w:rsidRPr="00C91F30">
      <w:rPr>
        <w:rFonts w:ascii="Calibri" w:hAnsi="Calibri" w:cs="Calibri"/>
        <w:bCs/>
        <w:i/>
        <w:color w:val="404040"/>
        <w:szCs w:val="20"/>
        <w:u w:val="single"/>
      </w:rPr>
      <w:t xml:space="preserve">Action: </w:t>
    </w:r>
    <w:r>
      <w:rPr>
        <w:rFonts w:ascii="Calibri" w:hAnsi="Calibri" w:cs="Calibri"/>
        <w:bCs/>
        <w:i/>
        <w:color w:val="404040"/>
        <w:szCs w:val="20"/>
        <w:u w:val="single"/>
      </w:rPr>
      <w:t>Housing Plan: Growing SLC</w:t>
    </w:r>
    <w:r w:rsidRPr="00C91F30">
      <w:rPr>
        <w:rFonts w:ascii="Calibri" w:hAnsi="Calibri" w:cs="Calibri"/>
        <w:bCs/>
        <w:i/>
        <w:color w:val="404040"/>
        <w:szCs w:val="20"/>
        <w:u w:val="single"/>
      </w:rPr>
      <w:t xml:space="preserve"> </w:t>
    </w:r>
  </w:p>
  <w:p w14:paraId="20CA6110" w14:textId="77777777" w:rsidR="005F3FCF" w:rsidRPr="00C91F30" w:rsidRDefault="005F3FCF" w:rsidP="00C91F30">
    <w:pPr>
      <w:autoSpaceDE w:val="0"/>
      <w:autoSpaceDN w:val="0"/>
      <w:adjustRightInd w:val="0"/>
      <w:spacing w:line="360" w:lineRule="auto"/>
      <w:ind w:left="360"/>
      <w:rPr>
        <w:rFonts w:ascii="Calibri" w:hAnsi="Calibri" w:cs="Calibri"/>
        <w:color w:val="404040"/>
        <w:szCs w:val="20"/>
      </w:rPr>
    </w:pPr>
    <w:r w:rsidRPr="00C91F30">
      <w:rPr>
        <w:rFonts w:ascii="Calibri" w:hAnsi="Calibri" w:cs="Calibri"/>
        <w:color w:val="404040"/>
        <w:szCs w:val="20"/>
      </w:rPr>
      <w:t xml:space="preserve">Impediments addressed: </w:t>
    </w:r>
  </w:p>
  <w:p w14:paraId="0EFA7456" w14:textId="77777777" w:rsidR="005F3FCF" w:rsidRPr="00C91F30" w:rsidRDefault="005F3FCF" w:rsidP="00C91F30">
    <w:pPr>
      <w:numPr>
        <w:ilvl w:val="0"/>
        <w:numId w:val="21"/>
      </w:numPr>
      <w:autoSpaceDE w:val="0"/>
      <w:autoSpaceDN w:val="0"/>
      <w:adjustRightInd w:val="0"/>
      <w:spacing w:after="147" w:line="360" w:lineRule="auto"/>
      <w:ind w:left="1080"/>
      <w:contextualSpacing/>
      <w:rPr>
        <w:rFonts w:ascii="Calibri" w:hAnsi="Calibri" w:cs="Calibri"/>
        <w:color w:val="404040"/>
        <w:szCs w:val="20"/>
      </w:rPr>
    </w:pPr>
    <w:r w:rsidRPr="00C91F30">
      <w:rPr>
        <w:rFonts w:ascii="Calibri" w:hAnsi="Calibri" w:cs="Calibri"/>
        <w:color w:val="404040"/>
        <w:szCs w:val="20"/>
      </w:rPr>
      <w:t xml:space="preserve">Unfair Lending Practices </w:t>
    </w:r>
  </w:p>
  <w:p w14:paraId="394DD2B2" w14:textId="77777777" w:rsidR="005F3FCF" w:rsidRPr="00C91F30" w:rsidRDefault="005F3FCF" w:rsidP="00C91F30">
    <w:pPr>
      <w:numPr>
        <w:ilvl w:val="0"/>
        <w:numId w:val="21"/>
      </w:numPr>
      <w:autoSpaceDE w:val="0"/>
      <w:autoSpaceDN w:val="0"/>
      <w:adjustRightInd w:val="0"/>
      <w:spacing w:after="147" w:line="360" w:lineRule="auto"/>
      <w:ind w:left="1080"/>
      <w:contextualSpacing/>
      <w:rPr>
        <w:rFonts w:ascii="Calibri" w:hAnsi="Calibri" w:cs="Calibri"/>
        <w:color w:val="404040"/>
        <w:szCs w:val="20"/>
      </w:rPr>
    </w:pPr>
    <w:r w:rsidRPr="00C91F30">
      <w:rPr>
        <w:rFonts w:ascii="Calibri" w:hAnsi="Calibri" w:cs="Calibri"/>
        <w:color w:val="404040"/>
        <w:szCs w:val="20"/>
      </w:rPr>
      <w:t xml:space="preserve">Racial and Ethnic Segregation </w:t>
    </w:r>
  </w:p>
  <w:p w14:paraId="7998CD21" w14:textId="77777777" w:rsidR="005F3FCF" w:rsidRPr="00C91F30" w:rsidRDefault="005F3FCF" w:rsidP="00C91F30">
    <w:pPr>
      <w:numPr>
        <w:ilvl w:val="0"/>
        <w:numId w:val="21"/>
      </w:numPr>
      <w:autoSpaceDE w:val="0"/>
      <w:autoSpaceDN w:val="0"/>
      <w:adjustRightInd w:val="0"/>
      <w:spacing w:after="147" w:line="360" w:lineRule="auto"/>
      <w:ind w:left="1080"/>
      <w:contextualSpacing/>
      <w:rPr>
        <w:rFonts w:ascii="Calibri" w:hAnsi="Calibri" w:cs="Calibri"/>
        <w:color w:val="404040"/>
        <w:szCs w:val="20"/>
      </w:rPr>
    </w:pPr>
    <w:r w:rsidRPr="00C91F30">
      <w:rPr>
        <w:rFonts w:ascii="Calibri" w:hAnsi="Calibri" w:cs="Calibri"/>
        <w:color w:val="404040"/>
        <w:szCs w:val="20"/>
      </w:rPr>
      <w:t xml:space="preserve">Access to Opportunity </w:t>
    </w:r>
  </w:p>
  <w:p w14:paraId="76025C5A" w14:textId="77777777" w:rsidR="005F3FCF" w:rsidRPr="00C91F30" w:rsidRDefault="005F3FCF" w:rsidP="00C91F30">
    <w:pPr>
      <w:numPr>
        <w:ilvl w:val="0"/>
        <w:numId w:val="21"/>
      </w:numPr>
      <w:autoSpaceDE w:val="0"/>
      <w:autoSpaceDN w:val="0"/>
      <w:adjustRightInd w:val="0"/>
      <w:spacing w:after="147" w:line="360" w:lineRule="auto"/>
      <w:ind w:left="1080"/>
      <w:contextualSpacing/>
      <w:rPr>
        <w:rFonts w:ascii="Calibri" w:hAnsi="Calibri" w:cs="Calibri"/>
        <w:color w:val="404040"/>
        <w:szCs w:val="20"/>
      </w:rPr>
    </w:pPr>
    <w:r w:rsidRPr="00C91F30">
      <w:rPr>
        <w:rFonts w:ascii="Calibri" w:hAnsi="Calibri" w:cs="Calibri"/>
        <w:color w:val="404040"/>
        <w:szCs w:val="20"/>
      </w:rPr>
      <w:t xml:space="preserve">Housing Affordable to Households at 50% AMI and Below </w:t>
    </w:r>
  </w:p>
  <w:p w14:paraId="539DE227" w14:textId="77777777" w:rsidR="005F3FCF" w:rsidRPr="00C91F30" w:rsidRDefault="005F3FCF" w:rsidP="00C91F30">
    <w:pPr>
      <w:numPr>
        <w:ilvl w:val="0"/>
        <w:numId w:val="21"/>
      </w:numPr>
      <w:autoSpaceDE w:val="0"/>
      <w:autoSpaceDN w:val="0"/>
      <w:adjustRightInd w:val="0"/>
      <w:spacing w:after="147" w:line="360" w:lineRule="auto"/>
      <w:ind w:left="1080"/>
      <w:contextualSpacing/>
      <w:rPr>
        <w:rFonts w:ascii="Calibri" w:hAnsi="Calibri" w:cs="Calibri"/>
        <w:color w:val="404040"/>
        <w:szCs w:val="20"/>
      </w:rPr>
    </w:pPr>
    <w:r w:rsidRPr="00C91F30">
      <w:rPr>
        <w:rFonts w:ascii="Calibri" w:hAnsi="Calibri" w:cs="Calibri"/>
        <w:color w:val="404040"/>
        <w:szCs w:val="20"/>
      </w:rPr>
      <w:t xml:space="preserve">Rental Housing for Large Families </w:t>
    </w:r>
  </w:p>
  <w:p w14:paraId="6AF9DCF0" w14:textId="77777777" w:rsidR="005F3FCF" w:rsidRPr="00C91F30" w:rsidRDefault="005F3FCF" w:rsidP="00C91F30">
    <w:pPr>
      <w:numPr>
        <w:ilvl w:val="0"/>
        <w:numId w:val="21"/>
      </w:numPr>
      <w:autoSpaceDE w:val="0"/>
      <w:autoSpaceDN w:val="0"/>
      <w:adjustRightInd w:val="0"/>
      <w:spacing w:line="360" w:lineRule="auto"/>
      <w:ind w:left="1080"/>
      <w:contextualSpacing/>
      <w:rPr>
        <w:rFonts w:ascii="Calibri" w:hAnsi="Calibri" w:cs="Calibri"/>
        <w:color w:val="404040"/>
        <w:szCs w:val="20"/>
      </w:rPr>
    </w:pPr>
    <w:r w:rsidRPr="00C91F30">
      <w:rPr>
        <w:rFonts w:ascii="Calibri" w:hAnsi="Calibri" w:cs="Calibri"/>
        <w:color w:val="404040"/>
        <w:szCs w:val="20"/>
      </w:rPr>
      <w:t xml:space="preserve">Housing for Disabled Persons </w:t>
    </w:r>
  </w:p>
  <w:p w14:paraId="0E9DDD2D" w14:textId="77777777" w:rsidR="005F3FCF" w:rsidRPr="00C91F30" w:rsidRDefault="005F3FCF" w:rsidP="00C91F30">
    <w:pPr>
      <w:autoSpaceDE w:val="0"/>
      <w:autoSpaceDN w:val="0"/>
      <w:adjustRightInd w:val="0"/>
      <w:spacing w:line="360" w:lineRule="auto"/>
      <w:rPr>
        <w:rFonts w:ascii="Calibri" w:hAnsi="Calibri" w:cs="Calibri"/>
        <w:color w:val="404040"/>
        <w:szCs w:val="20"/>
      </w:rPr>
    </w:pPr>
  </w:p>
  <w:p w14:paraId="593AAFBC" w14:textId="77777777" w:rsidR="005F3FCF" w:rsidRDefault="005F3FCF" w:rsidP="00C91F30">
    <w:pPr>
      <w:autoSpaceDE w:val="0"/>
      <w:autoSpaceDN w:val="0"/>
      <w:adjustRightInd w:val="0"/>
      <w:spacing w:line="360" w:lineRule="auto"/>
      <w:rPr>
        <w:rFonts w:ascii="Calibri" w:hAnsi="Calibri" w:cs="Calibri"/>
        <w:color w:val="404040"/>
        <w:szCs w:val="20"/>
      </w:rPr>
    </w:pPr>
    <w:r w:rsidRPr="00C91F30">
      <w:rPr>
        <w:rFonts w:ascii="Calibri" w:hAnsi="Calibri" w:cs="Calibri"/>
        <w:color w:val="404040"/>
        <w:szCs w:val="20"/>
      </w:rPr>
      <w:t>Summary: Beginning in 2013, HAND began an extensive data-gathering initiative with its partners to inform the 2015-19 Consolidated Plan. That effort culminated in the drafting and adoption of a new housing master plan,</w:t>
    </w:r>
    <w:r w:rsidRPr="00C91F30">
      <w:rPr>
        <w:rFonts w:ascii="Calibri" w:hAnsi="Calibri" w:cs="Calibri"/>
        <w:i/>
        <w:color w:val="404040"/>
        <w:szCs w:val="20"/>
      </w:rPr>
      <w:t xml:space="preserve"> Growing SLC</w:t>
    </w:r>
    <w:r w:rsidRPr="00C91F30">
      <w:rPr>
        <w:rFonts w:ascii="Calibri" w:hAnsi="Calibri" w:cs="Calibri"/>
        <w:color w:val="404040"/>
        <w:szCs w:val="20"/>
      </w:rPr>
      <w:t>, that will span 5 years and aims to shift the way the City addresses all aspects of the housing market: from overall supply to concentrations of poverty and pathways out of homelessness. Special focus is given to households earning less than 40% AMI, specifically, targeting extremely low-income (ELI) renter households. ELI households are disproportionally racial and ethnic minority, disabled, and single parent households. In addition, the initiative is supporting housing development in high opportunity areas, housing for large families, homeownership for racial and ethnic minorities, and accessibility modifications for households with disabilities.</w:t>
    </w:r>
  </w:p>
  <w:p w14:paraId="3B749577" w14:textId="77777777" w:rsidR="005F3FCF" w:rsidRPr="00C91F30" w:rsidRDefault="005F3FCF" w:rsidP="00C91F30">
    <w:pPr>
      <w:autoSpaceDE w:val="0"/>
      <w:autoSpaceDN w:val="0"/>
      <w:adjustRightInd w:val="0"/>
      <w:spacing w:line="360" w:lineRule="auto"/>
      <w:rPr>
        <w:rFonts w:ascii="Calibri" w:hAnsi="Calibri" w:cs="Calibri"/>
        <w:color w:val="404040"/>
        <w:szCs w:val="20"/>
      </w:rPr>
    </w:pPr>
  </w:p>
  <w:p w14:paraId="0296CBBA" w14:textId="77777777" w:rsidR="005F3FCF" w:rsidRPr="00C91F30" w:rsidRDefault="005F3FCF" w:rsidP="00C91F30">
    <w:pPr>
      <w:autoSpaceDE w:val="0"/>
      <w:autoSpaceDN w:val="0"/>
      <w:adjustRightInd w:val="0"/>
      <w:spacing w:line="360" w:lineRule="auto"/>
      <w:rPr>
        <w:rFonts w:ascii="Calibri" w:hAnsi="Calibri" w:cs="Calibri"/>
        <w:i/>
        <w:color w:val="404040"/>
        <w:szCs w:val="20"/>
        <w:u w:val="single"/>
      </w:rPr>
    </w:pPr>
    <w:r w:rsidRPr="00C91F30">
      <w:rPr>
        <w:rFonts w:ascii="Calibri" w:hAnsi="Calibri" w:cs="Calibri"/>
        <w:bCs/>
        <w:i/>
        <w:color w:val="404040"/>
        <w:szCs w:val="20"/>
        <w:u w:val="single"/>
      </w:rPr>
      <w:t xml:space="preserve">Action: House 20 </w:t>
    </w:r>
  </w:p>
  <w:p w14:paraId="6E125BB6" w14:textId="77777777" w:rsidR="005F3FCF" w:rsidRPr="00C91F30" w:rsidRDefault="005F3FCF" w:rsidP="00C91F30">
    <w:pPr>
      <w:autoSpaceDE w:val="0"/>
      <w:autoSpaceDN w:val="0"/>
      <w:adjustRightInd w:val="0"/>
      <w:spacing w:line="360" w:lineRule="auto"/>
      <w:ind w:left="360"/>
      <w:rPr>
        <w:rFonts w:ascii="Calibri" w:hAnsi="Calibri" w:cs="Calibri"/>
        <w:color w:val="404040"/>
        <w:szCs w:val="20"/>
      </w:rPr>
    </w:pPr>
    <w:r w:rsidRPr="00C91F30">
      <w:rPr>
        <w:rFonts w:ascii="Calibri" w:hAnsi="Calibri" w:cs="Calibri"/>
        <w:color w:val="404040"/>
        <w:szCs w:val="20"/>
      </w:rPr>
      <w:t xml:space="preserve">Impediment Addressed: </w:t>
    </w:r>
  </w:p>
  <w:p w14:paraId="5155375A" w14:textId="77777777" w:rsidR="005F3FCF" w:rsidRPr="00C91F30" w:rsidRDefault="005F3FCF" w:rsidP="00C91F30">
    <w:pPr>
      <w:numPr>
        <w:ilvl w:val="0"/>
        <w:numId w:val="21"/>
      </w:numPr>
      <w:autoSpaceDE w:val="0"/>
      <w:autoSpaceDN w:val="0"/>
      <w:adjustRightInd w:val="0"/>
      <w:spacing w:after="147" w:line="360" w:lineRule="auto"/>
      <w:ind w:left="1080"/>
      <w:contextualSpacing/>
      <w:rPr>
        <w:rFonts w:ascii="Calibri" w:hAnsi="Calibri" w:cs="Calibri"/>
        <w:color w:val="404040"/>
        <w:szCs w:val="20"/>
      </w:rPr>
    </w:pPr>
    <w:r w:rsidRPr="00C91F30">
      <w:rPr>
        <w:rFonts w:ascii="Calibri" w:hAnsi="Calibri" w:cs="Calibri"/>
        <w:color w:val="404040"/>
        <w:szCs w:val="20"/>
      </w:rPr>
      <w:t xml:space="preserve">Housing Affordable to Households at 50% AMI and Below </w:t>
    </w:r>
  </w:p>
  <w:p w14:paraId="4D394732" w14:textId="77777777" w:rsidR="005F3FCF" w:rsidRPr="00C91F30" w:rsidRDefault="005F3FCF" w:rsidP="00C91F30">
    <w:pPr>
      <w:numPr>
        <w:ilvl w:val="0"/>
        <w:numId w:val="21"/>
      </w:numPr>
      <w:autoSpaceDE w:val="0"/>
      <w:autoSpaceDN w:val="0"/>
      <w:adjustRightInd w:val="0"/>
      <w:spacing w:line="360" w:lineRule="auto"/>
      <w:ind w:left="1080"/>
      <w:contextualSpacing/>
      <w:rPr>
        <w:rFonts w:ascii="Calibri" w:hAnsi="Calibri" w:cs="Calibri"/>
        <w:color w:val="404040"/>
        <w:szCs w:val="20"/>
      </w:rPr>
    </w:pPr>
    <w:r w:rsidRPr="00C91F30">
      <w:rPr>
        <w:rFonts w:ascii="Calibri" w:hAnsi="Calibri" w:cs="Calibri"/>
        <w:color w:val="404040"/>
        <w:szCs w:val="20"/>
      </w:rPr>
      <w:t xml:space="preserve">Housing for Disabled Persons </w:t>
    </w:r>
  </w:p>
  <w:p w14:paraId="296D184A" w14:textId="77777777" w:rsidR="005F3FCF" w:rsidRPr="00C91F30" w:rsidRDefault="005F3FCF" w:rsidP="00C91F30">
    <w:pPr>
      <w:autoSpaceDE w:val="0"/>
      <w:autoSpaceDN w:val="0"/>
      <w:adjustRightInd w:val="0"/>
      <w:spacing w:line="360" w:lineRule="auto"/>
      <w:rPr>
        <w:rFonts w:ascii="Calibri" w:hAnsi="Calibri" w:cs="Calibri"/>
        <w:color w:val="404040"/>
        <w:szCs w:val="20"/>
      </w:rPr>
    </w:pPr>
  </w:p>
  <w:p w14:paraId="5949A187" w14:textId="77777777" w:rsidR="005F3FCF" w:rsidRPr="00C91F30" w:rsidRDefault="005F3FCF" w:rsidP="00C91F30">
    <w:pPr>
      <w:autoSpaceDE w:val="0"/>
      <w:autoSpaceDN w:val="0"/>
      <w:adjustRightInd w:val="0"/>
      <w:spacing w:line="360" w:lineRule="auto"/>
      <w:rPr>
        <w:rFonts w:ascii="Calibri" w:hAnsi="Calibri" w:cs="Calibri"/>
        <w:color w:val="404040"/>
        <w:szCs w:val="20"/>
      </w:rPr>
    </w:pPr>
    <w:r w:rsidRPr="00C91F30">
      <w:rPr>
        <w:rFonts w:ascii="Calibri" w:hAnsi="Calibri" w:cs="Calibri"/>
        <w:color w:val="404040"/>
        <w:szCs w:val="20"/>
      </w:rPr>
      <w:t>Summary: As part of Salt Lake City’s 6-Point Homeless Strategy, the City committed to provide housing for the top 20 users of homeless services in order to diminish the resources directed toward these chronically homeless individuals. This effort has been successful in housing some of the most vulnerable residents in the City and reducing the need for emergency services for this population.</w:t>
    </w:r>
  </w:p>
  <w:p w14:paraId="78C69F4A" w14:textId="77777777" w:rsidR="005F3FCF" w:rsidRPr="00C91F30" w:rsidRDefault="005F3FCF" w:rsidP="00C91F30">
    <w:pPr>
      <w:spacing w:line="360" w:lineRule="auto"/>
      <w:rPr>
        <w:rFonts w:ascii="Calibri" w:hAnsi="Calibri" w:cs="Calibri"/>
        <w:color w:val="404040"/>
        <w:szCs w:val="20"/>
      </w:rPr>
    </w:pPr>
  </w:p>
  <w:p w14:paraId="76D9E59F" w14:textId="77777777" w:rsidR="005F3FCF" w:rsidRPr="00C91F30" w:rsidRDefault="005F3FCF" w:rsidP="00C91F30">
    <w:pPr>
      <w:spacing w:line="360" w:lineRule="auto"/>
      <w:rPr>
        <w:rFonts w:ascii="Calibri" w:hAnsi="Calibri" w:cs="Calibri Light"/>
        <w:bCs/>
        <w:i/>
        <w:color w:val="404040"/>
        <w:szCs w:val="20"/>
        <w:u w:val="single"/>
      </w:rPr>
    </w:pPr>
    <w:r w:rsidRPr="00C91F30">
      <w:rPr>
        <w:rFonts w:ascii="Calibri" w:hAnsi="Calibri" w:cs="Calibri Light"/>
        <w:bCs/>
        <w:i/>
        <w:color w:val="404040"/>
        <w:szCs w:val="20"/>
        <w:u w:val="single"/>
      </w:rPr>
      <w:t>Action: Leverage Public Land for Affordable Housing Development</w:t>
    </w:r>
  </w:p>
  <w:p w14:paraId="204AFBD3" w14:textId="77777777" w:rsidR="005F3FCF" w:rsidRPr="00C91F30" w:rsidRDefault="005F3FCF" w:rsidP="00C91F30">
    <w:pPr>
      <w:spacing w:line="360" w:lineRule="auto"/>
      <w:ind w:left="720"/>
      <w:rPr>
        <w:rFonts w:ascii="Calibri" w:hAnsi="Calibri"/>
        <w:color w:val="404040"/>
        <w:szCs w:val="20"/>
      </w:rPr>
    </w:pPr>
    <w:r w:rsidRPr="00C91F30">
      <w:rPr>
        <w:rFonts w:ascii="Calibri" w:hAnsi="Calibri"/>
        <w:color w:val="404040"/>
        <w:szCs w:val="20"/>
      </w:rPr>
      <w:t xml:space="preserve">Impediment Addressed: </w:t>
    </w:r>
  </w:p>
  <w:p w14:paraId="77AB9940" w14:textId="77777777" w:rsidR="005F3FCF" w:rsidRPr="00C91F30" w:rsidRDefault="005F3FCF" w:rsidP="00C91F30">
    <w:pPr>
      <w:numPr>
        <w:ilvl w:val="0"/>
        <w:numId w:val="7"/>
      </w:numPr>
      <w:spacing w:line="360" w:lineRule="auto"/>
      <w:ind w:left="1440"/>
      <w:contextualSpacing/>
      <w:rPr>
        <w:rFonts w:ascii="Calibri" w:hAnsi="Calibri"/>
        <w:color w:val="404040"/>
        <w:szCs w:val="20"/>
      </w:rPr>
    </w:pPr>
    <w:r w:rsidRPr="00C91F30">
      <w:rPr>
        <w:rFonts w:ascii="Calibri" w:hAnsi="Calibri"/>
        <w:color w:val="404040"/>
        <w:szCs w:val="20"/>
      </w:rPr>
      <w:t>Housing Affordable to Households at 50% AMI and Below</w:t>
    </w:r>
  </w:p>
  <w:p w14:paraId="0D233705" w14:textId="77777777" w:rsidR="005F3FCF" w:rsidRPr="00C91F30" w:rsidRDefault="005F3FCF" w:rsidP="00C91F30">
    <w:pPr>
      <w:numPr>
        <w:ilvl w:val="0"/>
        <w:numId w:val="7"/>
      </w:numPr>
      <w:spacing w:line="360" w:lineRule="auto"/>
      <w:ind w:left="1440"/>
      <w:contextualSpacing/>
      <w:rPr>
        <w:rFonts w:ascii="Calibri" w:hAnsi="Calibri"/>
        <w:color w:val="404040"/>
        <w:szCs w:val="20"/>
      </w:rPr>
    </w:pPr>
    <w:r w:rsidRPr="00C91F30">
      <w:rPr>
        <w:rFonts w:ascii="Calibri" w:hAnsi="Calibri"/>
        <w:color w:val="404040"/>
        <w:szCs w:val="20"/>
      </w:rPr>
      <w:t>Housing for Disabled Persons</w:t>
    </w:r>
  </w:p>
  <w:p w14:paraId="1B027D95" w14:textId="77777777" w:rsidR="005F3FCF" w:rsidRPr="00C91F30" w:rsidRDefault="005F3FCF" w:rsidP="00C91F30">
    <w:pPr>
      <w:spacing w:line="360" w:lineRule="auto"/>
      <w:rPr>
        <w:rFonts w:ascii="Calibri" w:hAnsi="Calibri"/>
        <w:color w:val="404040"/>
        <w:szCs w:val="20"/>
      </w:rPr>
    </w:pPr>
  </w:p>
  <w:p w14:paraId="49986A89" w14:textId="77777777" w:rsidR="005F3FCF" w:rsidRPr="00C91F30" w:rsidRDefault="005F3FCF" w:rsidP="00C91F30">
    <w:pPr>
      <w:spacing w:line="360" w:lineRule="auto"/>
      <w:ind w:left="360" w:hanging="360"/>
      <w:rPr>
        <w:rFonts w:ascii="Calibri" w:hAnsi="Calibri" w:cs="Calibri Light"/>
        <w:bCs/>
        <w:color w:val="404040"/>
        <w:szCs w:val="20"/>
      </w:rPr>
    </w:pPr>
    <w:r w:rsidRPr="00C91F30">
      <w:rPr>
        <w:rFonts w:ascii="Calibri" w:hAnsi="Calibri" w:cs="Calibri Light"/>
        <w:bCs/>
        <w:color w:val="404040"/>
        <w:szCs w:val="20"/>
      </w:rPr>
      <w:t xml:space="preserve">Summary: Salt Lake City is expanding affordable housing options available to protected classes through the utilization and leveraging of city-owned land. The City has been working toward redeveloping large city-owned parcels. Two of those are detailed below: </w:t>
    </w:r>
  </w:p>
  <w:p w14:paraId="773BE674" w14:textId="77777777" w:rsidR="005F3FCF" w:rsidRPr="00C91F30" w:rsidRDefault="005F3FCF" w:rsidP="00C91F30">
    <w:pPr>
      <w:numPr>
        <w:ilvl w:val="0"/>
        <w:numId w:val="34"/>
      </w:numPr>
      <w:autoSpaceDE w:val="0"/>
      <w:autoSpaceDN w:val="0"/>
      <w:adjustRightInd w:val="0"/>
      <w:spacing w:line="360" w:lineRule="auto"/>
      <w:contextualSpacing/>
      <w:rPr>
        <w:rFonts w:ascii="Calibri" w:hAnsi="Calibri" w:cs="Calibri"/>
        <w:color w:val="404040"/>
        <w:szCs w:val="20"/>
      </w:rPr>
    </w:pPr>
    <w:r w:rsidRPr="00C91F30">
      <w:rPr>
        <w:rFonts w:ascii="Calibri" w:hAnsi="Calibri" w:cs="Calibri"/>
        <w:color w:val="404040"/>
        <w:szCs w:val="20"/>
      </w:rPr>
      <w:t xml:space="preserve">Violin School Commons: Violin School Commons, is designed to include 65 permanent supportive housing units, 183 mixed-income units, ground floor commercial space, and a new parking structure that will serve the development. Seventy-four of the residential units will be located in the Northwest Pipeline Building as part of its adaptive reuse. The Northwest Pipeline Building is recognized on the National Register of Historic Place. </w:t>
    </w:r>
  </w:p>
  <w:p w14:paraId="5004E46E" w14:textId="77777777" w:rsidR="005F3FCF" w:rsidRPr="00C91F30" w:rsidRDefault="005F3FCF" w:rsidP="00C91F30">
    <w:pPr>
      <w:numPr>
        <w:ilvl w:val="0"/>
        <w:numId w:val="33"/>
      </w:numPr>
      <w:spacing w:line="360" w:lineRule="auto"/>
      <w:rPr>
        <w:rFonts w:ascii="Calibri" w:hAnsi="Calibri" w:cs="Calibri Light"/>
        <w:bCs/>
        <w:color w:val="404040"/>
        <w:szCs w:val="20"/>
      </w:rPr>
    </w:pPr>
    <w:r w:rsidRPr="00C91F30">
      <w:rPr>
        <w:rFonts w:ascii="Calibri" w:hAnsi="Calibri" w:cs="Calibri Light"/>
        <w:bCs/>
        <w:color w:val="404040"/>
        <w:szCs w:val="20"/>
      </w:rPr>
      <w:t xml:space="preserve">400 South TOD will include: </w:t>
    </w:r>
  </w:p>
  <w:p w14:paraId="66BC2634" w14:textId="77777777" w:rsidR="005F3FCF" w:rsidRPr="00C91F30" w:rsidRDefault="005F3FCF" w:rsidP="00C91F30">
    <w:pPr>
      <w:numPr>
        <w:ilvl w:val="1"/>
        <w:numId w:val="34"/>
      </w:numPr>
      <w:autoSpaceDE w:val="0"/>
      <w:autoSpaceDN w:val="0"/>
      <w:adjustRightInd w:val="0"/>
      <w:spacing w:line="360" w:lineRule="auto"/>
      <w:contextualSpacing/>
      <w:rPr>
        <w:rFonts w:ascii="Calibri" w:hAnsi="Calibri" w:cs="Calibri"/>
        <w:color w:val="404040"/>
        <w:szCs w:val="20"/>
      </w:rPr>
    </w:pPr>
    <w:r w:rsidRPr="00C91F30">
      <w:rPr>
        <w:rFonts w:ascii="Calibri" w:hAnsi="Calibri" w:cs="Calibri"/>
        <w:color w:val="404040"/>
        <w:szCs w:val="20"/>
      </w:rPr>
      <w:t>124 innovative micro-unit apartments ranging from 325-392 square feet. 40 units will be reserved for households earning 40% or less of the area median income (AMI).</w:t>
    </w:r>
  </w:p>
  <w:p w14:paraId="5B12755A" w14:textId="77777777" w:rsidR="005F3FCF" w:rsidRPr="00C91F30" w:rsidRDefault="005F3FCF" w:rsidP="00C91F30">
    <w:pPr>
      <w:numPr>
        <w:ilvl w:val="1"/>
        <w:numId w:val="34"/>
      </w:numPr>
      <w:autoSpaceDE w:val="0"/>
      <w:autoSpaceDN w:val="0"/>
      <w:adjustRightInd w:val="0"/>
      <w:spacing w:line="360" w:lineRule="auto"/>
      <w:contextualSpacing/>
      <w:rPr>
        <w:rFonts w:ascii="Calibri" w:hAnsi="Calibri" w:cs="Calibri"/>
        <w:color w:val="404040"/>
        <w:szCs w:val="20"/>
      </w:rPr>
    </w:pPr>
    <w:r w:rsidRPr="00C91F30">
      <w:rPr>
        <w:rFonts w:ascii="Calibri" w:hAnsi="Calibri" w:cs="Calibri"/>
        <w:color w:val="404040"/>
        <w:szCs w:val="20"/>
      </w:rPr>
      <w:t>288 mixed income units (Studios, 1, 2, and 3-bedroom). 72 units will be restricted to 60% AMI.</w:t>
    </w:r>
  </w:p>
  <w:p w14:paraId="6E2CDD14" w14:textId="77777777" w:rsidR="005F3FCF" w:rsidRPr="00C91F30" w:rsidRDefault="005F3FCF" w:rsidP="00C91F30">
    <w:pPr>
      <w:numPr>
        <w:ilvl w:val="1"/>
        <w:numId w:val="34"/>
      </w:numPr>
      <w:autoSpaceDE w:val="0"/>
      <w:autoSpaceDN w:val="0"/>
      <w:adjustRightInd w:val="0"/>
      <w:spacing w:line="360" w:lineRule="auto"/>
      <w:contextualSpacing/>
      <w:rPr>
        <w:rFonts w:ascii="Calibri" w:hAnsi="Calibri" w:cs="Calibri"/>
        <w:color w:val="404040"/>
        <w:szCs w:val="20"/>
      </w:rPr>
    </w:pPr>
    <w:r w:rsidRPr="00C91F30">
      <w:rPr>
        <w:rFonts w:ascii="Calibri" w:hAnsi="Calibri" w:cs="Calibri"/>
        <w:color w:val="404040"/>
        <w:szCs w:val="20"/>
      </w:rPr>
      <w:t>A 30,000 square foot Business Incubator.</w:t>
    </w:r>
  </w:p>
  <w:p w14:paraId="4A2A2ADF" w14:textId="77777777" w:rsidR="005F3FCF" w:rsidRPr="00F02B6B" w:rsidRDefault="005F3FCF" w:rsidP="00F02B6B">
    <w:pPr>
      <w:numPr>
        <w:ilvl w:val="1"/>
        <w:numId w:val="34"/>
      </w:numPr>
      <w:autoSpaceDE w:val="0"/>
      <w:autoSpaceDN w:val="0"/>
      <w:adjustRightInd w:val="0"/>
      <w:spacing w:line="360" w:lineRule="auto"/>
      <w:contextualSpacing/>
      <w:rPr>
        <w:rFonts w:ascii="Calibri" w:hAnsi="Calibri" w:cs="Calibri"/>
        <w:color w:val="404040"/>
        <w:szCs w:val="20"/>
      </w:rPr>
    </w:pPr>
    <w:r w:rsidRPr="00C91F30">
      <w:rPr>
        <w:rFonts w:ascii="Calibri" w:hAnsi="Calibri" w:cs="Calibri"/>
        <w:color w:val="404040"/>
        <w:szCs w:val="20"/>
      </w:rPr>
      <w:t xml:space="preserve">Over 20,000 square feet of ground floor commercial and retail space anchored by an international food hall and marketplace programmed by Spice Kitchen. </w:t>
    </w:r>
  </w:p>
  <w:p w14:paraId="4EBB8859" w14:textId="77777777" w:rsidR="005F3FCF" w:rsidRPr="00C91F30" w:rsidRDefault="005F3FCF" w:rsidP="00C91F30">
    <w:pPr>
      <w:overflowPunct w:val="0"/>
      <w:autoSpaceDE w:val="0"/>
      <w:autoSpaceDN w:val="0"/>
      <w:adjustRightInd w:val="0"/>
      <w:spacing w:line="360" w:lineRule="auto"/>
      <w:textAlignment w:val="baseline"/>
      <w:rPr>
        <w:rFonts w:ascii="Calibri" w:eastAsia="Calibri" w:hAnsi="Calibri"/>
        <w:i/>
        <w:color w:val="404040"/>
        <w:szCs w:val="20"/>
        <w:u w:val="single"/>
      </w:rPr>
    </w:pPr>
    <w:r w:rsidRPr="00C91F30">
      <w:rPr>
        <w:rFonts w:ascii="Calibri" w:eastAsia="Calibri" w:hAnsi="Calibri"/>
        <w:i/>
        <w:color w:val="404040"/>
        <w:szCs w:val="20"/>
        <w:u w:val="single"/>
      </w:rPr>
      <w:t>Action: Salt Lake City Housing Trust Fund</w:t>
    </w:r>
  </w:p>
  <w:p w14:paraId="0B6AA849" w14:textId="77777777" w:rsidR="005F3FCF" w:rsidRPr="00C91F30" w:rsidRDefault="005F3FCF" w:rsidP="00C91F30">
    <w:pPr>
      <w:overflowPunct w:val="0"/>
      <w:autoSpaceDE w:val="0"/>
      <w:autoSpaceDN w:val="0"/>
      <w:adjustRightInd w:val="0"/>
      <w:spacing w:line="360" w:lineRule="auto"/>
      <w:ind w:left="720"/>
      <w:textAlignment w:val="baseline"/>
      <w:rPr>
        <w:rFonts w:ascii="Calibri" w:eastAsia="Calibri" w:hAnsi="Calibri"/>
        <w:color w:val="404040"/>
        <w:szCs w:val="20"/>
      </w:rPr>
    </w:pPr>
    <w:r w:rsidRPr="00C91F30">
      <w:rPr>
        <w:rFonts w:ascii="Calibri" w:eastAsia="Calibri" w:hAnsi="Calibri"/>
        <w:color w:val="404040"/>
        <w:szCs w:val="20"/>
      </w:rPr>
      <w:t>Impediments Addressed:</w:t>
    </w:r>
  </w:p>
  <w:p w14:paraId="15C6A5DB" w14:textId="77777777" w:rsidR="005F3FCF" w:rsidRPr="00C91F30" w:rsidRDefault="005F3FCF" w:rsidP="00C91F30">
    <w:pPr>
      <w:numPr>
        <w:ilvl w:val="0"/>
        <w:numId w:val="5"/>
      </w:numPr>
      <w:spacing w:line="360" w:lineRule="auto"/>
      <w:ind w:left="1440"/>
      <w:contextualSpacing/>
      <w:rPr>
        <w:rFonts w:ascii="Calibri" w:hAnsi="Calibri"/>
        <w:color w:val="404040"/>
        <w:szCs w:val="20"/>
      </w:rPr>
    </w:pPr>
    <w:r w:rsidRPr="00C91F30">
      <w:rPr>
        <w:rFonts w:ascii="Calibri" w:hAnsi="Calibri"/>
        <w:color w:val="404040"/>
        <w:szCs w:val="20"/>
      </w:rPr>
      <w:t>Racial and Ethnic Segregation</w:t>
    </w:r>
  </w:p>
  <w:p w14:paraId="00D571EB" w14:textId="77777777" w:rsidR="005F3FCF" w:rsidRPr="00C91F30" w:rsidRDefault="005F3FCF" w:rsidP="00C91F30">
    <w:pPr>
      <w:numPr>
        <w:ilvl w:val="0"/>
        <w:numId w:val="5"/>
      </w:numPr>
      <w:spacing w:line="360" w:lineRule="auto"/>
      <w:ind w:left="1440"/>
      <w:contextualSpacing/>
      <w:rPr>
        <w:rFonts w:ascii="Calibri" w:hAnsi="Calibri"/>
        <w:color w:val="404040"/>
        <w:szCs w:val="20"/>
      </w:rPr>
    </w:pPr>
    <w:r w:rsidRPr="00C91F30">
      <w:rPr>
        <w:rFonts w:ascii="Calibri" w:hAnsi="Calibri"/>
        <w:color w:val="404040"/>
        <w:szCs w:val="20"/>
      </w:rPr>
      <w:t>Access to Opportunity</w:t>
    </w:r>
  </w:p>
  <w:p w14:paraId="177FF00F" w14:textId="77777777" w:rsidR="005F3FCF" w:rsidRPr="00C91F30" w:rsidRDefault="005F3FCF" w:rsidP="00C91F30">
    <w:pPr>
      <w:numPr>
        <w:ilvl w:val="0"/>
        <w:numId w:val="5"/>
      </w:numPr>
      <w:spacing w:line="360" w:lineRule="auto"/>
      <w:ind w:left="1440"/>
      <w:contextualSpacing/>
      <w:rPr>
        <w:rFonts w:ascii="Calibri" w:hAnsi="Calibri"/>
        <w:color w:val="404040"/>
        <w:szCs w:val="20"/>
      </w:rPr>
    </w:pPr>
    <w:r w:rsidRPr="00C91F30">
      <w:rPr>
        <w:rFonts w:ascii="Calibri" w:hAnsi="Calibri"/>
        <w:color w:val="404040"/>
        <w:szCs w:val="20"/>
      </w:rPr>
      <w:t>Housing Affordable to Households at 50% AMI and Below</w:t>
    </w:r>
  </w:p>
  <w:p w14:paraId="22291EF5" w14:textId="77777777" w:rsidR="005F3FCF" w:rsidRPr="00C91F30" w:rsidRDefault="005F3FCF" w:rsidP="00C91F30">
    <w:pPr>
      <w:numPr>
        <w:ilvl w:val="0"/>
        <w:numId w:val="5"/>
      </w:numPr>
      <w:spacing w:line="360" w:lineRule="auto"/>
      <w:ind w:left="1440"/>
      <w:contextualSpacing/>
      <w:rPr>
        <w:rFonts w:ascii="Calibri" w:hAnsi="Calibri"/>
        <w:b/>
        <w:color w:val="404040"/>
        <w:szCs w:val="20"/>
      </w:rPr>
    </w:pPr>
    <w:r w:rsidRPr="00C91F30">
      <w:rPr>
        <w:rFonts w:ascii="Calibri" w:hAnsi="Calibri"/>
        <w:color w:val="404040"/>
        <w:szCs w:val="20"/>
      </w:rPr>
      <w:t>Rental Housing for Large Families</w:t>
    </w:r>
  </w:p>
  <w:p w14:paraId="1E956221" w14:textId="77777777" w:rsidR="005F3FCF" w:rsidRPr="00C91F30" w:rsidRDefault="005F3FCF" w:rsidP="00C91F30">
    <w:pPr>
      <w:numPr>
        <w:ilvl w:val="0"/>
        <w:numId w:val="5"/>
      </w:numPr>
      <w:spacing w:line="360" w:lineRule="auto"/>
      <w:ind w:left="1440"/>
      <w:contextualSpacing/>
      <w:rPr>
        <w:rFonts w:ascii="Calibri" w:hAnsi="Calibri"/>
        <w:color w:val="404040"/>
        <w:szCs w:val="20"/>
      </w:rPr>
    </w:pPr>
    <w:r w:rsidRPr="00C91F30">
      <w:rPr>
        <w:rFonts w:ascii="Calibri" w:hAnsi="Calibri"/>
        <w:color w:val="404040"/>
        <w:szCs w:val="20"/>
      </w:rPr>
      <w:t>Housing for Disabled Persons</w:t>
    </w:r>
  </w:p>
  <w:p w14:paraId="63E241E6" w14:textId="77777777" w:rsidR="005F3FCF" w:rsidRPr="00C91F30" w:rsidRDefault="005F3FCF" w:rsidP="00C91F30">
    <w:pPr>
      <w:overflowPunct w:val="0"/>
      <w:autoSpaceDE w:val="0"/>
      <w:autoSpaceDN w:val="0"/>
      <w:adjustRightInd w:val="0"/>
      <w:spacing w:line="360" w:lineRule="auto"/>
      <w:ind w:left="360"/>
      <w:textAlignment w:val="baseline"/>
      <w:rPr>
        <w:rFonts w:ascii="Calibri" w:eastAsia="Calibri" w:hAnsi="Calibri"/>
        <w:color w:val="404040"/>
        <w:szCs w:val="20"/>
      </w:rPr>
    </w:pPr>
  </w:p>
  <w:p w14:paraId="7A06F5B2" w14:textId="77777777" w:rsidR="005F3FCF" w:rsidRPr="00C91F30" w:rsidRDefault="005F3FCF" w:rsidP="00C91F30">
    <w:pPr>
      <w:overflowPunct w:val="0"/>
      <w:autoSpaceDE w:val="0"/>
      <w:autoSpaceDN w:val="0"/>
      <w:adjustRightInd w:val="0"/>
      <w:spacing w:line="360" w:lineRule="auto"/>
      <w:ind w:left="360"/>
      <w:textAlignment w:val="baseline"/>
      <w:rPr>
        <w:rFonts w:ascii="Calibri" w:eastAsia="Calibri" w:hAnsi="Calibri"/>
        <w:color w:val="404040"/>
        <w:szCs w:val="20"/>
      </w:rPr>
    </w:pPr>
    <w:r w:rsidRPr="00C91F30">
      <w:rPr>
        <w:rFonts w:ascii="Calibri" w:eastAsia="Calibri" w:hAnsi="Calibri"/>
        <w:color w:val="404040"/>
        <w:szCs w:val="20"/>
      </w:rPr>
      <w:t>Summary: The Housing Trust Fund provides financial assistance to support the development and preservation of affordable and special needs</w:t>
    </w:r>
    <w:r>
      <w:rPr>
        <w:rFonts w:ascii="Calibri" w:eastAsia="Calibri" w:hAnsi="Calibri"/>
        <w:color w:val="404040"/>
        <w:szCs w:val="20"/>
      </w:rPr>
      <w:t xml:space="preserve"> housing in Salt Lake City. 2017-18</w:t>
    </w:r>
    <w:r w:rsidRPr="00C91F30">
      <w:rPr>
        <w:rFonts w:ascii="Calibri" w:eastAsia="Calibri" w:hAnsi="Calibri"/>
        <w:color w:val="404040"/>
        <w:szCs w:val="20"/>
      </w:rPr>
      <w:t xml:space="preserve"> activities supported the construction of multifamily housing with set-asides for the chronically homeless and persons with disabilities. In addition, activities supported the construction of a </w:t>
    </w:r>
    <w:r>
      <w:rPr>
        <w:rFonts w:ascii="Calibri" w:eastAsia="Calibri" w:hAnsi="Calibri"/>
        <w:color w:val="404040"/>
        <w:szCs w:val="20"/>
      </w:rPr>
      <w:t>permanent supportive housing project specifically for those with substance use disorders</w:t>
    </w:r>
    <w:r w:rsidRPr="00C91F30">
      <w:rPr>
        <w:rFonts w:ascii="Calibri" w:eastAsia="Calibri" w:hAnsi="Calibri"/>
        <w:color w:val="404040"/>
        <w:szCs w:val="20"/>
      </w:rPr>
      <w:t xml:space="preserve">. The Housing Trust Fund also provided funding to provide tenant-based rental assistance and leverage funds for case management for a hard to serve segment of chronically homeless individuals. This was part of the ongoing House 20 effort. </w:t>
    </w:r>
    <w:r>
      <w:rPr>
        <w:rFonts w:ascii="Calibri" w:eastAsia="Calibri" w:hAnsi="Calibri"/>
        <w:color w:val="404040"/>
        <w:szCs w:val="20"/>
      </w:rPr>
      <w:t xml:space="preserve">Moving forward House 20 will be funded with increased sales tax dollars allowing increased Housing Trust Fund dollars to continue supporting the construction of additional affordable multifamily and permanent supportive housing. </w:t>
    </w:r>
  </w:p>
  <w:p w14:paraId="780CADCA" w14:textId="77777777" w:rsidR="005F3FCF" w:rsidRPr="00C91F30" w:rsidRDefault="005F3FCF" w:rsidP="00C91F30">
    <w:pPr>
      <w:spacing w:line="360" w:lineRule="auto"/>
      <w:rPr>
        <w:rFonts w:ascii="Calibri" w:hAnsi="Calibri"/>
        <w:color w:val="404040"/>
        <w:szCs w:val="20"/>
      </w:rPr>
    </w:pPr>
  </w:p>
  <w:p w14:paraId="19740F9A" w14:textId="77777777" w:rsidR="005F3FCF" w:rsidRPr="00C91F30" w:rsidRDefault="005F3FCF" w:rsidP="00C91F30">
    <w:pPr>
      <w:spacing w:line="360" w:lineRule="auto"/>
      <w:rPr>
        <w:rFonts w:ascii="Calibri" w:hAnsi="Calibri" w:cs="Arial"/>
        <w:i/>
        <w:color w:val="404040"/>
        <w:szCs w:val="20"/>
        <w:u w:val="single"/>
      </w:rPr>
    </w:pPr>
    <w:r w:rsidRPr="00C91F30">
      <w:rPr>
        <w:rFonts w:ascii="Calibri" w:hAnsi="Calibri" w:cs="Arial"/>
        <w:i/>
        <w:color w:val="404040"/>
        <w:szCs w:val="20"/>
        <w:u w:val="single"/>
      </w:rPr>
      <w:t>Action: Multilingual Program Outreach</w:t>
    </w:r>
  </w:p>
  <w:p w14:paraId="14874C1B" w14:textId="77777777" w:rsidR="005F3FCF" w:rsidRPr="00C91F30" w:rsidRDefault="005F3FCF" w:rsidP="00C91F30">
    <w:pPr>
      <w:spacing w:line="360" w:lineRule="auto"/>
      <w:ind w:left="720"/>
      <w:rPr>
        <w:rFonts w:ascii="Calibri" w:hAnsi="Calibri" w:cs="Arial"/>
        <w:color w:val="404040"/>
        <w:szCs w:val="20"/>
      </w:rPr>
    </w:pPr>
    <w:r w:rsidRPr="00C91F30">
      <w:rPr>
        <w:rFonts w:ascii="Calibri" w:hAnsi="Calibri" w:cs="Arial"/>
        <w:color w:val="404040"/>
        <w:szCs w:val="20"/>
      </w:rPr>
      <w:t>Impediments Addressed:</w:t>
    </w:r>
  </w:p>
  <w:p w14:paraId="257F7463" w14:textId="77777777" w:rsidR="005F3FCF" w:rsidRPr="00C91F30" w:rsidRDefault="005F3FCF" w:rsidP="00C91F30">
    <w:pPr>
      <w:numPr>
        <w:ilvl w:val="0"/>
        <w:numId w:val="10"/>
      </w:numPr>
      <w:spacing w:line="360" w:lineRule="auto"/>
      <w:ind w:left="1440"/>
      <w:contextualSpacing/>
      <w:rPr>
        <w:rFonts w:ascii="Calibri" w:hAnsi="Calibri" w:cs="Arial"/>
        <w:color w:val="404040"/>
        <w:szCs w:val="20"/>
        <w:u w:val="single"/>
      </w:rPr>
    </w:pPr>
    <w:r w:rsidRPr="00C91F30">
      <w:rPr>
        <w:rFonts w:ascii="Calibri" w:hAnsi="Calibri" w:cs="Arial"/>
        <w:color w:val="404040"/>
        <w:szCs w:val="20"/>
      </w:rPr>
      <w:t>Language Barriers</w:t>
    </w:r>
  </w:p>
  <w:p w14:paraId="25A0C5DE" w14:textId="77777777" w:rsidR="005F3FCF" w:rsidRPr="00C91F30" w:rsidRDefault="005F3FCF" w:rsidP="00C91F30">
    <w:pPr>
      <w:spacing w:line="360" w:lineRule="auto"/>
      <w:ind w:left="360"/>
      <w:rPr>
        <w:rFonts w:ascii="Calibri" w:hAnsi="Calibri" w:cs="Arial"/>
        <w:color w:val="404040"/>
        <w:szCs w:val="20"/>
      </w:rPr>
    </w:pPr>
  </w:p>
  <w:p w14:paraId="23D3AF90" w14:textId="77777777" w:rsidR="005F3FCF" w:rsidRPr="00C91F30" w:rsidRDefault="005F3FCF" w:rsidP="00C91F30">
    <w:pPr>
      <w:spacing w:line="360" w:lineRule="auto"/>
      <w:ind w:left="360"/>
      <w:rPr>
        <w:rFonts w:ascii="Calibri" w:hAnsi="Calibri" w:cs="Arial"/>
        <w:color w:val="404040"/>
        <w:szCs w:val="20"/>
      </w:rPr>
    </w:pPr>
    <w:r w:rsidRPr="00C91F30">
      <w:rPr>
        <w:rFonts w:ascii="Calibri" w:hAnsi="Calibri" w:cs="Arial"/>
        <w:color w:val="404040"/>
        <w:szCs w:val="20"/>
      </w:rPr>
      <w:t xml:space="preserve">Summary: HAND continued to make its programs and activities available to all eligible individuals including those for whom English is not their primary language and who have a limited ability to read, write, speak, or understand English. HAND’s most frequent contacts with limited English proficient persons have been with those who speak Spanish. HAND has bilingual staff members who are fluent in English and Spanish, its website lists the telephone number of a bilingual staff member for Spanish-speaking persons to call to obtain information about its housing programs, and it provides written Spanish translations of applications and loan and mortgage documents for its First-Time Home Buyer and Housing Rehabilitation programs. When soliciting public feedback on Federal Funding Priorities, HAND utilizes information in both English and Spanish. HAND also offers to provide oral interpreters to persons applying for Homebuyer and Housing Rehabilitation loans who speak languages other than English or Spanish. HAND additionally requires its sub-grantees to comply with Title VI requirements including limited English proficiency to assure that non-English speaking persons have access to their programs. </w:t>
    </w:r>
  </w:p>
  <w:p w14:paraId="0B02FFF5" w14:textId="77777777" w:rsidR="005F3FCF" w:rsidRPr="00C91F30" w:rsidRDefault="005F3FCF" w:rsidP="00C91F30">
    <w:pPr>
      <w:spacing w:line="360" w:lineRule="auto"/>
      <w:rPr>
        <w:rFonts w:ascii="Calibri" w:hAnsi="Calibri"/>
        <w:color w:val="0000FF"/>
        <w:szCs w:val="20"/>
      </w:rPr>
    </w:pPr>
  </w:p>
  <w:p w14:paraId="0D2208EA" w14:textId="77777777" w:rsidR="005F3FCF" w:rsidRDefault="005F3FCF" w:rsidP="00C91F30">
    <w:pPr>
      <w:spacing w:line="360" w:lineRule="auto"/>
      <w:rPr>
        <w:rFonts w:ascii="Calibri" w:hAnsi="Calibri"/>
        <w:i/>
        <w:color w:val="404040"/>
        <w:szCs w:val="20"/>
        <w:u w:val="single"/>
      </w:rPr>
    </w:pPr>
  </w:p>
  <w:p w14:paraId="6DBCA13E" w14:textId="77777777" w:rsidR="005F3FCF" w:rsidRPr="00C91F30" w:rsidRDefault="005F3FCF" w:rsidP="00C91F30">
    <w:pPr>
      <w:spacing w:line="360" w:lineRule="auto"/>
      <w:rPr>
        <w:rFonts w:ascii="Calibri" w:hAnsi="Calibri"/>
        <w:i/>
        <w:color w:val="404040"/>
        <w:szCs w:val="20"/>
        <w:u w:val="single"/>
      </w:rPr>
    </w:pPr>
    <w:r w:rsidRPr="00C91F30">
      <w:rPr>
        <w:rFonts w:ascii="Calibri" w:hAnsi="Calibri"/>
        <w:i/>
        <w:color w:val="404040"/>
        <w:szCs w:val="20"/>
        <w:u w:val="single"/>
      </w:rPr>
      <w:t>Action: Fair Housing Enforcement</w:t>
    </w:r>
  </w:p>
  <w:p w14:paraId="7882B61D" w14:textId="77777777" w:rsidR="005F3FCF" w:rsidRPr="00C91F30" w:rsidRDefault="005F3FCF" w:rsidP="00C91F30">
    <w:pPr>
      <w:spacing w:line="360" w:lineRule="auto"/>
      <w:ind w:left="720"/>
      <w:rPr>
        <w:rFonts w:ascii="Calibri" w:hAnsi="Calibri"/>
        <w:color w:val="404040"/>
        <w:szCs w:val="20"/>
      </w:rPr>
    </w:pPr>
    <w:r w:rsidRPr="00C91F30">
      <w:rPr>
        <w:rFonts w:ascii="Calibri" w:hAnsi="Calibri"/>
        <w:color w:val="404040"/>
        <w:szCs w:val="20"/>
      </w:rPr>
      <w:t>Impediment Addressed:</w:t>
    </w:r>
  </w:p>
  <w:p w14:paraId="49917AA2" w14:textId="77777777" w:rsidR="005F3FCF" w:rsidRPr="00C91F30" w:rsidRDefault="005F3FCF" w:rsidP="00C91F30">
    <w:pPr>
      <w:numPr>
        <w:ilvl w:val="0"/>
        <w:numId w:val="8"/>
      </w:numPr>
      <w:spacing w:line="360" w:lineRule="auto"/>
      <w:ind w:left="1440"/>
      <w:rPr>
        <w:rFonts w:ascii="Calibri" w:hAnsi="Calibri"/>
        <w:color w:val="404040"/>
        <w:szCs w:val="20"/>
      </w:rPr>
    </w:pPr>
    <w:r w:rsidRPr="00C91F30">
      <w:rPr>
        <w:rFonts w:ascii="Calibri" w:hAnsi="Calibri"/>
        <w:color w:val="404040"/>
        <w:szCs w:val="20"/>
      </w:rPr>
      <w:t>Housing Discrimination and Disparate Treatment</w:t>
    </w:r>
  </w:p>
  <w:p w14:paraId="6D1A7BAE" w14:textId="77777777" w:rsidR="005F3FCF" w:rsidRPr="00C91F30" w:rsidRDefault="005F3FCF" w:rsidP="00C91F30">
    <w:pPr>
      <w:spacing w:before="100" w:beforeAutospacing="1" w:after="100" w:afterAutospacing="1" w:line="360" w:lineRule="auto"/>
      <w:ind w:left="360"/>
      <w:rPr>
        <w:rFonts w:ascii="Calibri" w:hAnsi="Calibri"/>
        <w:color w:val="404040"/>
      </w:rPr>
    </w:pPr>
    <w:r w:rsidRPr="00C91F30">
      <w:rPr>
        <w:rFonts w:ascii="Calibri" w:hAnsi="Calibri"/>
        <w:color w:val="404040"/>
        <w:szCs w:val="20"/>
      </w:rPr>
      <w:t xml:space="preserve">Summary: The Disability Law Center (DLC) and the Utah Antidiscrimination and Labor Division are actively processing complaints and performing paired testing efforts. The DLC is the HUD designated FHIP for the State of Utah. The Fair Housing Program assists individuals who have experienced discrimination, conducts fair housing testing, and engages in education and outreach efforts. This program addresses discrimination in all protected classes, state wide. </w:t>
    </w:r>
    <w:r w:rsidRPr="00C91F30">
      <w:rPr>
        <w:rFonts w:ascii="Calibri" w:hAnsi="Calibri"/>
        <w:color w:val="404040"/>
      </w:rPr>
      <w:t>HAND staff look forward to continuing the City’s relationship with DLC to help implement various components of its</w:t>
    </w:r>
    <w:r>
      <w:rPr>
        <w:rFonts w:ascii="Calibri" w:hAnsi="Calibri"/>
        <w:color w:val="404040"/>
      </w:rPr>
      <w:t xml:space="preserve"> new Housing Plan.</w:t>
    </w:r>
  </w:p>
  <w:p w14:paraId="2C07B274" w14:textId="77777777" w:rsidR="005F3FCF" w:rsidRPr="00C91F30" w:rsidRDefault="005F3FCF" w:rsidP="00C91F30">
    <w:pPr>
      <w:spacing w:line="360" w:lineRule="auto"/>
      <w:rPr>
        <w:rFonts w:ascii="Calibri" w:hAnsi="Calibri" w:cs="Arial"/>
        <w:i/>
        <w:color w:val="404040"/>
        <w:szCs w:val="20"/>
        <w:u w:val="single"/>
      </w:rPr>
    </w:pPr>
    <w:r w:rsidRPr="00C91F30">
      <w:rPr>
        <w:rFonts w:ascii="Calibri" w:hAnsi="Calibri" w:cs="Arial"/>
        <w:i/>
        <w:color w:val="404040"/>
        <w:szCs w:val="20"/>
        <w:u w:val="single"/>
      </w:rPr>
      <w:t>Action: Zoning Amendments</w:t>
    </w:r>
  </w:p>
  <w:p w14:paraId="3E55E9E0" w14:textId="77777777" w:rsidR="005F3FCF" w:rsidRPr="00C91F30" w:rsidRDefault="005F3FCF" w:rsidP="00C91F30">
    <w:pPr>
      <w:spacing w:line="360" w:lineRule="auto"/>
      <w:ind w:left="720"/>
      <w:rPr>
        <w:rFonts w:ascii="Calibri" w:hAnsi="Calibri" w:cs="Arial"/>
        <w:color w:val="404040"/>
        <w:szCs w:val="20"/>
      </w:rPr>
    </w:pPr>
    <w:r w:rsidRPr="00C91F30">
      <w:rPr>
        <w:rFonts w:ascii="Calibri" w:hAnsi="Calibri" w:cs="Arial"/>
        <w:color w:val="404040"/>
        <w:szCs w:val="20"/>
      </w:rPr>
      <w:t>Impediments Addressed:</w:t>
    </w:r>
  </w:p>
  <w:p w14:paraId="00FA1922" w14:textId="77777777" w:rsidR="005F3FCF" w:rsidRPr="00C91F30" w:rsidRDefault="005F3FCF" w:rsidP="00C91F30">
    <w:pPr>
      <w:numPr>
        <w:ilvl w:val="0"/>
        <w:numId w:val="8"/>
      </w:numPr>
      <w:spacing w:line="360" w:lineRule="auto"/>
      <w:ind w:left="1440"/>
      <w:contextualSpacing/>
      <w:rPr>
        <w:rFonts w:ascii="Calibri" w:hAnsi="Calibri"/>
        <w:color w:val="404040"/>
        <w:szCs w:val="20"/>
      </w:rPr>
    </w:pPr>
    <w:r w:rsidRPr="00C91F30">
      <w:rPr>
        <w:rFonts w:ascii="Calibri" w:hAnsi="Calibri"/>
        <w:color w:val="404040"/>
        <w:szCs w:val="20"/>
      </w:rPr>
      <w:t>Racial and Ethnic Segregation</w:t>
    </w:r>
  </w:p>
  <w:p w14:paraId="15A2F044" w14:textId="77777777" w:rsidR="005F3FCF" w:rsidRPr="00C91F30" w:rsidRDefault="005F3FCF" w:rsidP="00C91F30">
    <w:pPr>
      <w:numPr>
        <w:ilvl w:val="0"/>
        <w:numId w:val="8"/>
      </w:numPr>
      <w:spacing w:line="360" w:lineRule="auto"/>
      <w:ind w:left="1440"/>
      <w:contextualSpacing/>
      <w:rPr>
        <w:rFonts w:ascii="Calibri" w:hAnsi="Calibri" w:cs="Arial"/>
        <w:color w:val="404040"/>
        <w:szCs w:val="20"/>
      </w:rPr>
    </w:pPr>
    <w:r w:rsidRPr="00C91F30">
      <w:rPr>
        <w:rFonts w:ascii="Calibri" w:hAnsi="Calibri"/>
        <w:color w:val="404040"/>
        <w:szCs w:val="20"/>
      </w:rPr>
      <w:t>Access to Opportunity</w:t>
    </w:r>
  </w:p>
  <w:p w14:paraId="26E81C0D" w14:textId="77777777" w:rsidR="005F3FCF" w:rsidRPr="00C91F30" w:rsidRDefault="005F3FCF" w:rsidP="00C91F30">
    <w:pPr>
      <w:numPr>
        <w:ilvl w:val="0"/>
        <w:numId w:val="8"/>
      </w:numPr>
      <w:spacing w:line="360" w:lineRule="auto"/>
      <w:ind w:left="1440"/>
      <w:contextualSpacing/>
      <w:rPr>
        <w:rFonts w:ascii="Calibri" w:hAnsi="Calibri"/>
        <w:color w:val="404040"/>
        <w:szCs w:val="20"/>
      </w:rPr>
    </w:pPr>
    <w:r w:rsidRPr="00C91F30">
      <w:rPr>
        <w:rFonts w:ascii="Calibri" w:hAnsi="Calibri"/>
        <w:color w:val="404040"/>
        <w:szCs w:val="20"/>
      </w:rPr>
      <w:t>Housing Affordable to Households at 50% AMI and Below</w:t>
    </w:r>
  </w:p>
  <w:p w14:paraId="3188D84E" w14:textId="77777777" w:rsidR="005F3FCF" w:rsidRPr="00C91F30" w:rsidRDefault="005F3FCF" w:rsidP="00C91F30">
    <w:pPr>
      <w:numPr>
        <w:ilvl w:val="0"/>
        <w:numId w:val="8"/>
      </w:numPr>
      <w:spacing w:line="360" w:lineRule="auto"/>
      <w:ind w:left="1440"/>
      <w:contextualSpacing/>
      <w:rPr>
        <w:rFonts w:ascii="Calibri" w:hAnsi="Calibri"/>
        <w:b/>
        <w:color w:val="404040"/>
        <w:szCs w:val="20"/>
      </w:rPr>
    </w:pPr>
    <w:r w:rsidRPr="00C91F30">
      <w:rPr>
        <w:rFonts w:ascii="Calibri" w:hAnsi="Calibri"/>
        <w:color w:val="404040"/>
        <w:szCs w:val="20"/>
      </w:rPr>
      <w:t>Rental Housing for Large Families</w:t>
    </w:r>
  </w:p>
  <w:p w14:paraId="69DF05A8" w14:textId="77777777" w:rsidR="005F3FCF" w:rsidRPr="00C91F30" w:rsidRDefault="005F3FCF" w:rsidP="00C91F30">
    <w:pPr>
      <w:numPr>
        <w:ilvl w:val="0"/>
        <w:numId w:val="8"/>
      </w:numPr>
      <w:spacing w:line="360" w:lineRule="auto"/>
      <w:ind w:left="1440"/>
      <w:contextualSpacing/>
      <w:rPr>
        <w:rFonts w:ascii="Calibri" w:hAnsi="Calibri"/>
        <w:color w:val="404040"/>
        <w:szCs w:val="20"/>
      </w:rPr>
    </w:pPr>
    <w:r w:rsidRPr="00C91F30">
      <w:rPr>
        <w:rFonts w:ascii="Calibri" w:hAnsi="Calibri"/>
        <w:color w:val="404040"/>
        <w:szCs w:val="20"/>
      </w:rPr>
      <w:t>Housing for Disabled Persons</w:t>
    </w:r>
  </w:p>
  <w:p w14:paraId="2BE8F402" w14:textId="77777777" w:rsidR="005F3FCF" w:rsidRPr="00C91F30" w:rsidRDefault="005F3FCF" w:rsidP="00C91F30">
    <w:pPr>
      <w:numPr>
        <w:ilvl w:val="0"/>
        <w:numId w:val="8"/>
      </w:numPr>
      <w:spacing w:line="360" w:lineRule="auto"/>
      <w:ind w:left="1440"/>
      <w:contextualSpacing/>
      <w:rPr>
        <w:rFonts w:ascii="Calibri" w:hAnsi="Calibri"/>
        <w:color w:val="404040"/>
        <w:szCs w:val="20"/>
      </w:rPr>
    </w:pPr>
    <w:r w:rsidRPr="00C91F30">
      <w:rPr>
        <w:rFonts w:ascii="Calibri" w:hAnsi="Calibri"/>
        <w:color w:val="404040"/>
        <w:szCs w:val="20"/>
      </w:rPr>
      <w:t>Zoning and Land Use Restrictions</w:t>
    </w:r>
  </w:p>
  <w:p w14:paraId="22E5B729" w14:textId="77777777" w:rsidR="005F3FCF" w:rsidRPr="00C91F30" w:rsidRDefault="005F3FCF" w:rsidP="00C91F30">
    <w:pPr>
      <w:spacing w:line="360" w:lineRule="auto"/>
      <w:ind w:left="360"/>
      <w:rPr>
        <w:rFonts w:ascii="Calibri" w:hAnsi="Calibri" w:cs="Arial"/>
        <w:color w:val="404040"/>
        <w:szCs w:val="20"/>
      </w:rPr>
    </w:pPr>
  </w:p>
  <w:p w14:paraId="61B06FD7" w14:textId="77777777" w:rsidR="005F3FCF" w:rsidRPr="00C91F30" w:rsidRDefault="005F3FCF" w:rsidP="00C91F30">
    <w:pPr>
      <w:spacing w:line="360" w:lineRule="auto"/>
      <w:ind w:left="360"/>
      <w:rPr>
        <w:rFonts w:ascii="Calibri" w:hAnsi="Calibri" w:cs="Arial"/>
        <w:color w:val="404040"/>
        <w:szCs w:val="20"/>
      </w:rPr>
    </w:pPr>
    <w:r w:rsidRPr="00C91F30">
      <w:rPr>
        <w:rFonts w:ascii="Calibri" w:hAnsi="Calibri" w:cs="Arial"/>
        <w:color w:val="404040"/>
        <w:szCs w:val="20"/>
      </w:rPr>
      <w:t>Summary: Salt Lake City continues to promote the development of affordable housing for low-income households, including protected classes, through zoning amendments. For example, the Accessory Dwelling Unit, Transit Station Area Zoning District, and Impact Fee Exemption ordinances encourage the development of affordable housing. Impact fee exemptions are offered at a sliding scale reduction depending on the affordability level of the unit, with reductions as high as 100%. Accessory dwelling units can expand housing choice in low poverty areas. Transit-oriented developments provide persons with physical disabilities with adequate, reliable public transportation to easily access employment, goods, services, and housing.  Affordable housing near public transportation also expands housing options for persons without driver’s licenses, such as refugees, newly immigrated minorities, formerly homeless, and mentally disabled persons.</w:t>
    </w:r>
  </w:p>
  <w:p w14:paraId="48BF840A" w14:textId="77777777" w:rsidR="005F3FCF" w:rsidRPr="00C91F30" w:rsidRDefault="005F3FCF" w:rsidP="00C91F30">
    <w:pPr>
      <w:spacing w:line="360" w:lineRule="auto"/>
      <w:rPr>
        <w:rFonts w:ascii="Calibri" w:hAnsi="Calibri"/>
        <w:color w:val="404040"/>
        <w:szCs w:val="20"/>
      </w:rPr>
    </w:pPr>
  </w:p>
  <w:p w14:paraId="763953EA" w14:textId="77777777" w:rsidR="005F3FCF" w:rsidRPr="00C91F30" w:rsidRDefault="005F3FCF" w:rsidP="00C91F30">
    <w:pPr>
      <w:spacing w:line="360" w:lineRule="auto"/>
      <w:rPr>
        <w:rFonts w:ascii="Calibri" w:hAnsi="Calibri"/>
        <w:i/>
        <w:color w:val="404040"/>
        <w:szCs w:val="20"/>
        <w:u w:val="single"/>
      </w:rPr>
    </w:pPr>
    <w:r w:rsidRPr="00C91F30">
      <w:rPr>
        <w:rFonts w:ascii="Calibri" w:hAnsi="Calibri"/>
        <w:i/>
        <w:color w:val="404040"/>
        <w:szCs w:val="20"/>
        <w:u w:val="single"/>
      </w:rPr>
      <w:t>Action: Salt Lake City Landlord/Tenant Program</w:t>
    </w:r>
  </w:p>
  <w:p w14:paraId="10552183" w14:textId="77777777" w:rsidR="005F3FCF" w:rsidRPr="00C91F30" w:rsidRDefault="005F3FCF" w:rsidP="00C91F30">
    <w:pPr>
      <w:spacing w:line="360" w:lineRule="auto"/>
      <w:ind w:left="720"/>
      <w:rPr>
        <w:rFonts w:ascii="Calibri" w:hAnsi="Calibri"/>
        <w:color w:val="404040"/>
        <w:szCs w:val="20"/>
      </w:rPr>
    </w:pPr>
    <w:r w:rsidRPr="00C91F30">
      <w:rPr>
        <w:rFonts w:ascii="Calibri" w:hAnsi="Calibri"/>
        <w:color w:val="404040"/>
        <w:szCs w:val="20"/>
      </w:rPr>
      <w:t>Impediment Addressed:</w:t>
    </w:r>
  </w:p>
  <w:p w14:paraId="2CF3487A" w14:textId="77777777" w:rsidR="005F3FCF" w:rsidRPr="00C91F30" w:rsidRDefault="005F3FCF" w:rsidP="00C91F30">
    <w:pPr>
      <w:numPr>
        <w:ilvl w:val="0"/>
        <w:numId w:val="8"/>
      </w:numPr>
      <w:spacing w:line="360" w:lineRule="auto"/>
      <w:ind w:left="1440"/>
      <w:contextualSpacing/>
      <w:rPr>
        <w:rFonts w:ascii="Calibri" w:hAnsi="Calibri" w:cs="Arial"/>
        <w:color w:val="404040"/>
        <w:szCs w:val="20"/>
      </w:rPr>
    </w:pPr>
    <w:r w:rsidRPr="00C91F30">
      <w:rPr>
        <w:rFonts w:ascii="Calibri" w:hAnsi="Calibri" w:cs="Arial"/>
        <w:color w:val="404040"/>
        <w:szCs w:val="20"/>
      </w:rPr>
      <w:t>Fair Housing Knowledge</w:t>
    </w:r>
  </w:p>
  <w:p w14:paraId="0C303868" w14:textId="77777777" w:rsidR="005F3FCF" w:rsidRPr="00C91F30" w:rsidRDefault="005F3FCF" w:rsidP="00C91F30">
    <w:pPr>
      <w:spacing w:line="360" w:lineRule="auto"/>
      <w:ind w:left="360"/>
      <w:rPr>
        <w:rFonts w:ascii="Calibri" w:hAnsi="Calibri" w:cs="Arial"/>
        <w:color w:val="404040"/>
        <w:szCs w:val="20"/>
      </w:rPr>
    </w:pPr>
  </w:p>
  <w:p w14:paraId="30F09738" w14:textId="77777777" w:rsidR="005F3FCF" w:rsidRPr="00C91F30" w:rsidRDefault="005F3FCF" w:rsidP="00C91F30">
    <w:pPr>
      <w:spacing w:line="360" w:lineRule="auto"/>
      <w:ind w:left="360"/>
      <w:rPr>
        <w:rFonts w:ascii="Calibri" w:hAnsi="Calibri" w:cs="Arial"/>
        <w:color w:val="404040"/>
        <w:szCs w:val="20"/>
      </w:rPr>
    </w:pPr>
    <w:r w:rsidRPr="00C91F30">
      <w:rPr>
        <w:rFonts w:ascii="Calibri" w:hAnsi="Calibri" w:cs="Arial"/>
        <w:color w:val="404040"/>
        <w:szCs w:val="20"/>
      </w:rPr>
      <w:t xml:space="preserve">Summary: </w:t>
    </w:r>
    <w:r w:rsidRPr="00C91F30">
      <w:rPr>
        <w:rFonts w:ascii="Calibri" w:hAnsi="Calibri"/>
        <w:color w:val="404040"/>
        <w:szCs w:val="20"/>
      </w:rPr>
      <w:t xml:space="preserve">The Landlord/Tenant Initiative (also known as the Good Landlord Program) provides training regarding best management practices, fair housing law, and city ordinance requirements.  </w:t>
    </w:r>
  </w:p>
  <w:p w14:paraId="18E603FB" w14:textId="77777777" w:rsidR="005F3FCF" w:rsidRPr="00C91F30" w:rsidRDefault="005F3FCF" w:rsidP="00C91F30">
    <w:pPr>
      <w:widowControl w:val="0"/>
      <w:autoSpaceDE w:val="0"/>
      <w:autoSpaceDN w:val="0"/>
      <w:adjustRightInd w:val="0"/>
      <w:spacing w:line="360" w:lineRule="auto"/>
      <w:rPr>
        <w:rFonts w:ascii="Calibri" w:hAnsi="Calibri"/>
        <w:color w:val="404040"/>
        <w:szCs w:val="20"/>
      </w:rPr>
    </w:pPr>
  </w:p>
  <w:p w14:paraId="4B337658" w14:textId="77777777" w:rsidR="005F3FCF" w:rsidRPr="00C91F30" w:rsidRDefault="005F3FCF" w:rsidP="00C91F30">
    <w:pPr>
      <w:spacing w:line="360" w:lineRule="auto"/>
      <w:rPr>
        <w:rFonts w:ascii="Calibri" w:hAnsi="Calibri" w:cs="Arial"/>
        <w:i/>
        <w:color w:val="404040"/>
        <w:szCs w:val="20"/>
        <w:u w:val="single"/>
      </w:rPr>
    </w:pPr>
    <w:r w:rsidRPr="00C91F30">
      <w:rPr>
        <w:rFonts w:ascii="Calibri" w:hAnsi="Calibri" w:cs="Arial"/>
        <w:i/>
        <w:color w:val="404040"/>
        <w:szCs w:val="20"/>
        <w:u w:val="single"/>
      </w:rPr>
      <w:t>Action: Local Opportunity Index</w:t>
    </w:r>
  </w:p>
  <w:p w14:paraId="104FF6B9" w14:textId="77777777" w:rsidR="005F3FCF" w:rsidRPr="00C91F30" w:rsidRDefault="005F3FCF" w:rsidP="00C91F30">
    <w:pPr>
      <w:widowControl w:val="0"/>
      <w:autoSpaceDE w:val="0"/>
      <w:autoSpaceDN w:val="0"/>
      <w:adjustRightInd w:val="0"/>
      <w:spacing w:line="360" w:lineRule="auto"/>
      <w:ind w:left="720"/>
      <w:rPr>
        <w:rFonts w:ascii="Calibri" w:hAnsi="Calibri" w:cs="Arial"/>
        <w:color w:val="404040"/>
        <w:szCs w:val="20"/>
      </w:rPr>
    </w:pPr>
    <w:r w:rsidRPr="00C91F30">
      <w:rPr>
        <w:rFonts w:ascii="Calibri" w:hAnsi="Calibri" w:cs="Arial"/>
        <w:color w:val="404040"/>
        <w:szCs w:val="20"/>
      </w:rPr>
      <w:t>Impediment Addressed:</w:t>
    </w:r>
  </w:p>
  <w:p w14:paraId="66B8C822" w14:textId="77777777" w:rsidR="005F3FCF" w:rsidRPr="00C91F30" w:rsidRDefault="005F3FCF" w:rsidP="00C91F30">
    <w:pPr>
      <w:widowControl w:val="0"/>
      <w:numPr>
        <w:ilvl w:val="0"/>
        <w:numId w:val="8"/>
      </w:numPr>
      <w:autoSpaceDE w:val="0"/>
      <w:autoSpaceDN w:val="0"/>
      <w:adjustRightInd w:val="0"/>
      <w:spacing w:line="360" w:lineRule="auto"/>
      <w:ind w:left="1440"/>
      <w:contextualSpacing/>
      <w:rPr>
        <w:rFonts w:ascii="Calibri" w:hAnsi="Calibri"/>
        <w:color w:val="404040"/>
        <w:szCs w:val="20"/>
      </w:rPr>
    </w:pPr>
    <w:r w:rsidRPr="00C91F30">
      <w:rPr>
        <w:rFonts w:ascii="Calibri" w:hAnsi="Calibri"/>
        <w:color w:val="404040"/>
        <w:szCs w:val="20"/>
      </w:rPr>
      <w:t>Regional Fair Housing Coordination</w:t>
    </w:r>
  </w:p>
  <w:p w14:paraId="59E2B1A4" w14:textId="77777777" w:rsidR="005F3FCF" w:rsidRPr="00C91F30" w:rsidRDefault="005F3FCF" w:rsidP="00C91F30">
    <w:pPr>
      <w:spacing w:line="360" w:lineRule="auto"/>
      <w:ind w:left="360"/>
      <w:rPr>
        <w:rFonts w:ascii="Calibri" w:hAnsi="Calibri" w:cs="Arial"/>
        <w:color w:val="404040"/>
        <w:szCs w:val="20"/>
      </w:rPr>
    </w:pPr>
  </w:p>
  <w:p w14:paraId="68C5D2FE" w14:textId="77777777" w:rsidR="005F3FCF" w:rsidRPr="00C91F30" w:rsidRDefault="005F3FCF" w:rsidP="00C91F30">
    <w:pPr>
      <w:spacing w:line="360" w:lineRule="auto"/>
      <w:ind w:left="360"/>
      <w:rPr>
        <w:rFonts w:ascii="Calibri" w:hAnsi="Calibri" w:cs="Arial"/>
        <w:color w:val="404040"/>
        <w:szCs w:val="20"/>
      </w:rPr>
    </w:pPr>
    <w:r w:rsidRPr="00C91F30">
      <w:rPr>
        <w:rFonts w:ascii="Calibri" w:hAnsi="Calibri" w:cs="Arial"/>
        <w:color w:val="404040"/>
        <w:szCs w:val="20"/>
      </w:rPr>
      <w:t xml:space="preserve">Summary: In 2014, the Bureau of Economic and Business Research completed a study identifying impediments to fair housing on a regional scale. The </w:t>
    </w:r>
    <w:r w:rsidRPr="00C91F30">
      <w:rPr>
        <w:rFonts w:ascii="Calibri" w:hAnsi="Calibri" w:cs="Arial"/>
        <w:i/>
        <w:color w:val="404040"/>
        <w:szCs w:val="20"/>
      </w:rPr>
      <w:t>Regional Analysis to Fair Housing Choice: Salt Lake County</w:t>
    </w:r>
    <w:r w:rsidRPr="00C91F30">
      <w:rPr>
        <w:rFonts w:ascii="Calibri" w:hAnsi="Calibri" w:cs="Arial"/>
        <w:color w:val="404040"/>
        <w:szCs w:val="20"/>
      </w:rPr>
      <w:t xml:space="preserve"> provides information not only on discrimination issues, but also on access to opportunity. That report relied on 2010 and 2013 Census and ACS data. To update that information, the City commissioned a new assessment focused on neighborhoods within Salt Lake. It will be used to drive future local and federal investments that breakdown disparities in opportunity. </w:t>
    </w:r>
  </w:p>
  <w:p w14:paraId="083C4221" w14:textId="77777777" w:rsidR="005F3FCF" w:rsidRPr="00C91F30" w:rsidRDefault="005F3FCF" w:rsidP="00C91F30">
    <w:pPr>
      <w:spacing w:line="360" w:lineRule="auto"/>
      <w:ind w:left="360"/>
      <w:rPr>
        <w:rFonts w:ascii="Calibri" w:hAnsi="Calibri" w:cs="Arial"/>
        <w:color w:val="404040"/>
        <w:szCs w:val="20"/>
        <w:u w:val="single"/>
      </w:rPr>
    </w:pPr>
  </w:p>
  <w:p w14:paraId="0AC19607" w14:textId="77777777" w:rsidR="005F3FCF" w:rsidRPr="00C91F30" w:rsidRDefault="005F3FCF" w:rsidP="00C91F30">
    <w:pPr>
      <w:spacing w:line="360" w:lineRule="auto"/>
      <w:rPr>
        <w:rFonts w:ascii="Calibri" w:hAnsi="Calibri" w:cs="Arial"/>
        <w:i/>
        <w:color w:val="404040"/>
        <w:szCs w:val="20"/>
        <w:u w:val="single"/>
      </w:rPr>
    </w:pPr>
    <w:r w:rsidRPr="00C91F30">
      <w:rPr>
        <w:rFonts w:ascii="Calibri" w:hAnsi="Calibri" w:cs="Arial"/>
        <w:i/>
        <w:color w:val="404040"/>
        <w:szCs w:val="20"/>
        <w:u w:val="single"/>
      </w:rPr>
      <w:t>Action: Utah Fair Housing Forum</w:t>
    </w:r>
  </w:p>
  <w:p w14:paraId="3FA53A33" w14:textId="77777777" w:rsidR="005F3FCF" w:rsidRPr="00C91F30" w:rsidRDefault="005F3FCF" w:rsidP="00C91F30">
    <w:pPr>
      <w:spacing w:line="360" w:lineRule="auto"/>
      <w:ind w:left="360"/>
      <w:rPr>
        <w:rFonts w:ascii="Calibri" w:hAnsi="Calibri" w:cs="Arial"/>
        <w:color w:val="404040"/>
        <w:szCs w:val="20"/>
      </w:rPr>
    </w:pPr>
    <w:r w:rsidRPr="00C91F30">
      <w:rPr>
        <w:rFonts w:ascii="Calibri" w:hAnsi="Calibri" w:cs="Arial"/>
        <w:color w:val="404040"/>
        <w:szCs w:val="20"/>
      </w:rPr>
      <w:t>Impediment Addressed:</w:t>
    </w:r>
  </w:p>
  <w:p w14:paraId="40B67E16" w14:textId="77777777" w:rsidR="005F3FCF" w:rsidRPr="00C91F30" w:rsidRDefault="005F3FCF" w:rsidP="00C91F30">
    <w:pPr>
      <w:numPr>
        <w:ilvl w:val="0"/>
        <w:numId w:val="8"/>
      </w:numPr>
      <w:spacing w:line="360" w:lineRule="auto"/>
      <w:contextualSpacing/>
      <w:rPr>
        <w:rFonts w:ascii="Calibri" w:hAnsi="Calibri" w:cs="Arial"/>
        <w:color w:val="404040"/>
        <w:szCs w:val="20"/>
      </w:rPr>
    </w:pPr>
    <w:r w:rsidRPr="00C91F30">
      <w:rPr>
        <w:rFonts w:ascii="Calibri" w:hAnsi="Calibri"/>
        <w:color w:val="404040"/>
        <w:szCs w:val="20"/>
      </w:rPr>
      <w:t>Regional Fair Housing Coordination</w:t>
    </w:r>
  </w:p>
  <w:p w14:paraId="340FD760" w14:textId="77777777" w:rsidR="005F3FCF" w:rsidRPr="00C91F30" w:rsidRDefault="005F3FCF" w:rsidP="00C91F30">
    <w:pPr>
      <w:spacing w:line="360" w:lineRule="auto"/>
      <w:ind w:left="360"/>
      <w:rPr>
        <w:rFonts w:ascii="Calibri" w:hAnsi="Calibri" w:cs="Arial"/>
        <w:color w:val="404040"/>
        <w:szCs w:val="20"/>
      </w:rPr>
    </w:pPr>
  </w:p>
  <w:p w14:paraId="5EC65F5B" w14:textId="77777777" w:rsidR="005F3FCF" w:rsidRPr="00C91F30" w:rsidRDefault="005F3FCF" w:rsidP="00C91F30">
    <w:pPr>
      <w:spacing w:line="360" w:lineRule="auto"/>
      <w:ind w:left="360"/>
      <w:rPr>
        <w:rFonts w:ascii="Calibri" w:hAnsi="Calibri" w:cs="Arial"/>
        <w:color w:val="404040"/>
        <w:szCs w:val="20"/>
      </w:rPr>
    </w:pPr>
    <w:r w:rsidRPr="00C91F30">
      <w:rPr>
        <w:rFonts w:ascii="Calibri" w:hAnsi="Calibri" w:cs="Arial"/>
        <w:color w:val="404040"/>
        <w:szCs w:val="20"/>
      </w:rPr>
      <w:t>Summary: Salt Lake City continued to be a member of the Utah Fair Housing Forum, which includes representatives from HUD’s Regional Office of Fair Housing and Equal Opportunity, the Utah Antidiscrimination and Labor Division, the Disability Law Center, entitlement cities, and fair housing advocacy groups.  HAND staff attend monthly meetings with the coalition and will attend the annual Fair Housing Forum. The forum serves as a platform to share information and coordinate efforts relating to fair housing.</w:t>
    </w:r>
  </w:p>
  <w:p w14:paraId="7B450BF5" w14:textId="77777777" w:rsidR="005F3FCF" w:rsidRPr="00C91F30" w:rsidRDefault="005F3FCF" w:rsidP="00C91F30">
    <w:pPr>
      <w:spacing w:line="360" w:lineRule="auto"/>
      <w:rPr>
        <w:rFonts w:ascii="Calibri" w:hAnsi="Calibri" w:cs="Arial"/>
        <w:color w:val="404040"/>
        <w:szCs w:val="20"/>
      </w:rPr>
    </w:pPr>
  </w:p>
  <w:p w14:paraId="22E8B768" w14:textId="77777777" w:rsidR="005F3FCF" w:rsidRPr="00C91F30" w:rsidRDefault="005F3FCF" w:rsidP="00C91F30">
    <w:pPr>
      <w:spacing w:line="360" w:lineRule="auto"/>
      <w:rPr>
        <w:rFonts w:ascii="Calibri" w:hAnsi="Calibri" w:cs="Arial"/>
        <w:i/>
        <w:color w:val="404040"/>
        <w:szCs w:val="20"/>
        <w:u w:val="single"/>
      </w:rPr>
    </w:pPr>
    <w:r w:rsidRPr="00C91F30">
      <w:rPr>
        <w:rFonts w:ascii="Calibri" w:hAnsi="Calibri" w:cs="Arial"/>
        <w:i/>
        <w:color w:val="404040"/>
        <w:szCs w:val="20"/>
        <w:u w:val="single"/>
      </w:rPr>
      <w:t>Action: Fair Housing Month</w:t>
    </w:r>
  </w:p>
  <w:p w14:paraId="54D0DEEE" w14:textId="77777777" w:rsidR="005F3FCF" w:rsidRPr="00C91F30" w:rsidRDefault="005F3FCF" w:rsidP="00C91F30">
    <w:pPr>
      <w:spacing w:line="360" w:lineRule="auto"/>
      <w:ind w:left="720"/>
      <w:rPr>
        <w:rFonts w:ascii="Calibri" w:hAnsi="Calibri" w:cs="Arial"/>
        <w:color w:val="404040"/>
        <w:szCs w:val="20"/>
      </w:rPr>
    </w:pPr>
    <w:r w:rsidRPr="00C91F30">
      <w:rPr>
        <w:rFonts w:ascii="Calibri" w:hAnsi="Calibri" w:cs="Arial"/>
        <w:color w:val="404040"/>
        <w:szCs w:val="20"/>
      </w:rPr>
      <w:t>Impediment Addressed:</w:t>
    </w:r>
  </w:p>
  <w:p w14:paraId="6C053B9B" w14:textId="77777777" w:rsidR="005F3FCF" w:rsidRPr="00C91F30" w:rsidRDefault="005F3FCF" w:rsidP="00C91F30">
    <w:pPr>
      <w:numPr>
        <w:ilvl w:val="0"/>
        <w:numId w:val="9"/>
      </w:numPr>
      <w:spacing w:line="360" w:lineRule="auto"/>
      <w:ind w:left="1440"/>
      <w:contextualSpacing/>
      <w:rPr>
        <w:rFonts w:ascii="Calibri" w:hAnsi="Calibri" w:cs="Arial"/>
        <w:color w:val="404040"/>
        <w:szCs w:val="20"/>
      </w:rPr>
    </w:pPr>
    <w:r w:rsidRPr="00C91F30">
      <w:rPr>
        <w:rFonts w:ascii="Calibri" w:hAnsi="Calibri" w:cs="Arial"/>
        <w:color w:val="404040"/>
        <w:szCs w:val="20"/>
      </w:rPr>
      <w:t>Fair Housing Knowledge</w:t>
    </w:r>
  </w:p>
  <w:p w14:paraId="1FCC9FC6" w14:textId="77777777" w:rsidR="005F3FCF" w:rsidRPr="00C91F30" w:rsidRDefault="005F3FCF" w:rsidP="00C91F30">
    <w:pPr>
      <w:spacing w:line="360" w:lineRule="auto"/>
      <w:ind w:left="1440"/>
      <w:contextualSpacing/>
      <w:rPr>
        <w:rFonts w:ascii="Calibri" w:hAnsi="Calibri" w:cs="Arial"/>
        <w:color w:val="404040"/>
        <w:szCs w:val="20"/>
      </w:rPr>
    </w:pPr>
  </w:p>
  <w:p w14:paraId="081A2927" w14:textId="77777777" w:rsidR="005F3FCF" w:rsidRPr="00C91F30" w:rsidRDefault="005F3FCF" w:rsidP="00C91F30">
    <w:pPr>
      <w:spacing w:line="360" w:lineRule="auto"/>
      <w:ind w:left="360"/>
      <w:rPr>
        <w:rFonts w:ascii="Calibri" w:hAnsi="Calibri" w:cs="Arial"/>
        <w:color w:val="404040"/>
        <w:szCs w:val="20"/>
      </w:rPr>
    </w:pPr>
    <w:r w:rsidRPr="00C91F30">
      <w:rPr>
        <w:rFonts w:ascii="Calibri" w:hAnsi="Calibri" w:cs="Arial"/>
        <w:color w:val="404040"/>
        <w:szCs w:val="20"/>
      </w:rPr>
      <w:t xml:space="preserve">Summary: Mayor Biskupski commemorated the 50th anniversary of the passage of the Federal Fair Housing Act of 1968 by proclaiming April as Fair Housing Month in Salt Lake City and reaffirming the City’s commitment to support Federal and State fair housing laws. </w:t>
    </w:r>
  </w:p>
  <w:p w14:paraId="6EA975D0" w14:textId="77777777" w:rsidR="005F3FCF" w:rsidRPr="00C91F30" w:rsidRDefault="005F3FCF" w:rsidP="00C91F30">
    <w:pPr>
      <w:spacing w:line="360" w:lineRule="auto"/>
      <w:rPr>
        <w:rFonts w:ascii="Calibri" w:hAnsi="Calibri" w:cs="Arial"/>
        <w:color w:val="404040"/>
        <w:szCs w:val="20"/>
      </w:rPr>
    </w:pPr>
  </w:p>
  <w:p w14:paraId="761992B0" w14:textId="77777777" w:rsidR="005F3FCF" w:rsidRPr="00C91F30" w:rsidRDefault="005F3FCF" w:rsidP="00C91F30">
    <w:pPr>
      <w:spacing w:line="360" w:lineRule="auto"/>
      <w:rPr>
        <w:rFonts w:ascii="Calibri" w:hAnsi="Calibri" w:cs="Arial"/>
        <w:i/>
        <w:color w:val="404040"/>
        <w:szCs w:val="20"/>
        <w:u w:val="single"/>
      </w:rPr>
    </w:pPr>
    <w:r w:rsidRPr="00C91F30">
      <w:rPr>
        <w:rFonts w:ascii="Calibri" w:hAnsi="Calibri" w:cs="Arial"/>
        <w:i/>
        <w:color w:val="404040"/>
        <w:szCs w:val="20"/>
        <w:u w:val="single"/>
      </w:rPr>
      <w:t>Action: Subgrantee Fair Housing Training</w:t>
    </w:r>
  </w:p>
  <w:p w14:paraId="4E1D59F4" w14:textId="77777777" w:rsidR="005F3FCF" w:rsidRPr="00C91F30" w:rsidRDefault="005F3FCF" w:rsidP="00C91F30">
    <w:pPr>
      <w:spacing w:line="360" w:lineRule="auto"/>
      <w:ind w:left="720"/>
      <w:rPr>
        <w:rFonts w:ascii="Calibri" w:hAnsi="Calibri" w:cs="Arial"/>
        <w:color w:val="404040"/>
        <w:szCs w:val="20"/>
      </w:rPr>
    </w:pPr>
    <w:r w:rsidRPr="00C91F30">
      <w:rPr>
        <w:rFonts w:ascii="Calibri" w:hAnsi="Calibri" w:cs="Arial"/>
        <w:color w:val="404040"/>
        <w:szCs w:val="20"/>
      </w:rPr>
      <w:t>Impediment Addressed:</w:t>
    </w:r>
  </w:p>
  <w:p w14:paraId="5710D4C2" w14:textId="77777777" w:rsidR="005F3FCF" w:rsidRPr="00C91F30" w:rsidRDefault="005F3FCF" w:rsidP="00C91F30">
    <w:pPr>
      <w:numPr>
        <w:ilvl w:val="0"/>
        <w:numId w:val="9"/>
      </w:numPr>
      <w:spacing w:line="360" w:lineRule="auto"/>
      <w:ind w:left="1440"/>
      <w:contextualSpacing/>
      <w:rPr>
        <w:rFonts w:ascii="Calibri" w:hAnsi="Calibri" w:cs="Arial"/>
        <w:color w:val="404040"/>
        <w:szCs w:val="20"/>
      </w:rPr>
    </w:pPr>
    <w:r w:rsidRPr="00C91F30">
      <w:rPr>
        <w:rFonts w:ascii="Calibri" w:hAnsi="Calibri" w:cs="Arial"/>
        <w:color w:val="404040"/>
        <w:szCs w:val="20"/>
      </w:rPr>
      <w:t>Fair Housing Knowledge</w:t>
    </w:r>
  </w:p>
  <w:p w14:paraId="3BBEFEA1" w14:textId="77777777" w:rsidR="005F3FCF" w:rsidRPr="00C91F30" w:rsidRDefault="005F3FCF" w:rsidP="00C91F30">
    <w:pPr>
      <w:spacing w:line="360" w:lineRule="auto"/>
      <w:ind w:left="360"/>
      <w:rPr>
        <w:rFonts w:ascii="Calibri" w:hAnsi="Calibri" w:cs="Arial"/>
        <w:color w:val="404040"/>
        <w:szCs w:val="20"/>
      </w:rPr>
    </w:pPr>
  </w:p>
  <w:p w14:paraId="293B2C66" w14:textId="77777777" w:rsidR="005F3FCF" w:rsidRDefault="005F3FCF" w:rsidP="00593081">
    <w:pPr>
      <w:spacing w:line="360" w:lineRule="auto"/>
      <w:ind w:left="360"/>
      <w:rPr>
        <w:rFonts w:ascii="Calibri" w:hAnsi="Calibri" w:cs="Arial"/>
        <w:color w:val="404040"/>
        <w:szCs w:val="20"/>
      </w:rPr>
    </w:pPr>
    <w:r w:rsidRPr="00C91F30">
      <w:rPr>
        <w:rFonts w:ascii="Calibri" w:hAnsi="Calibri" w:cs="Arial"/>
        <w:color w:val="404040"/>
        <w:szCs w:val="20"/>
      </w:rPr>
      <w:t xml:space="preserve">Summary: HAND continued to provide fair housing information and training at its annual workshop for CDBG, ESG, HOME, and HOPWA sub-grantees to help them increase the awareness of their clients—many of whom are minorities, immigrants, refugees, single parents, persons with disabilities, and tenants—about fair housing laws. </w:t>
    </w:r>
  </w:p>
  <w:p w14:paraId="5E230A96" w14:textId="77777777" w:rsidR="005F3FCF" w:rsidRPr="00C91F30" w:rsidRDefault="005F3FCF" w:rsidP="00593081">
    <w:pPr>
      <w:spacing w:line="360" w:lineRule="auto"/>
      <w:ind w:left="360"/>
      <w:rPr>
        <w:rFonts w:ascii="Calibri" w:hAnsi="Calibri" w:cs="Arial"/>
        <w:color w:val="404040"/>
        <w:szCs w:val="20"/>
      </w:rPr>
    </w:pPr>
  </w:p>
  <w:p w14:paraId="015A0BEA" w14:textId="77777777" w:rsidR="005F3FCF" w:rsidRPr="00C91F30" w:rsidRDefault="005F3FCF" w:rsidP="00C91F30">
    <w:pPr>
      <w:spacing w:line="360" w:lineRule="auto"/>
      <w:rPr>
        <w:rFonts w:ascii="Calibri" w:hAnsi="Calibri" w:cs="Arial"/>
        <w:i/>
        <w:color w:val="404040"/>
        <w:szCs w:val="20"/>
        <w:u w:val="single"/>
      </w:rPr>
    </w:pPr>
    <w:r w:rsidRPr="00C91F30">
      <w:rPr>
        <w:rFonts w:ascii="Calibri" w:hAnsi="Calibri" w:cs="Arial"/>
        <w:i/>
        <w:color w:val="404040"/>
        <w:szCs w:val="20"/>
        <w:u w:val="single"/>
      </w:rPr>
      <w:t>Action: Neighborhood Improvements in Racial and Ethnic Concentrated Areas of Poverty</w:t>
    </w:r>
  </w:p>
  <w:p w14:paraId="7687C74D" w14:textId="77777777" w:rsidR="005F3FCF" w:rsidRPr="00C91F30" w:rsidRDefault="005F3FCF" w:rsidP="00C91F30">
    <w:pPr>
      <w:spacing w:line="360" w:lineRule="auto"/>
      <w:ind w:left="720"/>
      <w:rPr>
        <w:rFonts w:ascii="Calibri" w:hAnsi="Calibri" w:cs="Arial"/>
        <w:color w:val="404040"/>
        <w:szCs w:val="20"/>
      </w:rPr>
    </w:pPr>
    <w:r w:rsidRPr="00C91F30">
      <w:rPr>
        <w:rFonts w:ascii="Calibri" w:hAnsi="Calibri" w:cs="Arial"/>
        <w:color w:val="404040"/>
        <w:szCs w:val="20"/>
      </w:rPr>
      <w:t>Impediment Addressed:</w:t>
    </w:r>
  </w:p>
  <w:p w14:paraId="51F5D720" w14:textId="77777777" w:rsidR="005F3FCF" w:rsidRPr="00C91F30" w:rsidRDefault="005F3FCF" w:rsidP="00C91F30">
    <w:pPr>
      <w:numPr>
        <w:ilvl w:val="0"/>
        <w:numId w:val="9"/>
      </w:numPr>
      <w:spacing w:line="360" w:lineRule="auto"/>
      <w:ind w:left="1440"/>
      <w:contextualSpacing/>
      <w:rPr>
        <w:rFonts w:ascii="Calibri" w:hAnsi="Calibri" w:cs="Arial"/>
        <w:color w:val="404040"/>
        <w:szCs w:val="20"/>
      </w:rPr>
    </w:pPr>
    <w:r w:rsidRPr="00C91F30">
      <w:rPr>
        <w:rFonts w:ascii="Calibri" w:hAnsi="Calibri" w:cs="Arial"/>
        <w:color w:val="404040"/>
        <w:szCs w:val="20"/>
      </w:rPr>
      <w:t>Access to Opportunity</w:t>
    </w:r>
  </w:p>
  <w:p w14:paraId="5F4AB945" w14:textId="77777777" w:rsidR="005F3FCF" w:rsidRPr="00C91F30" w:rsidRDefault="005F3FCF" w:rsidP="00C91F30">
    <w:pPr>
      <w:spacing w:line="360" w:lineRule="auto"/>
      <w:ind w:left="360"/>
      <w:rPr>
        <w:rFonts w:ascii="Calibri" w:hAnsi="Calibri" w:cs="Arial"/>
        <w:color w:val="404040"/>
        <w:szCs w:val="20"/>
      </w:rPr>
    </w:pPr>
  </w:p>
  <w:p w14:paraId="50B27351" w14:textId="77777777" w:rsidR="005F3FCF" w:rsidRPr="00C91F30" w:rsidRDefault="005F3FCF" w:rsidP="00C91F30">
    <w:pPr>
      <w:spacing w:line="360" w:lineRule="auto"/>
      <w:ind w:left="360"/>
      <w:rPr>
        <w:rFonts w:ascii="Calibri" w:hAnsi="Calibri" w:cs="Arial"/>
        <w:color w:val="404040"/>
        <w:szCs w:val="20"/>
      </w:rPr>
    </w:pPr>
    <w:r w:rsidRPr="00C91F30">
      <w:rPr>
        <w:rFonts w:ascii="Calibri" w:hAnsi="Calibri" w:cs="Arial"/>
        <w:color w:val="404040"/>
        <w:szCs w:val="20"/>
      </w:rPr>
      <w:t>Summary: Salt Lake City allocated funding in CDBG funds to construct sidewalk accessibility ramps in compliance with ADA requirements. CDBG allocations also included funding for deteriorated sidewalk reconstruction and for strategic park improvements in Poplar Grove. Projects were largely targeted toward Salt Lake City’s two racial/ethnic concentrated areas of poverty.</w:t>
    </w:r>
  </w:p>
  <w:p w14:paraId="68FECFCD" w14:textId="77777777" w:rsidR="005F3FCF" w:rsidRPr="00C91F30" w:rsidRDefault="005F3FCF" w:rsidP="00C91F30">
    <w:pPr>
      <w:spacing w:line="360" w:lineRule="auto"/>
      <w:ind w:left="360"/>
      <w:rPr>
        <w:rFonts w:ascii="Calibri" w:hAnsi="Calibri" w:cs="Arial"/>
        <w:color w:val="404040"/>
        <w:szCs w:val="20"/>
      </w:rPr>
    </w:pPr>
  </w:p>
  <w:p w14:paraId="1276E276" w14:textId="77777777" w:rsidR="005F3FCF" w:rsidRPr="00C91F30" w:rsidRDefault="005F3FCF" w:rsidP="00C91F30">
    <w:pPr>
      <w:spacing w:line="360" w:lineRule="auto"/>
      <w:ind w:left="360"/>
      <w:rPr>
        <w:rFonts w:ascii="Calibri" w:hAnsi="Calibri" w:cs="Arial"/>
        <w:color w:val="404040"/>
        <w:szCs w:val="20"/>
      </w:rPr>
    </w:pPr>
    <w:r w:rsidRPr="00C91F30">
      <w:rPr>
        <w:rFonts w:ascii="Calibri" w:hAnsi="Calibri" w:cs="Arial"/>
        <w:color w:val="404040"/>
        <w:szCs w:val="20"/>
      </w:rPr>
      <w:t xml:space="preserve">The City has also continued to fund significant park improvements on the </w:t>
    </w:r>
    <w:r w:rsidRPr="00C91F30">
      <w:rPr>
        <w:rFonts w:ascii="Calibri" w:hAnsi="Calibri" w:cs="Calibri"/>
        <w:color w:val="404040"/>
        <w:szCs w:val="20"/>
      </w:rPr>
      <w:t xml:space="preserve">Three Creek Confluence project in the Glendale neighborhood, along with improved pedestrian accessibility and cyclist safety improvements. </w:t>
    </w:r>
  </w:p>
  <w:p w14:paraId="75DA8D6C" w14:textId="77777777" w:rsidR="005F3FCF" w:rsidRPr="00C91F30" w:rsidRDefault="005F3FCF" w:rsidP="00C91F30">
    <w:pPr>
      <w:spacing w:line="360" w:lineRule="auto"/>
      <w:rPr>
        <w:rFonts w:ascii="Calibri" w:hAnsi="Calibri" w:cs="Arial"/>
        <w:color w:val="404040"/>
        <w:szCs w:val="20"/>
      </w:rPr>
    </w:pPr>
  </w:p>
  <w:p w14:paraId="5C707027" w14:textId="77777777" w:rsidR="005F3FCF" w:rsidRPr="00C91F30" w:rsidRDefault="005F3FCF" w:rsidP="00C91F30">
    <w:pPr>
      <w:widowControl w:val="0"/>
      <w:autoSpaceDE w:val="0"/>
      <w:autoSpaceDN w:val="0"/>
      <w:adjustRightInd w:val="0"/>
      <w:spacing w:line="360" w:lineRule="auto"/>
      <w:rPr>
        <w:rFonts w:ascii="Calibri" w:hAnsi="Calibri" w:cs="Arial"/>
        <w:bCs/>
        <w:i/>
        <w:color w:val="404040"/>
        <w:szCs w:val="20"/>
        <w:u w:val="single"/>
      </w:rPr>
    </w:pPr>
    <w:r w:rsidRPr="00C91F30">
      <w:rPr>
        <w:rFonts w:ascii="Calibri" w:hAnsi="Calibri" w:cs="Arial"/>
        <w:bCs/>
        <w:i/>
        <w:color w:val="404040"/>
        <w:szCs w:val="20"/>
        <w:u w:val="single"/>
      </w:rPr>
      <w:t>Action: Fair Housing Citizen Outreach</w:t>
    </w:r>
  </w:p>
  <w:p w14:paraId="608B7530" w14:textId="77777777" w:rsidR="005F3FCF" w:rsidRPr="00C91F30" w:rsidRDefault="005F3FCF" w:rsidP="00C91F30">
    <w:pPr>
      <w:spacing w:line="360" w:lineRule="auto"/>
      <w:ind w:left="720"/>
      <w:rPr>
        <w:rFonts w:ascii="Calibri" w:hAnsi="Calibri" w:cs="Arial"/>
        <w:color w:val="404040"/>
        <w:szCs w:val="20"/>
      </w:rPr>
    </w:pPr>
    <w:r w:rsidRPr="00C91F30">
      <w:rPr>
        <w:rFonts w:ascii="Calibri" w:hAnsi="Calibri" w:cs="Arial"/>
        <w:color w:val="404040"/>
        <w:szCs w:val="20"/>
      </w:rPr>
      <w:t>Impediment Addressed:</w:t>
    </w:r>
  </w:p>
  <w:p w14:paraId="611B974A" w14:textId="77777777" w:rsidR="005F3FCF" w:rsidRPr="00C91F30" w:rsidRDefault="005F3FCF" w:rsidP="00C91F30">
    <w:pPr>
      <w:numPr>
        <w:ilvl w:val="0"/>
        <w:numId w:val="9"/>
      </w:numPr>
      <w:spacing w:line="360" w:lineRule="auto"/>
      <w:ind w:left="1440"/>
      <w:contextualSpacing/>
      <w:rPr>
        <w:rFonts w:ascii="Calibri" w:hAnsi="Calibri" w:cs="Arial"/>
        <w:color w:val="404040"/>
        <w:szCs w:val="20"/>
      </w:rPr>
    </w:pPr>
    <w:r w:rsidRPr="00C91F30">
      <w:rPr>
        <w:rFonts w:ascii="Calibri" w:hAnsi="Calibri" w:cs="Arial"/>
        <w:color w:val="404040"/>
        <w:szCs w:val="20"/>
      </w:rPr>
      <w:t>Fair Housing Knowledge</w:t>
    </w:r>
  </w:p>
  <w:p w14:paraId="7A87DE73" w14:textId="77777777" w:rsidR="005F3FCF" w:rsidRPr="00C91F30" w:rsidRDefault="005F3FCF" w:rsidP="00C91F30">
    <w:pPr>
      <w:widowControl w:val="0"/>
      <w:autoSpaceDE w:val="0"/>
      <w:autoSpaceDN w:val="0"/>
      <w:adjustRightInd w:val="0"/>
      <w:spacing w:line="360" w:lineRule="auto"/>
      <w:ind w:left="360"/>
      <w:rPr>
        <w:rFonts w:ascii="Calibri" w:hAnsi="Calibri" w:cs="Arial"/>
        <w:color w:val="404040"/>
        <w:szCs w:val="20"/>
      </w:rPr>
    </w:pPr>
    <w:r w:rsidRPr="00C91F30">
      <w:rPr>
        <w:rFonts w:ascii="Calibri" w:hAnsi="Calibri" w:cs="Arial"/>
        <w:color w:val="404040"/>
        <w:szCs w:val="20"/>
      </w:rPr>
      <w:t>Summary: HAND integrated fair housing education with all affordable housing materials, educational curriculum, and its programs and services increasing opportunities to affirmatively further fair housing. HAND continued to maintain a fair housing page on its website providing links to the Utah Antidiscrimination and Labor Division Fair Housing website and HUD’s Housing Discrimination and Complaints website. All calls received by HAND looking for information or wanting to file a discrimination complaint were referred to the Disability Law Center.</w:t>
    </w:r>
  </w:p>
  <w:p w14:paraId="496DE98C" w14:textId="77777777" w:rsidR="005F3FCF" w:rsidRPr="00C91F30" w:rsidRDefault="005F3FCF" w:rsidP="00C91F30">
    <w:pPr>
      <w:autoSpaceDE w:val="0"/>
      <w:autoSpaceDN w:val="0"/>
      <w:adjustRightInd w:val="0"/>
    </w:pPr>
  </w:p>
  <w:p w14:paraId="18A57ECC" w14:textId="77777777" w:rsidR="005F3FCF" w:rsidRPr="00C91F30" w:rsidRDefault="005F3FCF" w:rsidP="00C91F30">
    <w:pPr>
      <w:spacing w:line="276" w:lineRule="auto"/>
      <w:ind w:right="360"/>
      <w:rPr>
        <w:rFonts w:ascii="Calibri" w:hAnsi="Calibri" w:cs="Calibri"/>
        <w:b/>
        <w:color w:val="FF0000"/>
        <w:szCs w:val="20"/>
      </w:rPr>
    </w:pPr>
  </w:p>
  <w:p w14:paraId="1FFE10E8" w14:textId="77777777" w:rsidR="005F3FCF" w:rsidRDefault="005F3FCF" w:rsidP="00DA09CA">
    <w:pPr>
      <w:spacing w:line="276" w:lineRule="auto"/>
      <w:ind w:right="360"/>
      <w:rPr>
        <w:rFonts w:asciiTheme="minorHAnsi" w:hAnsiTheme="minorHAnsi" w:cstheme="minorHAnsi"/>
        <w:b/>
        <w:color w:val="FF0000"/>
        <w:szCs w:val="20"/>
      </w:rPr>
    </w:pPr>
  </w:p>
  <w:p w14:paraId="70DB61FB" w14:textId="77777777" w:rsidR="005F3FCF" w:rsidRDefault="005F3FCF" w:rsidP="00DA09CA">
    <w:pPr>
      <w:spacing w:line="276" w:lineRule="auto"/>
      <w:ind w:right="360"/>
      <w:rPr>
        <w:rFonts w:asciiTheme="minorHAnsi" w:hAnsiTheme="minorHAnsi" w:cstheme="minorHAnsi"/>
        <w:b/>
        <w:color w:val="FF0000"/>
        <w:szCs w:val="20"/>
      </w:rPr>
    </w:pPr>
    <w:r>
      <w:rPr>
        <w:rFonts w:asciiTheme="minorHAnsi" w:hAnsiTheme="minorHAnsi" w:cstheme="minorHAnsi"/>
        <w:b/>
        <w:color w:val="FF0000"/>
        <w:szCs w:val="20"/>
      </w:rPr>
      <w:br w:type="page"/>
    </w:r>
    <w:r w:rsidRPr="009629AD">
      <w:rPr>
        <w:rFonts w:asciiTheme="minorHAnsi" w:hAnsiTheme="minorHAnsi" w:cstheme="minorHAnsi"/>
        <w:b/>
        <w:color w:val="1F497D" w:themeColor="text2"/>
        <w:sz w:val="24"/>
      </w:rPr>
      <w:t>CR-</w:t>
    </w:r>
    <w:r>
      <w:rPr>
        <w:rFonts w:asciiTheme="minorHAnsi" w:hAnsiTheme="minorHAnsi" w:cstheme="minorHAnsi"/>
        <w:b/>
        <w:color w:val="1F497D" w:themeColor="text2"/>
        <w:sz w:val="24"/>
      </w:rPr>
      <w:t xml:space="preserve">40 MONITORING </w:t>
    </w:r>
    <w:r>
      <w:rPr>
        <w:rFonts w:asciiTheme="minorHAnsi" w:hAnsiTheme="minorHAnsi" w:cstheme="minorHAnsi"/>
        <w:i/>
        <w:color w:val="1F497D" w:themeColor="text2"/>
        <w:sz w:val="18"/>
        <w:szCs w:val="18"/>
      </w:rPr>
      <w:t>– 91.220; 91.320</w:t>
    </w:r>
  </w:p>
  <w:p w14:paraId="2B4AC1E3" w14:textId="77777777" w:rsidR="005F3FCF" w:rsidRDefault="005F3FCF" w:rsidP="00DA09CA">
    <w:pPr>
      <w:spacing w:line="276" w:lineRule="auto"/>
      <w:ind w:right="360"/>
      <w:rPr>
        <w:rFonts w:asciiTheme="minorHAnsi" w:hAnsiTheme="minorHAnsi" w:cstheme="minorHAnsi"/>
        <w:b/>
        <w:color w:val="FF0000"/>
        <w:szCs w:val="20"/>
      </w:rPr>
    </w:pPr>
  </w:p>
  <w:p w14:paraId="6DFCE3EC" w14:textId="77777777" w:rsidR="005F3FCF" w:rsidRPr="0095002E" w:rsidRDefault="005F3FCF" w:rsidP="00C91F30">
    <w:pPr>
      <w:spacing w:line="276" w:lineRule="auto"/>
      <w:ind w:right="360"/>
      <w:rPr>
        <w:rFonts w:asciiTheme="minorHAnsi" w:hAnsiTheme="minorHAnsi" w:cstheme="minorHAnsi"/>
        <w:b/>
        <w:color w:val="404040" w:themeColor="text1" w:themeTint="BF"/>
        <w:szCs w:val="20"/>
      </w:rPr>
    </w:pPr>
    <w:r w:rsidRPr="0095002E">
      <w:rPr>
        <w:rFonts w:asciiTheme="minorHAnsi" w:hAnsiTheme="minorHAnsi" w:cstheme="minorHAnsi"/>
        <w:b/>
        <w:color w:val="404040" w:themeColor="text1" w:themeTint="BF"/>
        <w:szCs w:val="20"/>
      </w:rPr>
      <w:t>Describe the standards and procedures used to monitor activities carried out in furtherance of the plan and used to ensure long-term compliance with requirements of the programs involved, including minority business outreach and the comprehensive planning requirements.</w:t>
    </w:r>
  </w:p>
  <w:p w14:paraId="19C0D95C" w14:textId="77777777" w:rsidR="005F3FCF" w:rsidRPr="0095002E" w:rsidRDefault="005F3FCF" w:rsidP="00C91F30">
    <w:pPr>
      <w:spacing w:line="276" w:lineRule="auto"/>
      <w:ind w:right="360"/>
      <w:rPr>
        <w:rFonts w:asciiTheme="minorHAnsi" w:hAnsiTheme="minorHAnsi" w:cstheme="minorHAnsi"/>
        <w:b/>
        <w:color w:val="404040" w:themeColor="text1" w:themeTint="BF"/>
        <w:szCs w:val="20"/>
      </w:rPr>
    </w:pPr>
  </w:p>
  <w:p w14:paraId="165F6562" w14:textId="77777777" w:rsidR="005F3FCF" w:rsidRPr="0095002E" w:rsidRDefault="005F3FCF" w:rsidP="00C91F30">
    <w:pPr>
      <w:spacing w:line="360" w:lineRule="auto"/>
      <w:rPr>
        <w:rFonts w:asciiTheme="minorHAnsi" w:hAnsiTheme="minorHAnsi" w:cstheme="minorHAnsi"/>
        <w:color w:val="404040" w:themeColor="text1" w:themeTint="BF"/>
        <w:szCs w:val="20"/>
      </w:rPr>
    </w:pPr>
    <w:r w:rsidRPr="0095002E">
      <w:rPr>
        <w:rFonts w:asciiTheme="minorHAnsi" w:hAnsiTheme="minorHAnsi" w:cstheme="minorHAnsi"/>
        <w:color w:val="404040" w:themeColor="text1" w:themeTint="BF"/>
        <w:szCs w:val="20"/>
      </w:rPr>
      <w:t xml:space="preserve">To ensure compliance from the start of a project or program, the Housing and Neighborhood Development (HAND) Division uses the application process to start the monitoring process of all agencies. Each application must go through an extensive review process that </w:t>
    </w:r>
    <w:r>
      <w:rPr>
        <w:rFonts w:asciiTheme="minorHAnsi" w:hAnsiTheme="minorHAnsi" w:cstheme="minorHAnsi"/>
        <w:color w:val="404040" w:themeColor="text1" w:themeTint="BF"/>
        <w:szCs w:val="20"/>
      </w:rPr>
      <w:t xml:space="preserve">includes a risk analysis of proposed activities and </w:t>
    </w:r>
    <w:r w:rsidRPr="0095002E">
      <w:rPr>
        <w:rFonts w:asciiTheme="minorHAnsi" w:hAnsiTheme="minorHAnsi" w:cstheme="minorHAnsi"/>
        <w:color w:val="404040" w:themeColor="text1" w:themeTint="BF"/>
        <w:szCs w:val="20"/>
      </w:rPr>
      <w:t>ensure</w:t>
    </w:r>
    <w:r>
      <w:rPr>
        <w:rFonts w:asciiTheme="minorHAnsi" w:hAnsiTheme="minorHAnsi" w:cstheme="minorHAnsi"/>
        <w:color w:val="404040" w:themeColor="text1" w:themeTint="BF"/>
        <w:szCs w:val="20"/>
      </w:rPr>
      <w:t>s</w:t>
    </w:r>
    <w:r w:rsidRPr="0095002E">
      <w:rPr>
        <w:rFonts w:asciiTheme="minorHAnsi" w:hAnsiTheme="minorHAnsi" w:cstheme="minorHAnsi"/>
        <w:color w:val="404040" w:themeColor="text1" w:themeTint="BF"/>
        <w:szCs w:val="20"/>
      </w:rPr>
      <w:t xml:space="preserve"> that each applicant meets a national objective and that the organizational goals are aligned with the goals identified in the City’s Consolidated Plan.</w:t>
    </w:r>
  </w:p>
  <w:p w14:paraId="64C1149A" w14:textId="77777777" w:rsidR="005F3FCF" w:rsidRPr="0095002E" w:rsidRDefault="005F3FCF" w:rsidP="00C91F30">
    <w:pPr>
      <w:spacing w:line="360" w:lineRule="auto"/>
      <w:ind w:left="360"/>
      <w:rPr>
        <w:rFonts w:asciiTheme="minorHAnsi" w:hAnsiTheme="minorHAnsi" w:cstheme="minorHAnsi"/>
        <w:color w:val="404040" w:themeColor="text1" w:themeTint="BF"/>
        <w:szCs w:val="20"/>
      </w:rPr>
    </w:pPr>
  </w:p>
  <w:p w14:paraId="5E403408" w14:textId="77777777" w:rsidR="005F3FCF" w:rsidRPr="0095002E" w:rsidRDefault="005F3FCF" w:rsidP="00C91F30">
    <w:pPr>
      <w:spacing w:line="360" w:lineRule="auto"/>
      <w:rPr>
        <w:rFonts w:asciiTheme="minorHAnsi" w:hAnsiTheme="minorHAnsi" w:cstheme="minorHAnsi"/>
        <w:color w:val="404040" w:themeColor="text1" w:themeTint="BF"/>
        <w:szCs w:val="20"/>
      </w:rPr>
    </w:pPr>
    <w:r w:rsidRPr="0095002E">
      <w:rPr>
        <w:rFonts w:asciiTheme="minorHAnsi" w:hAnsiTheme="minorHAnsi" w:cstheme="minorHAnsi"/>
        <w:color w:val="404040" w:themeColor="text1" w:themeTint="BF"/>
        <w:szCs w:val="20"/>
      </w:rPr>
      <w:t xml:space="preserve">Once the applications pass the initial review, each application is taken through an extensive public process, with the final funding decisions being made by our City Council. At that time, contracts are drawn up that identify governing regulations, scope of work, budgets and any other Federal requirements and local requirements of the grant. Once fully executed </w:t>
    </w:r>
    <w:r>
      <w:rPr>
        <w:rFonts w:asciiTheme="minorHAnsi" w:hAnsiTheme="minorHAnsi" w:cstheme="minorHAnsi"/>
        <w:color w:val="404040" w:themeColor="text1" w:themeTint="BF"/>
        <w:szCs w:val="20"/>
      </w:rPr>
      <w:t>contracts are in place, HAND’s Capital Planning staff are</w:t>
    </w:r>
    <w:r w:rsidRPr="0095002E">
      <w:rPr>
        <w:rFonts w:asciiTheme="minorHAnsi" w:hAnsiTheme="minorHAnsi" w:cstheme="minorHAnsi"/>
        <w:color w:val="404040" w:themeColor="text1" w:themeTint="BF"/>
        <w:szCs w:val="20"/>
      </w:rPr>
      <w:t xml:space="preserve"> responsible for monitoring the agencies through the life of the contract. The agencies are monitored for compliance with the program regulations as well as the content found in the City contracts.</w:t>
    </w:r>
  </w:p>
  <w:p w14:paraId="6018F9CF" w14:textId="77777777" w:rsidR="005F3FCF" w:rsidRPr="0095002E" w:rsidRDefault="005F3FCF" w:rsidP="00C91F30">
    <w:pPr>
      <w:spacing w:line="360" w:lineRule="auto"/>
      <w:ind w:left="360"/>
      <w:rPr>
        <w:rFonts w:asciiTheme="minorHAnsi" w:hAnsiTheme="minorHAnsi" w:cstheme="minorHAnsi"/>
        <w:color w:val="404040" w:themeColor="text1" w:themeTint="BF"/>
        <w:szCs w:val="20"/>
      </w:rPr>
    </w:pPr>
  </w:p>
  <w:p w14:paraId="39347169" w14:textId="77777777" w:rsidR="005F3FCF" w:rsidRPr="0095002E" w:rsidRDefault="005F3FCF" w:rsidP="00C91F30">
    <w:pPr>
      <w:spacing w:line="360" w:lineRule="auto"/>
      <w:rPr>
        <w:rFonts w:asciiTheme="minorHAnsi" w:hAnsiTheme="minorHAnsi" w:cstheme="minorHAnsi"/>
        <w:color w:val="404040" w:themeColor="text1" w:themeTint="BF"/>
        <w:szCs w:val="20"/>
      </w:rPr>
    </w:pPr>
    <w:r w:rsidRPr="0095002E">
      <w:rPr>
        <w:rFonts w:asciiTheme="minorHAnsi" w:hAnsiTheme="minorHAnsi" w:cstheme="minorHAnsi"/>
        <w:color w:val="404040" w:themeColor="text1" w:themeTint="BF"/>
        <w:szCs w:val="20"/>
      </w:rPr>
      <w:t>To ensure Sub-grantees are aware of program requirements, each agency that was awarded funds received an invitation to attend a</w:t>
    </w:r>
    <w:r>
      <w:rPr>
        <w:rFonts w:asciiTheme="minorHAnsi" w:hAnsiTheme="minorHAnsi" w:cstheme="minorHAnsi"/>
        <w:color w:val="404040" w:themeColor="text1" w:themeTint="BF"/>
        <w:szCs w:val="20"/>
      </w:rPr>
      <w:t xml:space="preserve"> mandatory</w:t>
    </w:r>
    <w:r w:rsidRPr="0095002E">
      <w:rPr>
        <w:rFonts w:asciiTheme="minorHAnsi" w:hAnsiTheme="minorHAnsi" w:cstheme="minorHAnsi"/>
        <w:color w:val="404040" w:themeColor="text1" w:themeTint="BF"/>
        <w:szCs w:val="20"/>
      </w:rPr>
      <w:t xml:space="preserve"> grant training seminar. This seminar allows HAND staff to reiterate Federal regulations, provide guidance on changes for the upcoming grant year, identify Federal funding concerns, and review expectations of the agencies. The City </w:t>
    </w:r>
    <w:r>
      <w:rPr>
        <w:rFonts w:asciiTheme="minorHAnsi" w:hAnsiTheme="minorHAnsi" w:cstheme="minorHAnsi"/>
        <w:color w:val="404040" w:themeColor="text1" w:themeTint="BF"/>
        <w:szCs w:val="20"/>
      </w:rPr>
      <w:t>requires</w:t>
    </w:r>
    <w:r w:rsidRPr="0095002E">
      <w:rPr>
        <w:rFonts w:asciiTheme="minorHAnsi" w:hAnsiTheme="minorHAnsi" w:cstheme="minorHAnsi"/>
        <w:color w:val="404040" w:themeColor="text1" w:themeTint="BF"/>
        <w:szCs w:val="20"/>
      </w:rPr>
      <w:t xml:space="preserve"> at least one attendee from each agency come to the training. Each person attending the training seminar receives a handbook that contains important information including contacts, website links, timelines, and a list of documents that are required to be submitted to the City annually. Agencies that were unable to attend do have the ability to receive training documents if they contact the City.</w:t>
    </w:r>
  </w:p>
  <w:p w14:paraId="2BEFA29C" w14:textId="77777777" w:rsidR="005F3FCF" w:rsidRPr="0095002E" w:rsidRDefault="005F3FCF" w:rsidP="00C91F30">
    <w:pPr>
      <w:spacing w:line="360" w:lineRule="auto"/>
      <w:ind w:left="360"/>
      <w:rPr>
        <w:rFonts w:asciiTheme="minorHAnsi" w:hAnsiTheme="minorHAnsi" w:cstheme="minorHAnsi"/>
        <w:color w:val="404040" w:themeColor="text1" w:themeTint="BF"/>
        <w:szCs w:val="20"/>
      </w:rPr>
    </w:pPr>
  </w:p>
  <w:p w14:paraId="233E0FDE" w14:textId="77777777" w:rsidR="005F3FCF" w:rsidRPr="0095002E" w:rsidRDefault="005F3FCF" w:rsidP="00C91F30">
    <w:pPr>
      <w:spacing w:line="360" w:lineRule="auto"/>
      <w:rPr>
        <w:rFonts w:asciiTheme="minorHAnsi" w:hAnsiTheme="minorHAnsi" w:cstheme="minorHAnsi"/>
        <w:color w:val="404040" w:themeColor="text1" w:themeTint="BF"/>
        <w:szCs w:val="20"/>
      </w:rPr>
    </w:pPr>
    <w:r w:rsidRPr="0095002E">
      <w:rPr>
        <w:rFonts w:asciiTheme="minorHAnsi" w:hAnsiTheme="minorHAnsi" w:cstheme="minorHAnsi"/>
        <w:color w:val="404040" w:themeColor="text1" w:themeTint="BF"/>
        <w:szCs w:val="20"/>
      </w:rPr>
      <w:t>The City operates all CDBG, ESG, HOME and HOPWA grants on a reimbursement basis. This ensures that desk reviews, an important part of monitoring, can be completed before Federal funds are utilized for any program or project. A desk review was completed for every reimb</w:t>
    </w:r>
    <w:r>
      <w:rPr>
        <w:rFonts w:asciiTheme="minorHAnsi" w:hAnsiTheme="minorHAnsi" w:cstheme="minorHAnsi"/>
        <w:color w:val="404040" w:themeColor="text1" w:themeTint="BF"/>
        <w:szCs w:val="20"/>
      </w:rPr>
      <w:t>ursement request. This allowed HAND staff</w:t>
    </w:r>
    <w:r w:rsidRPr="0095002E">
      <w:rPr>
        <w:rFonts w:asciiTheme="minorHAnsi" w:hAnsiTheme="minorHAnsi" w:cstheme="minorHAnsi"/>
        <w:color w:val="404040" w:themeColor="text1" w:themeTint="BF"/>
        <w:szCs w:val="20"/>
      </w:rPr>
      <w:t xml:space="preserve"> to ensure that all requirements of the contract and federal regulations were actively being met prior to disbursing any funds or drawing funds from HUD’s Integrated Disbursement and Information System (IDIS).  The IDIS system also helps assist with program/project eligibility requirements, track spending rates and report performance measurements.</w:t>
    </w:r>
  </w:p>
  <w:p w14:paraId="1EF37F48" w14:textId="77777777" w:rsidR="005F3FCF" w:rsidRPr="0095002E" w:rsidRDefault="005F3FCF" w:rsidP="00C91F30">
    <w:pPr>
      <w:spacing w:line="360" w:lineRule="auto"/>
      <w:ind w:left="360"/>
      <w:rPr>
        <w:rFonts w:asciiTheme="minorHAnsi" w:hAnsiTheme="minorHAnsi" w:cstheme="minorHAnsi"/>
        <w:color w:val="404040" w:themeColor="text1" w:themeTint="BF"/>
        <w:szCs w:val="20"/>
      </w:rPr>
    </w:pPr>
    <w:r w:rsidRPr="0095002E">
      <w:rPr>
        <w:rFonts w:asciiTheme="minorHAnsi" w:hAnsiTheme="minorHAnsi" w:cstheme="minorHAnsi"/>
        <w:color w:val="404040" w:themeColor="text1" w:themeTint="BF"/>
        <w:szCs w:val="20"/>
      </w:rPr>
      <w:t xml:space="preserve"> </w:t>
    </w:r>
  </w:p>
  <w:p w14:paraId="7E66B981" w14:textId="77777777" w:rsidR="005F3FCF" w:rsidRPr="0095002E" w:rsidRDefault="005F3FCF" w:rsidP="00C91F30">
    <w:pPr>
      <w:spacing w:line="360" w:lineRule="auto"/>
      <w:rPr>
        <w:rFonts w:asciiTheme="minorHAnsi" w:hAnsiTheme="minorHAnsi" w:cstheme="minorHAnsi"/>
        <w:color w:val="404040" w:themeColor="text1" w:themeTint="BF"/>
        <w:szCs w:val="20"/>
      </w:rPr>
    </w:pPr>
    <w:r w:rsidRPr="0095002E">
      <w:rPr>
        <w:rFonts w:asciiTheme="minorHAnsi" w:hAnsiTheme="minorHAnsi" w:cstheme="minorHAnsi"/>
        <w:color w:val="404040" w:themeColor="text1" w:themeTint="BF"/>
        <w:szCs w:val="20"/>
      </w:rPr>
      <w:t>During the program year, the HAND staff works together to ensure Federal regulations are followed. This ensures consistent communication between staff and agencies and reduces confusion. Additionally, agencies receiving Tenant Based Rental Assistance funding are highly encouraged to place clients in multi-family units that meet the City Housing Code standards. It is the City’s requirement that all residential rental units must have a current City business license. These units are regularly inspected as per City Ordinance. However, it is also our understanding that some clients may not be housed in multi-family units for one reason or another. In an effort to ensure safe, decent housing, a pro</w:t>
    </w:r>
    <w:r>
      <w:rPr>
        <w:rFonts w:asciiTheme="minorHAnsi" w:hAnsiTheme="minorHAnsi" w:cstheme="minorHAnsi"/>
        <w:color w:val="404040" w:themeColor="text1" w:themeTint="BF"/>
        <w:szCs w:val="20"/>
      </w:rPr>
      <w:t>cess exists a Landlord may self-</w:t>
    </w:r>
    <w:r w:rsidRPr="0095002E">
      <w:rPr>
        <w:rFonts w:asciiTheme="minorHAnsi" w:hAnsiTheme="minorHAnsi" w:cstheme="minorHAnsi"/>
        <w:color w:val="404040" w:themeColor="text1" w:themeTint="BF"/>
        <w:szCs w:val="20"/>
      </w:rPr>
      <w:t>certify that the</w:t>
    </w:r>
    <w:r>
      <w:rPr>
        <w:rFonts w:asciiTheme="minorHAnsi" w:hAnsiTheme="minorHAnsi" w:cstheme="minorHAnsi"/>
        <w:color w:val="404040" w:themeColor="text1" w:themeTint="BF"/>
        <w:szCs w:val="20"/>
      </w:rPr>
      <w:t xml:space="preserve"> unit meets City Housing Code.</w:t>
    </w:r>
    <w:r w:rsidRPr="0095002E">
      <w:rPr>
        <w:rFonts w:asciiTheme="minorHAnsi" w:hAnsiTheme="minorHAnsi" w:cstheme="minorHAnsi"/>
        <w:color w:val="404040" w:themeColor="text1" w:themeTint="BF"/>
        <w:szCs w:val="20"/>
      </w:rPr>
      <w:t xml:space="preserve"> Outside of the City’s incorporated boundaries, agencies must follow </w:t>
    </w:r>
    <w:r>
      <w:rPr>
        <w:rFonts w:asciiTheme="minorHAnsi" w:hAnsiTheme="minorHAnsi" w:cstheme="minorHAnsi"/>
        <w:color w:val="404040" w:themeColor="text1" w:themeTint="BF"/>
        <w:szCs w:val="20"/>
      </w:rPr>
      <w:t>local housing ordinances. In these</w:t>
    </w:r>
    <w:r w:rsidRPr="0095002E">
      <w:rPr>
        <w:rFonts w:asciiTheme="minorHAnsi" w:hAnsiTheme="minorHAnsi" w:cstheme="minorHAnsi"/>
        <w:color w:val="404040" w:themeColor="text1" w:themeTint="BF"/>
        <w:szCs w:val="20"/>
      </w:rPr>
      <w:t xml:space="preserve"> instance</w:t>
    </w:r>
    <w:r>
      <w:rPr>
        <w:rFonts w:asciiTheme="minorHAnsi" w:hAnsiTheme="minorHAnsi" w:cstheme="minorHAnsi"/>
        <w:color w:val="404040" w:themeColor="text1" w:themeTint="BF"/>
        <w:szCs w:val="20"/>
      </w:rPr>
      <w:t>s</w:t>
    </w:r>
    <w:r w:rsidRPr="0095002E">
      <w:rPr>
        <w:rFonts w:asciiTheme="minorHAnsi" w:hAnsiTheme="minorHAnsi" w:cstheme="minorHAnsi"/>
        <w:color w:val="404040" w:themeColor="text1" w:themeTint="BF"/>
        <w:szCs w:val="20"/>
      </w:rPr>
      <w:t>, a Housing Quality Standard Inspection form must be in the client’s</w:t>
    </w:r>
    <w:r>
      <w:rPr>
        <w:rFonts w:asciiTheme="minorHAnsi" w:hAnsiTheme="minorHAnsi" w:cstheme="minorHAnsi"/>
        <w:color w:val="404040" w:themeColor="text1" w:themeTint="BF"/>
        <w:szCs w:val="20"/>
      </w:rPr>
      <w:t xml:space="preserve"> file</w:t>
    </w:r>
    <w:r w:rsidRPr="0095002E">
      <w:rPr>
        <w:rFonts w:asciiTheme="minorHAnsi" w:hAnsiTheme="minorHAnsi" w:cstheme="minorHAnsi"/>
        <w:color w:val="404040" w:themeColor="text1" w:themeTint="BF"/>
        <w:szCs w:val="20"/>
      </w:rPr>
      <w:t xml:space="preserve">. All inspections and housing standards must be met prior to the clients moving into their units. </w:t>
    </w:r>
  </w:p>
  <w:p w14:paraId="45E78D96" w14:textId="77777777" w:rsidR="005F3FCF" w:rsidRPr="0095002E" w:rsidRDefault="005F3FCF" w:rsidP="00C91F30">
    <w:pPr>
      <w:spacing w:line="360" w:lineRule="auto"/>
      <w:ind w:left="360"/>
      <w:rPr>
        <w:rFonts w:asciiTheme="minorHAnsi" w:hAnsiTheme="minorHAnsi" w:cstheme="minorHAnsi"/>
        <w:color w:val="404040" w:themeColor="text1" w:themeTint="BF"/>
        <w:szCs w:val="20"/>
      </w:rPr>
    </w:pPr>
  </w:p>
  <w:p w14:paraId="5F2F99EB" w14:textId="77777777" w:rsidR="005F3FCF" w:rsidRPr="0095002E" w:rsidRDefault="005F3FCF" w:rsidP="00C91F30">
    <w:pPr>
      <w:spacing w:line="360" w:lineRule="auto"/>
      <w:rPr>
        <w:rFonts w:asciiTheme="minorHAnsi" w:hAnsiTheme="minorHAnsi" w:cstheme="minorHAnsi"/>
        <w:color w:val="404040" w:themeColor="text1" w:themeTint="BF"/>
        <w:szCs w:val="20"/>
      </w:rPr>
    </w:pPr>
    <w:r w:rsidRPr="0095002E">
      <w:rPr>
        <w:rFonts w:asciiTheme="minorHAnsi" w:hAnsiTheme="minorHAnsi" w:cstheme="minorHAnsi"/>
        <w:color w:val="404040" w:themeColor="text1" w:themeTint="BF"/>
        <w:szCs w:val="20"/>
      </w:rPr>
      <w:t>Through the use of a Risk Analysis, coupled with reporting mechanisms</w:t>
    </w:r>
    <w:r>
      <w:rPr>
        <w:rFonts w:asciiTheme="minorHAnsi" w:hAnsiTheme="minorHAnsi" w:cstheme="minorHAnsi"/>
        <w:color w:val="404040" w:themeColor="text1" w:themeTint="BF"/>
        <w:szCs w:val="20"/>
      </w:rPr>
      <w:t>, the Division Director and HAND staff</w:t>
    </w:r>
    <w:r w:rsidRPr="0095002E">
      <w:rPr>
        <w:rFonts w:asciiTheme="minorHAnsi" w:hAnsiTheme="minorHAnsi" w:cstheme="minorHAnsi"/>
        <w:color w:val="404040" w:themeColor="text1" w:themeTint="BF"/>
        <w:szCs w:val="20"/>
      </w:rPr>
      <w:t xml:space="preserve"> are able to determine which agencies would benefit from a technical training session, and which agencies need to have an on-site monitoring visit. The agencies that score highest typically have a monitoring visit during the following program year. As per Federal regulations, select agencies from each program (CDBG, ESG, HOME &amp; HOPWA) are monitored on an annual basis. </w:t>
    </w:r>
  </w:p>
  <w:p w14:paraId="4030B1D3" w14:textId="77777777" w:rsidR="005F3FCF" w:rsidRPr="0095002E" w:rsidRDefault="005F3FCF" w:rsidP="00C91F30">
    <w:pPr>
      <w:spacing w:line="360" w:lineRule="auto"/>
      <w:rPr>
        <w:rFonts w:asciiTheme="minorHAnsi" w:hAnsiTheme="minorHAnsi" w:cstheme="minorHAnsi"/>
        <w:color w:val="404040" w:themeColor="text1" w:themeTint="BF"/>
        <w:szCs w:val="20"/>
      </w:rPr>
    </w:pPr>
  </w:p>
  <w:p w14:paraId="2722C33F" w14:textId="77777777" w:rsidR="005F3FCF" w:rsidRPr="0095002E" w:rsidRDefault="005F3FCF" w:rsidP="00C91F30">
    <w:pPr>
      <w:spacing w:line="360" w:lineRule="auto"/>
      <w:rPr>
        <w:rFonts w:asciiTheme="minorHAnsi" w:hAnsiTheme="minorHAnsi" w:cstheme="minorHAnsi"/>
        <w:color w:val="404040" w:themeColor="text1" w:themeTint="BF"/>
        <w:szCs w:val="20"/>
      </w:rPr>
    </w:pPr>
    <w:r w:rsidRPr="0095002E">
      <w:rPr>
        <w:rFonts w:asciiTheme="minorHAnsi" w:hAnsiTheme="minorHAnsi" w:cstheme="minorHAnsi"/>
        <w:color w:val="404040" w:themeColor="text1" w:themeTint="BF"/>
        <w:szCs w:val="20"/>
      </w:rPr>
      <w:t xml:space="preserve">Because it is a HAND policy that each reimbursement request receives a desk review prior to funds being disbursed, it is a straightforward process to monitor compliance throughout the term of the contract. In addition to desk reviews, tailored guidance is given throughout the year via telephone and email conversations. Many of the agencies receiving funding were for programs that have received grant funds over a long period of time, and had no substantial changes to their programs. As such, the City focused its efforts on new agencies needing technical assistance, and working with veteran agencies on their performance measurements to ensure better data quality for outcomes. </w:t>
    </w:r>
  </w:p>
  <w:p w14:paraId="7BA90852" w14:textId="77777777" w:rsidR="005F3FCF" w:rsidRDefault="005F3FCF" w:rsidP="00C91F30">
    <w:pPr>
      <w:spacing w:line="360" w:lineRule="auto"/>
      <w:rPr>
        <w:rFonts w:asciiTheme="minorHAnsi" w:hAnsiTheme="minorHAnsi" w:cstheme="minorHAnsi"/>
        <w:color w:val="404040" w:themeColor="text1" w:themeTint="BF"/>
        <w:szCs w:val="20"/>
      </w:rPr>
    </w:pPr>
  </w:p>
  <w:p w14:paraId="1EB13A16" w14:textId="77777777" w:rsidR="005F3FCF" w:rsidRDefault="005F3FCF" w:rsidP="00C91F30">
    <w:pPr>
      <w:spacing w:line="360" w:lineRule="auto"/>
      <w:rPr>
        <w:rFonts w:asciiTheme="minorHAnsi" w:hAnsiTheme="minorHAnsi" w:cstheme="minorHAnsi"/>
        <w:color w:val="404040" w:themeColor="text1" w:themeTint="BF"/>
        <w:szCs w:val="20"/>
      </w:rPr>
    </w:pPr>
    <w:r w:rsidRPr="001A0C33">
      <w:rPr>
        <w:rFonts w:asciiTheme="minorHAnsi" w:hAnsiTheme="minorHAnsi" w:cstheme="minorHAnsi"/>
        <w:color w:val="404040" w:themeColor="text1" w:themeTint="BF"/>
        <w:szCs w:val="20"/>
      </w:rPr>
      <w:t xml:space="preserve">The on-site technical assistance and monitoring visits for CDBG, ESG, HOME, and HOPWA all went well. The technical assistance visits were critical so that new agencies understand the full requirements of the grant programs; this was especially helpful for construction projects funded through the CDBG program. </w:t>
    </w:r>
    <w:r>
      <w:rPr>
        <w:rFonts w:asciiTheme="minorHAnsi" w:hAnsiTheme="minorHAnsi" w:cstheme="minorHAnsi"/>
        <w:color w:val="404040" w:themeColor="text1" w:themeTint="BF"/>
        <w:szCs w:val="20"/>
      </w:rPr>
      <w:t xml:space="preserve">HAND found several concerns during our 17-18 monitoring visits. All agencies that received a concern were required to provide documentation of follow-up action taken to address the noted deficiencies. All required agencies provided documentation which was reviewed and approved by HAND staff. </w:t>
    </w:r>
  </w:p>
  <w:p w14:paraId="100E210E" w14:textId="77777777" w:rsidR="005F3FCF" w:rsidRPr="001A0C33" w:rsidRDefault="005F3FCF" w:rsidP="00C91F30">
    <w:pPr>
      <w:spacing w:line="360" w:lineRule="auto"/>
      <w:rPr>
        <w:rFonts w:asciiTheme="minorHAnsi" w:hAnsiTheme="minorHAnsi" w:cstheme="minorHAnsi"/>
        <w:color w:val="404040" w:themeColor="text1" w:themeTint="BF"/>
        <w:szCs w:val="20"/>
      </w:rPr>
    </w:pPr>
  </w:p>
  <w:p w14:paraId="0916DF5F" w14:textId="77777777" w:rsidR="005F3FCF" w:rsidRPr="0095002E" w:rsidRDefault="005F3FCF" w:rsidP="00C91F30">
    <w:pPr>
      <w:spacing w:line="360" w:lineRule="auto"/>
      <w:rPr>
        <w:rFonts w:asciiTheme="minorHAnsi" w:hAnsiTheme="minorHAnsi" w:cstheme="minorHAnsi"/>
        <w:color w:val="404040" w:themeColor="text1" w:themeTint="BF"/>
        <w:szCs w:val="20"/>
      </w:rPr>
    </w:pPr>
    <w:r>
      <w:rPr>
        <w:rFonts w:asciiTheme="minorHAnsi" w:hAnsiTheme="minorHAnsi" w:cstheme="minorHAnsi"/>
        <w:color w:val="404040" w:themeColor="text1" w:themeTint="BF"/>
        <w:szCs w:val="20"/>
      </w:rPr>
      <w:t xml:space="preserve">For each applicable construction project, </w:t>
    </w:r>
    <w:r w:rsidRPr="001A0C33">
      <w:rPr>
        <w:rFonts w:asciiTheme="minorHAnsi" w:hAnsiTheme="minorHAnsi" w:cstheme="minorHAnsi"/>
        <w:color w:val="404040" w:themeColor="text1" w:themeTint="BF"/>
        <w:szCs w:val="20"/>
      </w:rPr>
      <w:t>additional technical assistance from HAND’s Section 3/Labor Compliance staff person</w:t>
    </w:r>
    <w:r>
      <w:rPr>
        <w:rFonts w:asciiTheme="minorHAnsi" w:hAnsiTheme="minorHAnsi" w:cstheme="minorHAnsi"/>
        <w:color w:val="404040" w:themeColor="text1" w:themeTint="BF"/>
        <w:szCs w:val="20"/>
      </w:rPr>
      <w:t xml:space="preserve"> is provided to ensure compliance.</w:t>
    </w:r>
  </w:p>
  <w:p w14:paraId="4D83E55A" w14:textId="77777777" w:rsidR="005F3FCF" w:rsidRPr="0095002E" w:rsidRDefault="005F3FCF" w:rsidP="00C91F30">
    <w:pPr>
      <w:spacing w:line="360" w:lineRule="auto"/>
      <w:rPr>
        <w:rFonts w:asciiTheme="minorHAnsi" w:hAnsiTheme="minorHAnsi" w:cstheme="minorHAnsi"/>
        <w:color w:val="404040" w:themeColor="text1" w:themeTint="BF"/>
        <w:szCs w:val="20"/>
      </w:rPr>
    </w:pPr>
  </w:p>
  <w:p w14:paraId="58027D1E" w14:textId="77777777" w:rsidR="005F3FCF" w:rsidRPr="00FE0F88" w:rsidRDefault="005F3FCF" w:rsidP="00FE0F88">
    <w:pPr>
      <w:spacing w:line="360" w:lineRule="auto"/>
      <w:rPr>
        <w:rFonts w:asciiTheme="minorHAnsi" w:hAnsiTheme="minorHAnsi" w:cstheme="minorHAnsi"/>
        <w:color w:val="404040" w:themeColor="text1" w:themeTint="BF"/>
        <w:szCs w:val="20"/>
      </w:rPr>
    </w:pPr>
    <w:r w:rsidRPr="0095002E">
      <w:rPr>
        <w:rFonts w:asciiTheme="minorHAnsi" w:hAnsiTheme="minorHAnsi" w:cstheme="minorHAnsi"/>
        <w:color w:val="404040" w:themeColor="text1" w:themeTint="BF"/>
        <w:szCs w:val="20"/>
      </w:rPr>
      <w:t>Technical assistance and monitoring visits revealed that in general, our agencies have well documented processes and are quick to contact the City when questions arise. Minor deficiencies were identified and agencies have worked quickly to adjust processes as necessary and move forward with stronger programs. These monitoring efforts wer</w:t>
    </w:r>
    <w:r>
      <w:rPr>
        <w:rFonts w:asciiTheme="minorHAnsi" w:hAnsiTheme="minorHAnsi" w:cstheme="minorHAnsi"/>
        <w:color w:val="404040" w:themeColor="text1" w:themeTint="BF"/>
        <w:szCs w:val="20"/>
      </w:rPr>
      <w:t>e done in such a manner that HAND staff</w:t>
    </w:r>
    <w:r w:rsidRPr="0095002E">
      <w:rPr>
        <w:rFonts w:asciiTheme="minorHAnsi" w:hAnsiTheme="minorHAnsi" w:cstheme="minorHAnsi"/>
        <w:color w:val="404040" w:themeColor="text1" w:themeTint="BF"/>
        <w:szCs w:val="20"/>
      </w:rPr>
      <w:t xml:space="preserve"> went on site to meet staff, review processes and make recommendations. This is done to assist the agency with meeting the Federal requirements. Any findings or concerns are included in the next risk assessment and are addressed at the next scheduled on-site monitoring review.</w:t>
    </w:r>
  </w:p>
  <w:p w14:paraId="7286D66A" w14:textId="77777777" w:rsidR="005F3FCF" w:rsidRPr="0095002E" w:rsidRDefault="005F3FCF" w:rsidP="00C91F30">
    <w:pPr>
      <w:spacing w:line="276" w:lineRule="auto"/>
      <w:ind w:right="360"/>
      <w:rPr>
        <w:rFonts w:asciiTheme="minorHAnsi" w:hAnsiTheme="minorHAnsi" w:cstheme="minorHAnsi"/>
        <w:b/>
        <w:color w:val="404040" w:themeColor="text1" w:themeTint="BF"/>
        <w:szCs w:val="20"/>
      </w:rPr>
    </w:pPr>
    <w:r w:rsidRPr="0095002E">
      <w:rPr>
        <w:rFonts w:asciiTheme="minorHAnsi" w:hAnsiTheme="minorHAnsi" w:cstheme="minorHAnsi"/>
        <w:b/>
        <w:color w:val="404040" w:themeColor="text1" w:themeTint="BF"/>
        <w:szCs w:val="20"/>
      </w:rPr>
      <w:t>CITIZEN PARTICIPATION PLAN – 91.105(d); 91.115(d)</w:t>
    </w:r>
  </w:p>
  <w:p w14:paraId="39DC9DA4" w14:textId="77777777" w:rsidR="005F3FCF" w:rsidRPr="0095002E" w:rsidRDefault="005F3FCF" w:rsidP="00C91F30">
    <w:pPr>
      <w:spacing w:line="276" w:lineRule="auto"/>
      <w:ind w:right="360"/>
      <w:rPr>
        <w:rFonts w:asciiTheme="minorHAnsi" w:hAnsiTheme="minorHAnsi" w:cstheme="minorHAnsi"/>
        <w:b/>
        <w:color w:val="404040" w:themeColor="text1" w:themeTint="BF"/>
        <w:szCs w:val="20"/>
      </w:rPr>
    </w:pPr>
    <w:r w:rsidRPr="0095002E">
      <w:rPr>
        <w:rFonts w:asciiTheme="minorHAnsi" w:hAnsiTheme="minorHAnsi" w:cstheme="minorHAnsi"/>
        <w:b/>
        <w:color w:val="404040" w:themeColor="text1" w:themeTint="BF"/>
        <w:szCs w:val="20"/>
      </w:rPr>
      <w:t>Describe the efforts to provide citizens with reasonable notice and an opportunity to comment on performance reports.</w:t>
    </w:r>
  </w:p>
  <w:p w14:paraId="5F985D3D" w14:textId="77777777" w:rsidR="005F3FCF" w:rsidRPr="0095002E" w:rsidRDefault="005F3FCF" w:rsidP="00C91F30">
    <w:pPr>
      <w:spacing w:line="276" w:lineRule="auto"/>
      <w:ind w:right="360"/>
      <w:rPr>
        <w:rFonts w:asciiTheme="minorHAnsi" w:hAnsiTheme="minorHAnsi" w:cstheme="minorHAnsi"/>
        <w:b/>
        <w:color w:val="404040" w:themeColor="text1" w:themeTint="BF"/>
        <w:szCs w:val="20"/>
      </w:rPr>
    </w:pPr>
  </w:p>
  <w:p w14:paraId="733DE3FE" w14:textId="77777777" w:rsidR="005F3FCF" w:rsidRPr="0095002E" w:rsidRDefault="005F3FCF" w:rsidP="00C91F30">
    <w:pPr>
      <w:spacing w:line="360" w:lineRule="auto"/>
      <w:rPr>
        <w:rFonts w:asciiTheme="minorHAnsi" w:hAnsiTheme="minorHAnsi" w:cstheme="minorHAnsi"/>
        <w:color w:val="404040" w:themeColor="text1" w:themeTint="BF"/>
        <w:szCs w:val="20"/>
      </w:rPr>
    </w:pPr>
    <w:r w:rsidRPr="0095002E">
      <w:rPr>
        <w:rFonts w:asciiTheme="minorHAnsi" w:hAnsiTheme="minorHAnsi" w:cstheme="minorHAnsi"/>
        <w:color w:val="404040" w:themeColor="text1" w:themeTint="BF"/>
        <w:szCs w:val="20"/>
      </w:rPr>
      <w:t xml:space="preserve">The City encourages citizens to become active in their communities, providing feedback to the City about how their neighborhoods could be improved, how funding should be prioritized, and address safety concerns.  </w:t>
    </w:r>
  </w:p>
  <w:p w14:paraId="28608AA0" w14:textId="77777777" w:rsidR="005F3FCF" w:rsidRPr="0095002E" w:rsidRDefault="005F3FCF" w:rsidP="00C91F30">
    <w:pPr>
      <w:spacing w:line="360" w:lineRule="auto"/>
      <w:rPr>
        <w:rFonts w:asciiTheme="minorHAnsi" w:hAnsiTheme="minorHAnsi" w:cstheme="minorHAnsi"/>
        <w:color w:val="404040" w:themeColor="text1" w:themeTint="BF"/>
        <w:szCs w:val="20"/>
      </w:rPr>
    </w:pPr>
  </w:p>
  <w:p w14:paraId="1AB2DFA3" w14:textId="77777777" w:rsidR="005F3FCF" w:rsidRPr="009D610A" w:rsidRDefault="005F3FCF" w:rsidP="00C91F30">
    <w:pPr>
      <w:spacing w:line="360" w:lineRule="auto"/>
      <w:rPr>
        <w:rFonts w:asciiTheme="minorHAnsi" w:hAnsiTheme="minorHAnsi" w:cstheme="minorHAnsi"/>
        <w:i/>
        <w:color w:val="404040" w:themeColor="text1" w:themeTint="BF"/>
        <w:szCs w:val="20"/>
      </w:rPr>
    </w:pPr>
    <w:r w:rsidRPr="009D610A">
      <w:rPr>
        <w:rFonts w:asciiTheme="minorHAnsi" w:hAnsiTheme="minorHAnsi" w:cstheme="minorHAnsi"/>
        <w:i/>
        <w:color w:val="404040" w:themeColor="text1" w:themeTint="BF"/>
        <w:szCs w:val="20"/>
      </w:rPr>
      <w:t>Community Development General Needs Hearing:</w:t>
    </w:r>
  </w:p>
  <w:p w14:paraId="5B3A3CF1" w14:textId="77777777" w:rsidR="005F3FCF" w:rsidRPr="009F182D" w:rsidRDefault="005F3FCF" w:rsidP="00C91F30">
    <w:pPr>
      <w:spacing w:line="360" w:lineRule="auto"/>
      <w:rPr>
        <w:rFonts w:asciiTheme="minorHAnsi" w:hAnsiTheme="minorHAnsi"/>
        <w:color w:val="404040" w:themeColor="text1" w:themeTint="BF"/>
        <w:szCs w:val="20"/>
      </w:rPr>
    </w:pPr>
    <w:r>
      <w:rPr>
        <w:rFonts w:asciiTheme="minorHAnsi" w:hAnsiTheme="minorHAnsi"/>
        <w:color w:val="404040" w:themeColor="text1" w:themeTint="BF"/>
        <w:szCs w:val="20"/>
      </w:rPr>
      <w:t>On December 4, 2016</w:t>
    </w:r>
    <w:r w:rsidRPr="0095002E">
      <w:rPr>
        <w:rFonts w:asciiTheme="minorHAnsi" w:hAnsiTheme="minorHAnsi"/>
        <w:color w:val="404040" w:themeColor="text1" w:themeTint="BF"/>
        <w:szCs w:val="20"/>
      </w:rPr>
      <w:t xml:space="preserve">, HAND invited residents to participate in a General Needs Hearing to gather public comments on housing and community development needs as they relate to low and moderate-income residents. Over </w:t>
    </w:r>
    <w:r>
      <w:rPr>
        <w:rFonts w:asciiTheme="minorHAnsi" w:hAnsiTheme="minorHAnsi"/>
        <w:color w:val="404040" w:themeColor="text1" w:themeTint="BF"/>
        <w:szCs w:val="20"/>
      </w:rPr>
      <w:t>thirty individuals</w:t>
    </w:r>
    <w:r w:rsidRPr="0095002E">
      <w:rPr>
        <w:rFonts w:asciiTheme="minorHAnsi" w:hAnsiTheme="minorHAnsi"/>
        <w:color w:val="404040" w:themeColor="text1" w:themeTint="BF"/>
        <w:szCs w:val="20"/>
      </w:rPr>
      <w:t xml:space="preserve"> attended the hearing. Comments related to the need for affordable and accessible housing; housing rehabilitation; street and neighborhood improvements</w:t>
    </w:r>
    <w:r>
      <w:rPr>
        <w:rFonts w:asciiTheme="minorHAnsi" w:hAnsiTheme="minorHAnsi"/>
        <w:color w:val="404040" w:themeColor="text1" w:themeTint="BF"/>
        <w:szCs w:val="20"/>
      </w:rPr>
      <w:t xml:space="preserve">; substance use disorder services, public services for homeless, </w:t>
    </w:r>
    <w:r w:rsidRPr="0095002E">
      <w:rPr>
        <w:rFonts w:asciiTheme="minorHAnsi" w:hAnsiTheme="minorHAnsi"/>
        <w:color w:val="404040" w:themeColor="text1" w:themeTint="BF"/>
        <w:szCs w:val="20"/>
      </w:rPr>
      <w:t>low-income residents</w:t>
    </w:r>
    <w:r>
      <w:rPr>
        <w:rFonts w:asciiTheme="minorHAnsi" w:hAnsiTheme="minorHAnsi"/>
        <w:color w:val="404040" w:themeColor="text1" w:themeTint="BF"/>
        <w:szCs w:val="20"/>
      </w:rPr>
      <w:t>, and other vulnerable residents</w:t>
    </w:r>
    <w:r w:rsidRPr="0095002E">
      <w:rPr>
        <w:rFonts w:asciiTheme="minorHAnsi" w:hAnsiTheme="minorHAnsi"/>
        <w:color w:val="404040" w:themeColor="text1" w:themeTint="BF"/>
        <w:szCs w:val="20"/>
      </w:rPr>
      <w:t>; early childhood education; job training programs; increased opportunity within concentrated areas of poverty</w:t>
    </w:r>
    <w:r>
      <w:rPr>
        <w:rFonts w:asciiTheme="minorHAnsi" w:hAnsiTheme="minorHAnsi"/>
        <w:color w:val="404040" w:themeColor="text1" w:themeTint="BF"/>
        <w:szCs w:val="20"/>
      </w:rPr>
      <w:t>; parks; bike and pedestrian improvements; and the need for more affordable transportation options throughout the city</w:t>
    </w:r>
    <w:r w:rsidRPr="0095002E">
      <w:rPr>
        <w:rFonts w:asciiTheme="minorHAnsi" w:hAnsiTheme="minorHAnsi"/>
        <w:color w:val="404040" w:themeColor="text1" w:themeTint="BF"/>
        <w:szCs w:val="20"/>
      </w:rPr>
      <w:t>. Information gathered at the public hearing was utilized to priorit</w:t>
    </w:r>
    <w:r>
      <w:rPr>
        <w:rFonts w:asciiTheme="minorHAnsi" w:hAnsiTheme="minorHAnsi"/>
        <w:color w:val="404040" w:themeColor="text1" w:themeTint="BF"/>
        <w:szCs w:val="20"/>
      </w:rPr>
      <w:t>ize needs within the community.</w:t>
    </w:r>
  </w:p>
  <w:p w14:paraId="6440C363" w14:textId="77777777" w:rsidR="005F3FCF" w:rsidRPr="0095002E" w:rsidRDefault="005F3FCF" w:rsidP="00C91F30">
    <w:pPr>
      <w:tabs>
        <w:tab w:val="left" w:pos="1656"/>
        <w:tab w:val="left" w:pos="2160"/>
        <w:tab w:val="left" w:pos="8280"/>
      </w:tabs>
      <w:rPr>
        <w:rFonts w:asciiTheme="minorHAnsi" w:hAnsiTheme="minorHAnsi" w:cstheme="minorHAnsi"/>
        <w:color w:val="404040" w:themeColor="text1" w:themeTint="BF"/>
        <w:szCs w:val="20"/>
      </w:rPr>
    </w:pPr>
  </w:p>
  <w:p w14:paraId="2394A501" w14:textId="77777777" w:rsidR="005F3FCF" w:rsidRPr="009D610A" w:rsidRDefault="005F3FCF" w:rsidP="00C91F30">
    <w:pPr>
      <w:tabs>
        <w:tab w:val="left" w:pos="1656"/>
        <w:tab w:val="left" w:pos="2160"/>
        <w:tab w:val="left" w:pos="8280"/>
      </w:tabs>
      <w:spacing w:line="360" w:lineRule="auto"/>
      <w:rPr>
        <w:rFonts w:asciiTheme="minorHAnsi" w:hAnsiTheme="minorHAnsi" w:cstheme="minorHAnsi"/>
        <w:i/>
        <w:color w:val="404040" w:themeColor="text1" w:themeTint="BF"/>
        <w:szCs w:val="20"/>
      </w:rPr>
    </w:pPr>
    <w:r w:rsidRPr="009D610A">
      <w:rPr>
        <w:rFonts w:asciiTheme="minorHAnsi" w:hAnsiTheme="minorHAnsi" w:cstheme="minorHAnsi"/>
        <w:i/>
        <w:color w:val="404040" w:themeColor="text1" w:themeTint="BF"/>
        <w:szCs w:val="20"/>
      </w:rPr>
      <w:t>City Council Public Hearing</w:t>
    </w:r>
    <w:r>
      <w:rPr>
        <w:rFonts w:asciiTheme="minorHAnsi" w:hAnsiTheme="minorHAnsi" w:cstheme="minorHAnsi"/>
        <w:i/>
        <w:color w:val="404040" w:themeColor="text1" w:themeTint="BF"/>
        <w:szCs w:val="20"/>
      </w:rPr>
      <w:t>:</w:t>
    </w:r>
    <w:r w:rsidRPr="009D610A">
      <w:rPr>
        <w:rFonts w:asciiTheme="minorHAnsi" w:hAnsiTheme="minorHAnsi" w:cstheme="minorHAnsi"/>
        <w:i/>
        <w:color w:val="404040" w:themeColor="text1" w:themeTint="BF"/>
        <w:szCs w:val="20"/>
      </w:rPr>
      <w:t xml:space="preserve">  </w:t>
    </w:r>
  </w:p>
  <w:p w14:paraId="188ACA64" w14:textId="77777777" w:rsidR="005F3FCF" w:rsidRPr="0095002E" w:rsidRDefault="005F3FCF" w:rsidP="00C91F30">
    <w:pPr>
      <w:spacing w:line="360" w:lineRule="auto"/>
      <w:rPr>
        <w:rFonts w:asciiTheme="minorHAnsi" w:hAnsiTheme="minorHAnsi" w:cstheme="minorHAnsi"/>
        <w:color w:val="404040" w:themeColor="text1" w:themeTint="BF"/>
        <w:szCs w:val="20"/>
      </w:rPr>
    </w:pPr>
    <w:r w:rsidRPr="0095002E">
      <w:rPr>
        <w:rFonts w:asciiTheme="minorHAnsi" w:hAnsiTheme="minorHAnsi" w:cstheme="minorHAnsi"/>
        <w:color w:val="404040" w:themeColor="text1" w:themeTint="BF"/>
        <w:szCs w:val="20"/>
      </w:rPr>
      <w:t xml:space="preserve">The Salt Lake City Council held a public hearing </w:t>
    </w:r>
    <w:r>
      <w:rPr>
        <w:rFonts w:asciiTheme="minorHAnsi" w:hAnsiTheme="minorHAnsi" w:cstheme="minorHAnsi"/>
        <w:color w:val="404040" w:themeColor="text1" w:themeTint="BF"/>
        <w:szCs w:val="20"/>
      </w:rPr>
      <w:t>on March 7, 2017</w:t>
    </w:r>
    <w:r w:rsidRPr="0095002E">
      <w:rPr>
        <w:rFonts w:asciiTheme="minorHAnsi" w:hAnsiTheme="minorHAnsi" w:cstheme="minorHAnsi"/>
        <w:color w:val="404040" w:themeColor="text1" w:themeTint="BF"/>
        <w:szCs w:val="20"/>
      </w:rPr>
      <w:t xml:space="preserve"> to accept comment on proposed activities to be supported with CDBG, ESG, HOME, and HOPWA</w:t>
    </w:r>
    <w:r>
      <w:rPr>
        <w:rFonts w:asciiTheme="minorHAnsi" w:hAnsiTheme="minorHAnsi" w:cstheme="minorHAnsi"/>
        <w:color w:val="404040" w:themeColor="text1" w:themeTint="BF"/>
        <w:szCs w:val="20"/>
      </w:rPr>
      <w:t xml:space="preserve"> funding during the 17-18 funding year</w:t>
    </w:r>
    <w:r w:rsidRPr="0095002E">
      <w:rPr>
        <w:rFonts w:asciiTheme="minorHAnsi" w:hAnsiTheme="minorHAnsi" w:cstheme="minorHAnsi"/>
        <w:color w:val="404040" w:themeColor="text1" w:themeTint="BF"/>
        <w:szCs w:val="20"/>
      </w:rPr>
      <w:t xml:space="preserve">. The City Council accepted public input from those who attended the public hearing and through written comments for those unable to attend in person.  The City Council made its final funding decisions following review of the recommendations made by the citizen review boards and the Mayor, as well as the public hearing comments.  </w:t>
    </w:r>
  </w:p>
  <w:p w14:paraId="1F832C8E" w14:textId="77777777" w:rsidR="005F3FCF" w:rsidRPr="0095002E" w:rsidRDefault="005F3FCF" w:rsidP="00C91F30">
    <w:pPr>
      <w:spacing w:line="360" w:lineRule="auto"/>
      <w:rPr>
        <w:rFonts w:asciiTheme="minorHAnsi" w:hAnsiTheme="minorHAnsi" w:cstheme="minorHAnsi"/>
        <w:color w:val="404040" w:themeColor="text1" w:themeTint="BF"/>
        <w:szCs w:val="20"/>
      </w:rPr>
    </w:pPr>
  </w:p>
  <w:p w14:paraId="06510F58" w14:textId="77777777" w:rsidR="005F3FCF" w:rsidRPr="0095002E" w:rsidRDefault="005F3FCF" w:rsidP="00C91F30">
    <w:pPr>
      <w:spacing w:line="360" w:lineRule="auto"/>
      <w:rPr>
        <w:rFonts w:asciiTheme="minorHAnsi" w:hAnsiTheme="minorHAnsi" w:cstheme="minorHAnsi"/>
        <w:color w:val="404040" w:themeColor="text1" w:themeTint="BF"/>
        <w:szCs w:val="20"/>
      </w:rPr>
    </w:pPr>
    <w:r w:rsidRPr="0095002E">
      <w:rPr>
        <w:rFonts w:asciiTheme="minorHAnsi" w:hAnsiTheme="minorHAnsi" w:cstheme="minorHAnsi"/>
        <w:color w:val="404040" w:themeColor="text1" w:themeTint="BF"/>
        <w:szCs w:val="20"/>
      </w:rPr>
      <w:t>Funding recommendations by the citizen review boards, the Mayor and the Council took into account the ability of the applicants to meet th</w:t>
    </w:r>
    <w:r>
      <w:rPr>
        <w:rFonts w:asciiTheme="minorHAnsi" w:hAnsiTheme="minorHAnsi" w:cstheme="minorHAnsi"/>
        <w:color w:val="404040" w:themeColor="text1" w:themeTint="BF"/>
        <w:szCs w:val="20"/>
      </w:rPr>
      <w:t>e needs of the low and moderate-</w:t>
    </w:r>
    <w:r w:rsidRPr="0095002E">
      <w:rPr>
        <w:rFonts w:asciiTheme="minorHAnsi" w:hAnsiTheme="minorHAnsi" w:cstheme="minorHAnsi"/>
        <w:color w:val="404040" w:themeColor="text1" w:themeTint="BF"/>
        <w:szCs w:val="20"/>
      </w:rPr>
      <w:t xml:space="preserve">income residents of the City, the amount of funds available for each of the federal grant programs, and the ability of proposed activities to meet the goals and objectives outlined in the City’s 2015-2019 Consolidated Plan.  </w:t>
    </w:r>
  </w:p>
  <w:p w14:paraId="6EC64895" w14:textId="77777777" w:rsidR="005F3FCF" w:rsidRPr="0095002E" w:rsidRDefault="005F3FCF" w:rsidP="00C91F30">
    <w:pPr>
      <w:keepLines/>
      <w:widowControl w:val="0"/>
      <w:suppressAutoHyphens/>
      <w:overflowPunct w:val="0"/>
      <w:autoSpaceDE w:val="0"/>
      <w:autoSpaceDN w:val="0"/>
      <w:adjustRightInd w:val="0"/>
      <w:rPr>
        <w:rFonts w:asciiTheme="minorHAnsi" w:hAnsiTheme="minorHAnsi" w:cstheme="minorHAnsi"/>
        <w:b/>
        <w:color w:val="404040" w:themeColor="text1" w:themeTint="BF"/>
        <w:szCs w:val="20"/>
      </w:rPr>
    </w:pPr>
  </w:p>
  <w:p w14:paraId="47DB5D03" w14:textId="77777777" w:rsidR="005F3FCF" w:rsidRPr="009D610A" w:rsidRDefault="005F3FCF" w:rsidP="00C91F30">
    <w:pPr>
      <w:keepLines/>
      <w:widowControl w:val="0"/>
      <w:suppressAutoHyphens/>
      <w:overflowPunct w:val="0"/>
      <w:autoSpaceDE w:val="0"/>
      <w:autoSpaceDN w:val="0"/>
      <w:adjustRightInd w:val="0"/>
      <w:spacing w:line="360" w:lineRule="auto"/>
      <w:rPr>
        <w:rFonts w:asciiTheme="minorHAnsi" w:hAnsiTheme="minorHAnsi" w:cstheme="minorHAnsi"/>
        <w:i/>
        <w:color w:val="404040" w:themeColor="text1" w:themeTint="BF"/>
        <w:szCs w:val="20"/>
      </w:rPr>
    </w:pPr>
    <w:r w:rsidRPr="009D610A">
      <w:rPr>
        <w:rFonts w:asciiTheme="minorHAnsi" w:hAnsiTheme="minorHAnsi" w:cstheme="minorHAnsi"/>
        <w:i/>
        <w:color w:val="404040" w:themeColor="text1" w:themeTint="BF"/>
        <w:szCs w:val="20"/>
      </w:rPr>
      <w:t xml:space="preserve">Limited English Proficiency Outreach and Community Invitation:  </w:t>
    </w:r>
  </w:p>
  <w:p w14:paraId="458C10AF" w14:textId="77777777" w:rsidR="005F3FCF" w:rsidRPr="0095002E" w:rsidRDefault="005F3FCF" w:rsidP="00C91F30">
    <w:pPr>
      <w:tabs>
        <w:tab w:val="left" w:pos="-720"/>
      </w:tabs>
      <w:suppressAutoHyphens/>
      <w:spacing w:line="360" w:lineRule="auto"/>
      <w:rPr>
        <w:rFonts w:asciiTheme="minorHAnsi" w:hAnsiTheme="minorHAnsi" w:cstheme="minorHAnsi"/>
        <w:color w:val="404040" w:themeColor="text1" w:themeTint="BF"/>
        <w:szCs w:val="20"/>
      </w:rPr>
    </w:pPr>
    <w:r w:rsidRPr="00FE0F88">
      <w:rPr>
        <w:rFonts w:asciiTheme="minorHAnsi" w:hAnsiTheme="minorHAnsi" w:cstheme="minorHAnsi"/>
        <w:color w:val="404040" w:themeColor="text1" w:themeTint="BF"/>
        <w:szCs w:val="20"/>
      </w:rPr>
      <w:t>In an effort to broaden public participation and provide outreach to non-English speaking and very low-income residents in the preparation and development of these Plans and Reports, Salt Lake City engages with the Utah Housing Coalition and the Long Range Planning Committee.  The Utah Housing Coalition is a state-wide organization created to address affordable housing issues comprised of members from local governments, lending institutions, housing developers, faith-based organizations, housing advocates, real estate entities, public housing authorities, and community service organizations.  The Long Range Planning Committee is a county-wide organization created to address the County's homeless issues and responsible for implementing the ten year plan to end chronic homelessness.</w:t>
    </w:r>
  </w:p>
  <w:p w14:paraId="2968E630" w14:textId="77777777" w:rsidR="005F3FCF" w:rsidRPr="0095002E" w:rsidRDefault="005F3FCF" w:rsidP="00C91F30">
    <w:pPr>
      <w:keepLines/>
      <w:widowControl w:val="0"/>
      <w:suppressAutoHyphens/>
      <w:overflowPunct w:val="0"/>
      <w:autoSpaceDE w:val="0"/>
      <w:autoSpaceDN w:val="0"/>
      <w:adjustRightInd w:val="0"/>
      <w:spacing w:line="360" w:lineRule="auto"/>
      <w:rPr>
        <w:rFonts w:asciiTheme="minorHAnsi" w:hAnsiTheme="minorHAnsi" w:cstheme="minorHAnsi"/>
        <w:color w:val="404040" w:themeColor="text1" w:themeTint="BF"/>
        <w:szCs w:val="20"/>
      </w:rPr>
    </w:pPr>
  </w:p>
  <w:p w14:paraId="38538665" w14:textId="77777777" w:rsidR="005F3FCF" w:rsidRPr="0095002E" w:rsidRDefault="005F3FCF" w:rsidP="00C91F30">
    <w:pPr>
      <w:keepLines/>
      <w:widowControl w:val="0"/>
      <w:suppressAutoHyphens/>
      <w:overflowPunct w:val="0"/>
      <w:autoSpaceDE w:val="0"/>
      <w:autoSpaceDN w:val="0"/>
      <w:adjustRightInd w:val="0"/>
      <w:spacing w:line="360" w:lineRule="auto"/>
      <w:rPr>
        <w:rFonts w:asciiTheme="minorHAnsi" w:hAnsiTheme="minorHAnsi" w:cstheme="minorHAnsi"/>
        <w:color w:val="404040" w:themeColor="text1" w:themeTint="BF"/>
        <w:szCs w:val="20"/>
      </w:rPr>
    </w:pPr>
    <w:r w:rsidRPr="0095002E">
      <w:rPr>
        <w:rFonts w:asciiTheme="minorHAnsi" w:hAnsiTheme="minorHAnsi" w:cstheme="minorHAnsi"/>
        <w:color w:val="404040" w:themeColor="text1" w:themeTint="BF"/>
        <w:szCs w:val="20"/>
      </w:rPr>
      <w:t>Notices are sent out on the Housing and Neighborhood Development’s public distribution list, as well as posted on various City website pages, sent out as press rele</w:t>
    </w:r>
    <w:r>
      <w:rPr>
        <w:rFonts w:asciiTheme="minorHAnsi" w:hAnsiTheme="minorHAnsi" w:cstheme="minorHAnsi"/>
        <w:color w:val="404040" w:themeColor="text1" w:themeTint="BF"/>
        <w:szCs w:val="20"/>
      </w:rPr>
      <w:t>ases through the Mayor’s Office.</w:t>
    </w:r>
  </w:p>
  <w:p w14:paraId="7757AB0D" w14:textId="77777777" w:rsidR="005F3FCF" w:rsidRPr="0095002E" w:rsidRDefault="005F3FCF" w:rsidP="00C91F30">
    <w:pPr>
      <w:keepLines/>
      <w:widowControl w:val="0"/>
      <w:suppressAutoHyphens/>
      <w:overflowPunct w:val="0"/>
      <w:autoSpaceDE w:val="0"/>
      <w:autoSpaceDN w:val="0"/>
      <w:adjustRightInd w:val="0"/>
      <w:spacing w:line="360" w:lineRule="auto"/>
      <w:rPr>
        <w:rFonts w:asciiTheme="minorHAnsi" w:hAnsiTheme="minorHAnsi" w:cstheme="minorHAnsi"/>
        <w:color w:val="404040" w:themeColor="text1" w:themeTint="BF"/>
        <w:szCs w:val="20"/>
      </w:rPr>
    </w:pPr>
  </w:p>
  <w:p w14:paraId="794A142B" w14:textId="77777777" w:rsidR="005F3FCF" w:rsidRPr="0095002E" w:rsidRDefault="005F3FCF" w:rsidP="00C91F30">
    <w:pPr>
      <w:keepLines/>
      <w:widowControl w:val="0"/>
      <w:suppressAutoHyphens/>
      <w:overflowPunct w:val="0"/>
      <w:autoSpaceDE w:val="0"/>
      <w:autoSpaceDN w:val="0"/>
      <w:adjustRightInd w:val="0"/>
      <w:spacing w:line="360" w:lineRule="auto"/>
      <w:rPr>
        <w:rFonts w:asciiTheme="minorHAnsi" w:hAnsiTheme="minorHAnsi" w:cstheme="minorHAnsi"/>
        <w:color w:val="404040" w:themeColor="text1" w:themeTint="BF"/>
        <w:szCs w:val="20"/>
      </w:rPr>
    </w:pPr>
    <w:r w:rsidRPr="0095002E">
      <w:rPr>
        <w:rFonts w:asciiTheme="minorHAnsi" w:hAnsiTheme="minorHAnsi" w:cstheme="minorHAnsi"/>
        <w:color w:val="404040" w:themeColor="text1" w:themeTint="BF"/>
        <w:szCs w:val="20"/>
      </w:rPr>
      <w:t>Citizens are notified of accessible parking spaces and building entrances. They are also made aware that reasonable accommodations for individuals with disabilities or those in need of language interpretation services can be provided if 48 hours notice is given by contacting Housing and Neighborhood Development, and a TDD service number is available for the hearing impaired.</w:t>
    </w:r>
  </w:p>
  <w:p w14:paraId="29F4BEF7" w14:textId="77777777" w:rsidR="005F3FCF" w:rsidRPr="0095002E" w:rsidRDefault="005F3FCF" w:rsidP="00C91F30">
    <w:pPr>
      <w:spacing w:line="360" w:lineRule="auto"/>
      <w:rPr>
        <w:rFonts w:asciiTheme="minorHAnsi" w:hAnsiTheme="minorHAnsi" w:cstheme="minorHAnsi"/>
        <w:b/>
        <w:color w:val="404040" w:themeColor="text1" w:themeTint="BF"/>
        <w:szCs w:val="20"/>
      </w:rPr>
    </w:pPr>
  </w:p>
  <w:p w14:paraId="2D4EE19F" w14:textId="77777777" w:rsidR="005F3FCF" w:rsidRPr="009D610A" w:rsidRDefault="005F3FCF" w:rsidP="00C91F30">
    <w:pPr>
      <w:spacing w:line="360" w:lineRule="auto"/>
      <w:rPr>
        <w:rFonts w:asciiTheme="minorHAnsi" w:hAnsiTheme="minorHAnsi" w:cstheme="minorHAnsi"/>
        <w:i/>
        <w:color w:val="404040" w:themeColor="text1" w:themeTint="BF"/>
        <w:szCs w:val="20"/>
      </w:rPr>
    </w:pPr>
    <w:r w:rsidRPr="009D610A">
      <w:rPr>
        <w:rFonts w:asciiTheme="minorHAnsi" w:hAnsiTheme="minorHAnsi" w:cstheme="minorHAnsi"/>
        <w:i/>
        <w:color w:val="404040" w:themeColor="text1" w:themeTint="BF"/>
        <w:szCs w:val="20"/>
      </w:rPr>
      <w:t>Performance reports provided to the public</w:t>
    </w:r>
    <w:r>
      <w:rPr>
        <w:rFonts w:asciiTheme="minorHAnsi" w:hAnsiTheme="minorHAnsi" w:cstheme="minorHAnsi"/>
        <w:i/>
        <w:color w:val="404040" w:themeColor="text1" w:themeTint="BF"/>
        <w:szCs w:val="20"/>
      </w:rPr>
      <w:t>:</w:t>
    </w:r>
    <w:r w:rsidRPr="009D610A">
      <w:rPr>
        <w:rFonts w:asciiTheme="minorHAnsi" w:hAnsiTheme="minorHAnsi" w:cstheme="minorHAnsi"/>
        <w:i/>
        <w:color w:val="404040" w:themeColor="text1" w:themeTint="BF"/>
        <w:szCs w:val="20"/>
      </w:rPr>
      <w:t xml:space="preserve">  </w:t>
    </w:r>
  </w:p>
  <w:p w14:paraId="46326D13" w14:textId="77777777" w:rsidR="005F3FCF" w:rsidRPr="00FE0F88" w:rsidRDefault="005F3FCF" w:rsidP="00C91F30">
    <w:pPr>
      <w:spacing w:line="360" w:lineRule="auto"/>
      <w:rPr>
        <w:rFonts w:asciiTheme="minorHAnsi" w:hAnsiTheme="minorHAnsi" w:cstheme="minorHAnsi"/>
        <w:color w:val="404040" w:themeColor="text1" w:themeTint="BF"/>
        <w:szCs w:val="20"/>
      </w:rPr>
    </w:pPr>
    <w:r w:rsidRPr="00FE0F88">
      <w:rPr>
        <w:rFonts w:asciiTheme="minorHAnsi" w:hAnsiTheme="minorHAnsi" w:cstheme="minorHAnsi"/>
        <w:color w:val="404040" w:themeColor="text1" w:themeTint="BF"/>
        <w:szCs w:val="20"/>
      </w:rPr>
      <w:t xml:space="preserve">The Consolidated Annual Performance and Evaluation Report (CAPER) for 2017-18 was made available for public review and </w:t>
    </w:r>
    <w:r w:rsidRPr="00F5641C">
      <w:rPr>
        <w:rFonts w:asciiTheme="minorHAnsi" w:hAnsiTheme="minorHAnsi" w:cstheme="minorHAnsi"/>
        <w:color w:val="404040" w:themeColor="text1" w:themeTint="BF"/>
        <w:szCs w:val="20"/>
      </w:rPr>
      <w:t xml:space="preserve">comment from </w:t>
    </w:r>
    <w:r>
      <w:rPr>
        <w:rFonts w:asciiTheme="minorHAnsi" w:hAnsiTheme="minorHAnsi" w:cstheme="minorHAnsi"/>
        <w:color w:val="404040" w:themeColor="text1" w:themeTint="BF"/>
        <w:szCs w:val="20"/>
      </w:rPr>
      <w:t>September 4 - September 19</w:t>
    </w:r>
    <w:r w:rsidRPr="00F5641C">
      <w:rPr>
        <w:rFonts w:asciiTheme="minorHAnsi" w:hAnsiTheme="minorHAnsi" w:cstheme="minorHAnsi"/>
        <w:color w:val="404040" w:themeColor="text1" w:themeTint="BF"/>
        <w:szCs w:val="20"/>
      </w:rPr>
      <w:t>, 2018. Copies</w:t>
    </w:r>
    <w:r w:rsidRPr="00FE0F88">
      <w:rPr>
        <w:rFonts w:asciiTheme="minorHAnsi" w:hAnsiTheme="minorHAnsi" w:cstheme="minorHAnsi"/>
        <w:color w:val="404040" w:themeColor="text1" w:themeTint="BF"/>
        <w:szCs w:val="20"/>
      </w:rPr>
      <w:t xml:space="preserve"> were located at Salt Lake City Corporation, 451 South State Street, in the Office of Community Affairs (Room 345) and in Housing and Neighborhood Development (Room 445) as well as posted on the City’s official web site.  A copy was also placed for public review at the Salt Lake City Public Library, Main Branch, located at 210 East 400 South in Salt Lake City.  </w:t>
    </w:r>
  </w:p>
  <w:p w14:paraId="178F435A" w14:textId="77777777" w:rsidR="005F3FCF" w:rsidRPr="00FE0F88" w:rsidRDefault="005F3FCF" w:rsidP="00C91F30">
    <w:pPr>
      <w:spacing w:line="360" w:lineRule="auto"/>
      <w:rPr>
        <w:rFonts w:asciiTheme="minorHAnsi" w:hAnsiTheme="minorHAnsi" w:cstheme="minorHAnsi"/>
        <w:color w:val="404040" w:themeColor="text1" w:themeTint="BF"/>
        <w:szCs w:val="20"/>
      </w:rPr>
    </w:pPr>
  </w:p>
  <w:p w14:paraId="6E17982D" w14:textId="77777777" w:rsidR="005F3FCF" w:rsidRPr="00FE0F88" w:rsidRDefault="005F3FCF" w:rsidP="00C91F30">
    <w:pPr>
      <w:spacing w:line="360" w:lineRule="auto"/>
      <w:rPr>
        <w:rFonts w:asciiTheme="minorHAnsi" w:hAnsiTheme="minorHAnsi" w:cstheme="minorHAnsi"/>
        <w:color w:val="404040" w:themeColor="text1" w:themeTint="BF"/>
        <w:szCs w:val="20"/>
      </w:rPr>
    </w:pPr>
    <w:r w:rsidRPr="00FE0F88">
      <w:rPr>
        <w:rFonts w:asciiTheme="minorHAnsi" w:hAnsiTheme="minorHAnsi" w:cstheme="minorHAnsi"/>
        <w:color w:val="404040" w:themeColor="text1" w:themeTint="BF"/>
        <w:szCs w:val="20"/>
      </w:rPr>
      <w:t>The following IDIS reports (Appendix B) were made available for public review at the offices of Housing and Neighborhood Development, located at 451 South State Street, room 445:</w:t>
    </w:r>
  </w:p>
  <w:p w14:paraId="1A35F74D" w14:textId="77777777" w:rsidR="005F3FCF" w:rsidRPr="00FE0F88" w:rsidRDefault="005F3FCF" w:rsidP="00C91F30">
    <w:pPr>
      <w:pStyle w:val="Default"/>
      <w:numPr>
        <w:ilvl w:val="0"/>
        <w:numId w:val="4"/>
      </w:numPr>
      <w:spacing w:line="360" w:lineRule="auto"/>
      <w:rPr>
        <w:rFonts w:asciiTheme="minorHAnsi" w:hAnsiTheme="minorHAnsi" w:cstheme="minorHAnsi"/>
        <w:color w:val="404040" w:themeColor="text1" w:themeTint="BF"/>
        <w:sz w:val="20"/>
        <w:szCs w:val="20"/>
      </w:rPr>
    </w:pPr>
    <w:r w:rsidRPr="00FE0F88">
      <w:rPr>
        <w:rFonts w:asciiTheme="minorHAnsi" w:hAnsiTheme="minorHAnsi" w:cstheme="minorHAnsi"/>
        <w:color w:val="404040" w:themeColor="text1" w:themeTint="BF"/>
        <w:sz w:val="20"/>
        <w:szCs w:val="20"/>
      </w:rPr>
      <w:t xml:space="preserve">Summary of Accomplishments Report (C04PR23) </w:t>
    </w:r>
  </w:p>
  <w:p w14:paraId="235D0FAE" w14:textId="77777777" w:rsidR="005F3FCF" w:rsidRPr="00FE0F88" w:rsidRDefault="005F3FCF" w:rsidP="00C91F30">
    <w:pPr>
      <w:pStyle w:val="Default"/>
      <w:numPr>
        <w:ilvl w:val="0"/>
        <w:numId w:val="4"/>
      </w:numPr>
      <w:spacing w:line="360" w:lineRule="auto"/>
      <w:rPr>
        <w:rFonts w:asciiTheme="minorHAnsi" w:hAnsiTheme="minorHAnsi" w:cstheme="minorHAnsi"/>
        <w:color w:val="404040" w:themeColor="text1" w:themeTint="BF"/>
        <w:sz w:val="20"/>
        <w:szCs w:val="20"/>
      </w:rPr>
    </w:pPr>
    <w:r w:rsidRPr="00FE0F88">
      <w:rPr>
        <w:rFonts w:asciiTheme="minorHAnsi" w:hAnsiTheme="minorHAnsi" w:cstheme="minorHAnsi"/>
        <w:color w:val="404040" w:themeColor="text1" w:themeTint="BF"/>
        <w:sz w:val="20"/>
        <w:szCs w:val="20"/>
      </w:rPr>
      <w:t>Summary of Consolidated Plan Projects for Report Year 201</w:t>
    </w:r>
    <w:r>
      <w:rPr>
        <w:rFonts w:asciiTheme="minorHAnsi" w:hAnsiTheme="minorHAnsi" w:cstheme="minorHAnsi"/>
        <w:color w:val="404040" w:themeColor="text1" w:themeTint="BF"/>
        <w:sz w:val="20"/>
        <w:szCs w:val="20"/>
      </w:rPr>
      <w:t>7</w:t>
    </w:r>
    <w:r w:rsidRPr="00FE0F88">
      <w:rPr>
        <w:rFonts w:asciiTheme="minorHAnsi" w:hAnsiTheme="minorHAnsi" w:cstheme="minorHAnsi"/>
        <w:color w:val="404040" w:themeColor="text1" w:themeTint="BF"/>
        <w:sz w:val="20"/>
        <w:szCs w:val="20"/>
      </w:rPr>
      <w:t xml:space="preserve"> (C04PR06)</w:t>
    </w:r>
  </w:p>
  <w:p w14:paraId="442F3D5C" w14:textId="77777777" w:rsidR="005F3FCF" w:rsidRPr="00FE0F88" w:rsidRDefault="005F3FCF" w:rsidP="00C91F30">
    <w:pPr>
      <w:pStyle w:val="Default"/>
      <w:numPr>
        <w:ilvl w:val="0"/>
        <w:numId w:val="4"/>
      </w:numPr>
      <w:spacing w:line="360" w:lineRule="auto"/>
      <w:rPr>
        <w:rFonts w:asciiTheme="minorHAnsi" w:hAnsiTheme="minorHAnsi" w:cstheme="minorHAnsi"/>
        <w:color w:val="404040" w:themeColor="text1" w:themeTint="BF"/>
        <w:sz w:val="20"/>
        <w:szCs w:val="20"/>
      </w:rPr>
    </w:pPr>
    <w:r w:rsidRPr="00FE0F88">
      <w:rPr>
        <w:rFonts w:asciiTheme="minorHAnsi" w:hAnsiTheme="minorHAnsi" w:cstheme="minorHAnsi"/>
        <w:color w:val="404040" w:themeColor="text1" w:themeTint="BF"/>
        <w:sz w:val="20"/>
        <w:szCs w:val="20"/>
      </w:rPr>
      <w:t xml:space="preserve">CDBG Financial Summary Report (C04PR26) </w:t>
    </w:r>
  </w:p>
  <w:p w14:paraId="6351C045" w14:textId="77777777" w:rsidR="005F3FCF" w:rsidRPr="00FE0F88" w:rsidRDefault="005F3FCF" w:rsidP="00C91F30">
    <w:pPr>
      <w:pStyle w:val="Default"/>
      <w:numPr>
        <w:ilvl w:val="0"/>
        <w:numId w:val="4"/>
      </w:numPr>
      <w:spacing w:line="360" w:lineRule="auto"/>
      <w:rPr>
        <w:rFonts w:asciiTheme="minorHAnsi" w:hAnsiTheme="minorHAnsi" w:cstheme="minorHAnsi"/>
        <w:color w:val="404040" w:themeColor="text1" w:themeTint="BF"/>
        <w:sz w:val="20"/>
        <w:szCs w:val="20"/>
      </w:rPr>
    </w:pPr>
    <w:r w:rsidRPr="00FE0F88">
      <w:rPr>
        <w:rFonts w:asciiTheme="minorHAnsi" w:hAnsiTheme="minorHAnsi" w:cstheme="minorHAnsi"/>
        <w:color w:val="404040" w:themeColor="text1" w:themeTint="BF"/>
        <w:sz w:val="20"/>
        <w:szCs w:val="20"/>
      </w:rPr>
      <w:t xml:space="preserve">CDBG Summary of Activities (C04PR03) </w:t>
    </w:r>
  </w:p>
  <w:p w14:paraId="524A0CB4" w14:textId="77777777" w:rsidR="005F3FCF" w:rsidRPr="00FE0F88" w:rsidRDefault="005F3FCF" w:rsidP="00C91F30">
    <w:pPr>
      <w:pStyle w:val="Default"/>
      <w:numPr>
        <w:ilvl w:val="0"/>
        <w:numId w:val="4"/>
      </w:numPr>
      <w:spacing w:line="360" w:lineRule="auto"/>
      <w:rPr>
        <w:rFonts w:asciiTheme="minorHAnsi" w:hAnsiTheme="minorHAnsi" w:cstheme="minorHAnsi"/>
        <w:color w:val="404040" w:themeColor="text1" w:themeTint="BF"/>
        <w:sz w:val="20"/>
        <w:szCs w:val="20"/>
      </w:rPr>
    </w:pPr>
    <w:r w:rsidRPr="00FE0F88">
      <w:rPr>
        <w:rFonts w:asciiTheme="minorHAnsi" w:hAnsiTheme="minorHAnsi" w:cstheme="minorHAnsi"/>
        <w:color w:val="404040" w:themeColor="text1" w:themeTint="BF"/>
        <w:sz w:val="20"/>
        <w:szCs w:val="20"/>
      </w:rPr>
      <w:t xml:space="preserve">CDBG Performance Measures Report (C04PR83) </w:t>
    </w:r>
  </w:p>
  <w:p w14:paraId="7DD635F8" w14:textId="77777777" w:rsidR="005F3FCF" w:rsidRPr="00FE0F88" w:rsidRDefault="005F3FCF" w:rsidP="00C91F30">
    <w:pPr>
      <w:pStyle w:val="Default"/>
      <w:numPr>
        <w:ilvl w:val="0"/>
        <w:numId w:val="4"/>
      </w:numPr>
      <w:spacing w:line="360" w:lineRule="auto"/>
      <w:rPr>
        <w:rFonts w:asciiTheme="minorHAnsi" w:hAnsiTheme="minorHAnsi" w:cstheme="minorHAnsi"/>
        <w:color w:val="404040" w:themeColor="text1" w:themeTint="BF"/>
        <w:sz w:val="20"/>
        <w:szCs w:val="20"/>
      </w:rPr>
    </w:pPr>
    <w:r w:rsidRPr="00FE0F88">
      <w:rPr>
        <w:rFonts w:asciiTheme="minorHAnsi" w:hAnsiTheme="minorHAnsi" w:cstheme="minorHAnsi"/>
        <w:color w:val="404040" w:themeColor="text1" w:themeTint="BF"/>
        <w:sz w:val="20"/>
        <w:szCs w:val="20"/>
      </w:rPr>
      <w:t xml:space="preserve">HOME Housing Performance Report (Grantee/PJ) (C04PR85) </w:t>
    </w:r>
  </w:p>
  <w:p w14:paraId="1DE17078" w14:textId="77777777" w:rsidR="005F3FCF" w:rsidRPr="00D967BE" w:rsidRDefault="005F3FCF" w:rsidP="00C91F30">
    <w:pPr>
      <w:spacing w:line="276" w:lineRule="auto"/>
      <w:rPr>
        <w:rFonts w:asciiTheme="minorHAnsi" w:hAnsiTheme="minorHAnsi" w:cstheme="minorHAnsi"/>
        <w:b/>
        <w:color w:val="404040" w:themeColor="text1" w:themeTint="BF"/>
        <w:szCs w:val="20"/>
      </w:rPr>
    </w:pPr>
  </w:p>
  <w:p w14:paraId="6CA46B5B" w14:textId="77777777" w:rsidR="005F3FCF" w:rsidRDefault="005F3FCF" w:rsidP="00C91F30">
    <w:pPr>
      <w:spacing w:line="276" w:lineRule="auto"/>
      <w:ind w:right="360"/>
      <w:rPr>
        <w:rFonts w:asciiTheme="minorHAnsi" w:hAnsiTheme="minorHAnsi" w:cstheme="minorHAnsi"/>
        <w:b/>
        <w:color w:val="FF0000"/>
        <w:szCs w:val="20"/>
      </w:rPr>
    </w:pPr>
  </w:p>
  <w:p w14:paraId="7AB77200" w14:textId="77777777" w:rsidR="005F3FCF" w:rsidRPr="00F7751B" w:rsidRDefault="005F3FCF" w:rsidP="00C91F30">
    <w:pPr>
      <w:spacing w:line="276" w:lineRule="auto"/>
      <w:ind w:right="360"/>
      <w:rPr>
        <w:rFonts w:asciiTheme="minorHAnsi" w:hAnsiTheme="minorHAnsi" w:cstheme="minorHAnsi"/>
        <w:i/>
        <w:color w:val="1F497D" w:themeColor="text2"/>
        <w:sz w:val="18"/>
        <w:szCs w:val="18"/>
      </w:rPr>
    </w:pPr>
    <w:r w:rsidRPr="0095002E">
      <w:rPr>
        <w:rFonts w:asciiTheme="minorHAnsi" w:hAnsiTheme="minorHAnsi" w:cstheme="minorHAnsi"/>
        <w:szCs w:val="20"/>
      </w:rPr>
      <w:br w:type="page"/>
    </w:r>
    <w:r w:rsidRPr="009629AD">
      <w:rPr>
        <w:rFonts w:asciiTheme="minorHAnsi" w:hAnsiTheme="minorHAnsi" w:cstheme="minorHAnsi"/>
        <w:b/>
        <w:color w:val="1F497D" w:themeColor="text2"/>
        <w:sz w:val="24"/>
      </w:rPr>
      <w:t>CR-</w:t>
    </w:r>
    <w:r>
      <w:rPr>
        <w:rFonts w:asciiTheme="minorHAnsi" w:hAnsiTheme="minorHAnsi" w:cstheme="minorHAnsi"/>
        <w:b/>
        <w:color w:val="1F497D" w:themeColor="text2"/>
        <w:sz w:val="24"/>
      </w:rPr>
      <w:t xml:space="preserve">45 CDBG </w:t>
    </w:r>
    <w:r>
      <w:rPr>
        <w:rFonts w:asciiTheme="minorHAnsi" w:hAnsiTheme="minorHAnsi" w:cstheme="minorHAnsi"/>
        <w:i/>
        <w:color w:val="1F497D" w:themeColor="text2"/>
        <w:sz w:val="18"/>
        <w:szCs w:val="18"/>
      </w:rPr>
      <w:t xml:space="preserve">– 91.520 (c) </w:t>
    </w:r>
  </w:p>
  <w:p w14:paraId="6A9D5239" w14:textId="77777777" w:rsidR="005F3FCF" w:rsidRDefault="005F3FCF" w:rsidP="00C91F30">
    <w:pPr>
      <w:spacing w:line="276" w:lineRule="auto"/>
      <w:ind w:right="360"/>
      <w:rPr>
        <w:rFonts w:asciiTheme="minorHAnsi" w:hAnsiTheme="minorHAnsi" w:cstheme="minorHAnsi"/>
        <w:b/>
        <w:color w:val="FF0000"/>
        <w:szCs w:val="20"/>
      </w:rPr>
    </w:pPr>
  </w:p>
  <w:p w14:paraId="30684806" w14:textId="77777777" w:rsidR="005F3FCF" w:rsidRPr="00D55BD7" w:rsidRDefault="005F3FCF" w:rsidP="00C91F30">
    <w:pPr>
      <w:spacing w:line="360" w:lineRule="auto"/>
      <w:ind w:right="360"/>
      <w:rPr>
        <w:rFonts w:asciiTheme="minorHAnsi" w:hAnsiTheme="minorHAnsi" w:cstheme="minorHAnsi"/>
        <w:b/>
        <w:color w:val="404040" w:themeColor="text1" w:themeTint="BF"/>
        <w:szCs w:val="20"/>
      </w:rPr>
    </w:pPr>
    <w:r w:rsidRPr="00D55BD7">
      <w:rPr>
        <w:rFonts w:asciiTheme="minorHAnsi" w:hAnsiTheme="minorHAnsi" w:cstheme="minorHAnsi"/>
        <w:b/>
        <w:color w:val="404040" w:themeColor="text1" w:themeTint="BF"/>
        <w:szCs w:val="20"/>
      </w:rPr>
      <w:t>Specify the nature of, and reasons for, any changes in the City’s program objectives and indications of how the City would change its program as a result of its experiences.</w:t>
    </w:r>
  </w:p>
  <w:p w14:paraId="2B9FD690" w14:textId="77777777" w:rsidR="005F3FCF" w:rsidRPr="00D55BD7" w:rsidRDefault="005F3FCF" w:rsidP="00C91F30">
    <w:pPr>
      <w:spacing w:line="360" w:lineRule="auto"/>
      <w:ind w:right="360"/>
      <w:rPr>
        <w:rFonts w:asciiTheme="minorHAnsi" w:hAnsiTheme="minorHAnsi" w:cstheme="minorHAnsi"/>
        <w:b/>
        <w:color w:val="404040" w:themeColor="text1" w:themeTint="BF"/>
        <w:szCs w:val="20"/>
      </w:rPr>
    </w:pPr>
  </w:p>
  <w:p w14:paraId="2DF7179F" w14:textId="77777777" w:rsidR="005F3FCF" w:rsidRPr="00D55BD7" w:rsidRDefault="005F3FCF" w:rsidP="00C91F30">
    <w:pPr>
      <w:spacing w:line="360" w:lineRule="auto"/>
      <w:ind w:right="360"/>
      <w:rPr>
        <w:rFonts w:asciiTheme="minorHAnsi" w:hAnsiTheme="minorHAnsi" w:cstheme="minorHAnsi"/>
        <w:color w:val="404040" w:themeColor="text1" w:themeTint="BF"/>
        <w:szCs w:val="20"/>
      </w:rPr>
    </w:pPr>
    <w:r w:rsidRPr="00D55BD7">
      <w:rPr>
        <w:rFonts w:asciiTheme="minorHAnsi" w:hAnsiTheme="minorHAnsi" w:cstheme="minorHAnsi"/>
        <w:color w:val="404040" w:themeColor="text1" w:themeTint="BF"/>
        <w:szCs w:val="20"/>
      </w:rPr>
      <w:t xml:space="preserve">This CAPER report closes out the </w:t>
    </w:r>
    <w:r>
      <w:rPr>
        <w:rFonts w:asciiTheme="minorHAnsi" w:hAnsiTheme="minorHAnsi" w:cstheme="minorHAnsi"/>
        <w:color w:val="404040" w:themeColor="text1" w:themeTint="BF"/>
        <w:szCs w:val="20"/>
      </w:rPr>
      <w:t>third</w:t>
    </w:r>
    <w:r w:rsidRPr="00D55BD7">
      <w:rPr>
        <w:rFonts w:asciiTheme="minorHAnsi" w:hAnsiTheme="minorHAnsi" w:cstheme="minorHAnsi"/>
        <w:color w:val="404040" w:themeColor="text1" w:themeTint="BF"/>
        <w:szCs w:val="20"/>
      </w:rPr>
      <w:t xml:space="preserve"> year of a five year consolidated plan period. It is clear that the goals and objectives of the plan are still relevant and should not be changed at this time. </w:t>
    </w:r>
  </w:p>
  <w:p w14:paraId="7B520946" w14:textId="77777777" w:rsidR="005F3FCF" w:rsidRPr="00D55BD7" w:rsidRDefault="005F3FCF" w:rsidP="00C91F30">
    <w:pPr>
      <w:spacing w:line="360" w:lineRule="auto"/>
      <w:ind w:right="360"/>
      <w:rPr>
        <w:rFonts w:asciiTheme="minorHAnsi" w:hAnsiTheme="minorHAnsi" w:cstheme="minorHAnsi"/>
        <w:color w:val="404040" w:themeColor="text1" w:themeTint="BF"/>
        <w:szCs w:val="20"/>
      </w:rPr>
    </w:pPr>
  </w:p>
  <w:p w14:paraId="153AAC75" w14:textId="77777777" w:rsidR="005F3FCF" w:rsidRPr="00D55BD7" w:rsidRDefault="005F3FCF" w:rsidP="00C91F30">
    <w:pPr>
      <w:spacing w:line="360" w:lineRule="auto"/>
      <w:ind w:right="360"/>
      <w:rPr>
        <w:rFonts w:asciiTheme="minorHAnsi" w:hAnsiTheme="minorHAnsi" w:cstheme="minorHAnsi"/>
        <w:color w:val="404040" w:themeColor="text1" w:themeTint="BF"/>
        <w:szCs w:val="20"/>
      </w:rPr>
    </w:pPr>
    <w:r>
      <w:rPr>
        <w:rFonts w:asciiTheme="minorHAnsi" w:hAnsiTheme="minorHAnsi" w:cstheme="minorHAnsi"/>
        <w:color w:val="404040" w:themeColor="text1" w:themeTint="BF"/>
        <w:szCs w:val="20"/>
      </w:rPr>
      <w:t xml:space="preserve">The City will continue to monitor and evaluate the goals in the Consolidated Plan. Much of this will be in relation to the new housing plan, </w:t>
    </w:r>
    <w:r w:rsidRPr="00D92FCD">
      <w:rPr>
        <w:rFonts w:asciiTheme="minorHAnsi" w:hAnsiTheme="minorHAnsi" w:cstheme="minorHAnsi"/>
        <w:i/>
        <w:color w:val="404040" w:themeColor="text1" w:themeTint="BF"/>
        <w:szCs w:val="20"/>
      </w:rPr>
      <w:t>Growing SLC</w:t>
    </w:r>
    <w:r>
      <w:rPr>
        <w:rFonts w:asciiTheme="minorHAnsi" w:hAnsiTheme="minorHAnsi" w:cstheme="minorHAnsi"/>
        <w:color w:val="404040" w:themeColor="text1" w:themeTint="BF"/>
        <w:szCs w:val="20"/>
      </w:rPr>
      <w:t xml:space="preserve">. Salt Lake City will use the information collected as part of the process to provide guidance and leverage CDBG funding to achieve the goals of both the Consolidated Plan and </w:t>
    </w:r>
    <w:r w:rsidRPr="00D92FCD">
      <w:rPr>
        <w:rFonts w:asciiTheme="minorHAnsi" w:hAnsiTheme="minorHAnsi" w:cstheme="minorHAnsi"/>
        <w:i/>
        <w:color w:val="404040" w:themeColor="text1" w:themeTint="BF"/>
        <w:szCs w:val="20"/>
      </w:rPr>
      <w:t>Growing SLC</w:t>
    </w:r>
    <w:r>
      <w:rPr>
        <w:rFonts w:asciiTheme="minorHAnsi" w:hAnsiTheme="minorHAnsi" w:cstheme="minorHAnsi"/>
        <w:color w:val="404040" w:themeColor="text1" w:themeTint="BF"/>
        <w:szCs w:val="20"/>
      </w:rPr>
      <w:t xml:space="preserve">.  </w:t>
    </w:r>
  </w:p>
  <w:p w14:paraId="06F6B8E2" w14:textId="77777777" w:rsidR="005F3FCF" w:rsidRPr="000F79D2" w:rsidRDefault="005F3FCF" w:rsidP="00C91F30">
    <w:pPr>
      <w:spacing w:line="276" w:lineRule="auto"/>
      <w:ind w:right="360"/>
      <w:rPr>
        <w:rFonts w:asciiTheme="minorHAnsi" w:hAnsiTheme="minorHAnsi" w:cstheme="minorHAnsi"/>
        <w:color w:val="FF0000"/>
        <w:szCs w:val="20"/>
      </w:rPr>
    </w:pPr>
  </w:p>
  <w:p w14:paraId="421F684E" w14:textId="77777777" w:rsidR="005F3FCF" w:rsidRDefault="005F3FCF" w:rsidP="00C91F30">
    <w:pPr>
      <w:spacing w:line="276" w:lineRule="auto"/>
      <w:ind w:right="360"/>
      <w:rPr>
        <w:rFonts w:asciiTheme="minorHAnsi" w:hAnsiTheme="minorHAnsi" w:cstheme="minorHAnsi"/>
        <w:b/>
        <w:color w:val="FF0000"/>
        <w:szCs w:val="20"/>
      </w:rPr>
    </w:pPr>
  </w:p>
  <w:p w14:paraId="49F146A3" w14:textId="77777777" w:rsidR="005F3FCF" w:rsidRPr="000F79D2" w:rsidRDefault="005F3FCF" w:rsidP="00DA09CA">
    <w:pPr>
      <w:spacing w:line="276" w:lineRule="auto"/>
      <w:ind w:right="360"/>
      <w:rPr>
        <w:rFonts w:asciiTheme="minorHAnsi" w:hAnsiTheme="minorHAnsi" w:cstheme="minorHAnsi"/>
        <w:color w:val="FF0000"/>
        <w:szCs w:val="20"/>
      </w:rPr>
    </w:pPr>
  </w:p>
  <w:p w14:paraId="482FADEF" w14:textId="77777777" w:rsidR="005F3FCF" w:rsidRDefault="005F3FCF" w:rsidP="00DA09CA">
    <w:pPr>
      <w:spacing w:line="276" w:lineRule="auto"/>
      <w:ind w:right="360"/>
      <w:rPr>
        <w:rFonts w:asciiTheme="minorHAnsi" w:hAnsiTheme="minorHAnsi" w:cstheme="minorHAnsi"/>
        <w:b/>
        <w:color w:val="FF0000"/>
        <w:szCs w:val="20"/>
      </w:rPr>
    </w:pPr>
  </w:p>
  <w:p w14:paraId="6830980B" w14:textId="77777777" w:rsidR="005F3FCF" w:rsidRDefault="005F3FCF" w:rsidP="00DA09CA">
    <w:pPr>
      <w:spacing w:line="276" w:lineRule="auto"/>
      <w:ind w:right="360"/>
      <w:rPr>
        <w:rFonts w:asciiTheme="minorHAnsi" w:hAnsiTheme="minorHAnsi" w:cstheme="minorHAnsi"/>
        <w:b/>
        <w:color w:val="FF0000"/>
        <w:szCs w:val="20"/>
      </w:rPr>
    </w:pPr>
  </w:p>
  <w:p w14:paraId="2B45BF41" w14:textId="77777777" w:rsidR="005F3FCF" w:rsidRDefault="005F3FCF" w:rsidP="00DA09CA">
    <w:pPr>
      <w:spacing w:line="276" w:lineRule="auto"/>
      <w:ind w:right="360"/>
      <w:rPr>
        <w:rFonts w:asciiTheme="minorHAnsi" w:hAnsiTheme="minorHAnsi" w:cstheme="minorHAnsi"/>
        <w:b/>
        <w:color w:val="FF0000"/>
        <w:szCs w:val="20"/>
      </w:rPr>
    </w:pPr>
  </w:p>
  <w:p w14:paraId="2DC6F19D" w14:textId="77777777" w:rsidR="005F3FCF" w:rsidRDefault="005F3FCF" w:rsidP="00DA09CA">
    <w:pPr>
      <w:spacing w:line="276" w:lineRule="auto"/>
      <w:ind w:right="360"/>
      <w:rPr>
        <w:rFonts w:asciiTheme="minorHAnsi" w:hAnsiTheme="minorHAnsi" w:cstheme="minorHAnsi"/>
        <w:b/>
        <w:color w:val="FF0000"/>
        <w:szCs w:val="20"/>
      </w:rPr>
    </w:pPr>
  </w:p>
  <w:p w14:paraId="442FD513" w14:textId="77777777" w:rsidR="005F3FCF" w:rsidRDefault="005F3FCF" w:rsidP="00DA09CA">
    <w:pPr>
      <w:spacing w:line="276" w:lineRule="auto"/>
      <w:ind w:right="360"/>
      <w:rPr>
        <w:rFonts w:asciiTheme="minorHAnsi" w:hAnsiTheme="minorHAnsi" w:cstheme="minorHAnsi"/>
        <w:b/>
        <w:color w:val="FF0000"/>
        <w:szCs w:val="20"/>
      </w:rPr>
    </w:pPr>
  </w:p>
  <w:p w14:paraId="7A0E06DA" w14:textId="77777777" w:rsidR="005F3FCF" w:rsidRPr="00F7751B" w:rsidRDefault="005F3FCF" w:rsidP="000B6DFA">
    <w:pPr>
      <w:spacing w:line="276" w:lineRule="auto"/>
      <w:ind w:right="360"/>
      <w:rPr>
        <w:rFonts w:asciiTheme="minorHAnsi" w:hAnsiTheme="minorHAnsi" w:cstheme="minorHAnsi"/>
        <w:i/>
        <w:color w:val="1F497D" w:themeColor="text2"/>
        <w:sz w:val="18"/>
        <w:szCs w:val="18"/>
      </w:rPr>
    </w:pPr>
    <w:r>
      <w:rPr>
        <w:rFonts w:asciiTheme="minorHAnsi" w:hAnsiTheme="minorHAnsi" w:cstheme="minorHAnsi"/>
        <w:b/>
        <w:color w:val="FF0000"/>
        <w:szCs w:val="20"/>
      </w:rPr>
      <w:br w:type="page"/>
    </w:r>
    <w:r w:rsidRPr="009629AD">
      <w:rPr>
        <w:rFonts w:asciiTheme="minorHAnsi" w:hAnsiTheme="minorHAnsi" w:cstheme="minorHAnsi"/>
        <w:b/>
        <w:color w:val="1F497D" w:themeColor="text2"/>
        <w:sz w:val="24"/>
      </w:rPr>
      <w:t>CR-</w:t>
    </w:r>
    <w:r>
      <w:rPr>
        <w:rFonts w:asciiTheme="minorHAnsi" w:hAnsiTheme="minorHAnsi" w:cstheme="minorHAnsi"/>
        <w:b/>
        <w:color w:val="1F497D" w:themeColor="text2"/>
        <w:sz w:val="24"/>
      </w:rPr>
      <w:t xml:space="preserve">50 HOME </w:t>
    </w:r>
    <w:r>
      <w:rPr>
        <w:rFonts w:asciiTheme="minorHAnsi" w:hAnsiTheme="minorHAnsi" w:cstheme="minorHAnsi"/>
        <w:i/>
        <w:color w:val="1F497D" w:themeColor="text2"/>
        <w:sz w:val="18"/>
        <w:szCs w:val="18"/>
      </w:rPr>
      <w:t xml:space="preserve">– 91.520 (d) </w:t>
    </w:r>
  </w:p>
  <w:p w14:paraId="0729C7F1" w14:textId="77777777" w:rsidR="005F3FCF" w:rsidRDefault="005F3FCF" w:rsidP="00DA09CA">
    <w:pPr>
      <w:spacing w:line="276" w:lineRule="auto"/>
      <w:ind w:right="360"/>
      <w:rPr>
        <w:rFonts w:asciiTheme="minorHAnsi" w:hAnsiTheme="minorHAnsi" w:cstheme="minorHAnsi"/>
        <w:b/>
        <w:color w:val="FF0000"/>
        <w:szCs w:val="20"/>
      </w:rPr>
    </w:pPr>
  </w:p>
  <w:p w14:paraId="68E82E02" w14:textId="77777777" w:rsidR="005F3FCF" w:rsidRPr="00735B21" w:rsidRDefault="005F3FCF" w:rsidP="00C91F30">
    <w:pPr>
      <w:spacing w:line="276" w:lineRule="auto"/>
      <w:ind w:right="360"/>
      <w:rPr>
        <w:rFonts w:asciiTheme="minorHAnsi" w:hAnsiTheme="minorHAnsi" w:cstheme="minorHAnsi"/>
        <w:b/>
        <w:color w:val="404040" w:themeColor="text1" w:themeTint="BF"/>
        <w:szCs w:val="20"/>
      </w:rPr>
    </w:pPr>
    <w:r w:rsidRPr="00735B21">
      <w:rPr>
        <w:rFonts w:asciiTheme="minorHAnsi" w:hAnsiTheme="minorHAnsi" w:cstheme="minorHAnsi"/>
        <w:b/>
        <w:color w:val="404040" w:themeColor="text1" w:themeTint="BF"/>
        <w:szCs w:val="20"/>
      </w:rPr>
      <w:t>Include the results of on-site inspections of affordable rental housing assisted under the program to determine compliance with housing codes and other applicable regulations.</w:t>
    </w:r>
  </w:p>
  <w:p w14:paraId="2E39EB2E" w14:textId="77777777" w:rsidR="005F3FCF" w:rsidRPr="00735B21" w:rsidRDefault="005F3FCF" w:rsidP="00C91F30">
    <w:pPr>
      <w:spacing w:line="276" w:lineRule="auto"/>
      <w:ind w:right="360"/>
      <w:rPr>
        <w:rFonts w:asciiTheme="minorHAnsi" w:hAnsiTheme="minorHAnsi" w:cstheme="minorHAnsi"/>
        <w:b/>
        <w:color w:val="404040" w:themeColor="text1" w:themeTint="BF"/>
        <w:szCs w:val="20"/>
      </w:rPr>
    </w:pPr>
  </w:p>
  <w:p w14:paraId="7EFFFF20" w14:textId="77777777" w:rsidR="005F3FCF" w:rsidRPr="00735B21" w:rsidRDefault="005F3FCF" w:rsidP="00C91F30">
    <w:pPr>
      <w:spacing w:line="276" w:lineRule="auto"/>
      <w:ind w:right="360"/>
      <w:rPr>
        <w:rFonts w:asciiTheme="minorHAnsi" w:hAnsiTheme="minorHAnsi" w:cstheme="minorHAnsi"/>
        <w:b/>
        <w:i/>
        <w:color w:val="404040" w:themeColor="text1" w:themeTint="BF"/>
        <w:szCs w:val="20"/>
      </w:rPr>
    </w:pPr>
    <w:r w:rsidRPr="00735B21">
      <w:rPr>
        <w:rFonts w:asciiTheme="minorHAnsi" w:hAnsiTheme="minorHAnsi" w:cstheme="minorHAnsi"/>
        <w:b/>
        <w:i/>
        <w:color w:val="404040" w:themeColor="text1" w:themeTint="BF"/>
        <w:szCs w:val="20"/>
      </w:rPr>
      <w:t>List those projects that should have been inspected on-site this program year based upon the schedule in 92.504(d). Indicate which of these were inspected and a summary of issues that were detected during the inspection. For those that were not inspected, please indicate the reason and how the City will remedy the situation.</w:t>
    </w:r>
  </w:p>
  <w:p w14:paraId="3DEB7067" w14:textId="77777777" w:rsidR="005F3FCF" w:rsidRPr="00735B21" w:rsidRDefault="005F3FCF" w:rsidP="00C91F30">
    <w:pPr>
      <w:spacing w:line="360" w:lineRule="auto"/>
      <w:ind w:right="360"/>
      <w:rPr>
        <w:rFonts w:asciiTheme="minorHAnsi" w:hAnsiTheme="minorHAnsi" w:cstheme="minorHAnsi"/>
        <w:b/>
        <w:color w:val="404040" w:themeColor="text1" w:themeTint="BF"/>
        <w:szCs w:val="20"/>
      </w:rPr>
    </w:pPr>
  </w:p>
  <w:p w14:paraId="0C43E9FA" w14:textId="77777777" w:rsidR="005F3FCF" w:rsidRPr="00735B21" w:rsidRDefault="005F3FCF" w:rsidP="00C91F30">
    <w:pPr>
      <w:spacing w:line="360" w:lineRule="auto"/>
      <w:ind w:right="360"/>
      <w:rPr>
        <w:rFonts w:asciiTheme="minorHAnsi" w:hAnsiTheme="minorHAnsi"/>
        <w:bCs/>
        <w:color w:val="404040" w:themeColor="text1" w:themeTint="BF"/>
        <w:szCs w:val="20"/>
      </w:rPr>
    </w:pPr>
    <w:r w:rsidRPr="00735B21">
      <w:rPr>
        <w:rFonts w:asciiTheme="minorHAnsi" w:hAnsiTheme="minorHAnsi"/>
        <w:bCs/>
        <w:color w:val="404040" w:themeColor="text1" w:themeTint="BF"/>
        <w:szCs w:val="20"/>
      </w:rPr>
      <w:t>Each year, Salt Lake City arranges to do a file review and a physical onsite inspection of affordable rental housing. The property visited is determined by the HOME regulations in terms of affordability period and the funds invested in each property. For the 2017-2018 year, the City was required to conduct on-site inspections of three properties. The City conducted an assessment of three properties, listed below. The on-site inspection and monitoring included a review of how residents are selected, affirmative marketing plans, accessibility, lease agreements; client files for income certification, visual inspections, as well a review of the interior and exterior physical conditions, maintenance and upkeep of the premises.</w:t>
    </w:r>
  </w:p>
  <w:p w14:paraId="2473C508" w14:textId="77777777" w:rsidR="005F3FCF" w:rsidRPr="00735B21" w:rsidRDefault="005F3FCF" w:rsidP="00C91F30">
    <w:pPr>
      <w:spacing w:line="360" w:lineRule="auto"/>
      <w:ind w:right="360"/>
      <w:rPr>
        <w:rFonts w:asciiTheme="minorHAnsi" w:hAnsiTheme="minorHAnsi"/>
        <w:b/>
        <w:bCs/>
        <w:color w:val="404040" w:themeColor="text1" w:themeTint="BF"/>
        <w:szCs w:val="20"/>
      </w:rPr>
    </w:pPr>
  </w:p>
  <w:p w14:paraId="085A9A01" w14:textId="77777777" w:rsidR="005F3FCF" w:rsidRPr="00735B21" w:rsidRDefault="005F3FCF" w:rsidP="00C91F30">
    <w:pPr>
      <w:spacing w:line="360" w:lineRule="auto"/>
      <w:ind w:right="360"/>
      <w:rPr>
        <w:rFonts w:asciiTheme="minorHAnsi" w:hAnsiTheme="minorHAnsi"/>
        <w:bCs/>
        <w:color w:val="404040" w:themeColor="text1" w:themeTint="BF"/>
        <w:szCs w:val="20"/>
      </w:rPr>
    </w:pPr>
    <w:r w:rsidRPr="00735B21">
      <w:rPr>
        <w:rFonts w:asciiTheme="minorHAnsi" w:hAnsiTheme="minorHAnsi"/>
        <w:bCs/>
        <w:color w:val="404040" w:themeColor="text1" w:themeTint="BF"/>
        <w:szCs w:val="20"/>
      </w:rPr>
      <w:t>Typically a minimum of ten percent of the files were monitored and inspected for each project. The properties that were monitored and inspected are as follows:</w:t>
    </w:r>
  </w:p>
  <w:p w14:paraId="16D2C087" w14:textId="77777777" w:rsidR="005F3FCF" w:rsidRPr="00735B21" w:rsidRDefault="005F3FCF" w:rsidP="00C91F30">
    <w:pPr>
      <w:spacing w:line="360" w:lineRule="auto"/>
      <w:ind w:right="360"/>
      <w:rPr>
        <w:rFonts w:asciiTheme="minorHAnsi" w:hAnsiTheme="minorHAnsi"/>
        <w:b/>
        <w:bCs/>
        <w:color w:val="404040" w:themeColor="text1" w:themeTint="BF"/>
        <w:szCs w:val="20"/>
      </w:rPr>
    </w:pPr>
  </w:p>
  <w:p w14:paraId="2E30BC4F" w14:textId="77777777" w:rsidR="005F3FCF" w:rsidRPr="00735B21" w:rsidRDefault="005F3FCF" w:rsidP="00C91F30">
    <w:pPr>
      <w:numPr>
        <w:ilvl w:val="0"/>
        <w:numId w:val="21"/>
      </w:numPr>
      <w:spacing w:line="360" w:lineRule="auto"/>
      <w:ind w:right="360"/>
      <w:contextualSpacing/>
      <w:rPr>
        <w:rFonts w:asciiTheme="minorHAnsi" w:hAnsiTheme="minorHAnsi"/>
        <w:bCs/>
        <w:color w:val="404040" w:themeColor="text1" w:themeTint="BF"/>
        <w:szCs w:val="20"/>
      </w:rPr>
    </w:pPr>
    <w:r w:rsidRPr="00735B21">
      <w:rPr>
        <w:rFonts w:asciiTheme="minorHAnsi" w:hAnsiTheme="minorHAnsi"/>
        <w:bCs/>
        <w:color w:val="404040" w:themeColor="text1" w:themeTint="BF"/>
        <w:szCs w:val="20"/>
      </w:rPr>
      <w:t>Lowell Apartments</w:t>
    </w:r>
    <w:r w:rsidRPr="00735B21">
      <w:rPr>
        <w:rFonts w:asciiTheme="minorHAnsi" w:hAnsiTheme="minorHAnsi"/>
        <w:bCs/>
        <w:color w:val="404040" w:themeColor="text1" w:themeTint="BF"/>
        <w:szCs w:val="20"/>
      </w:rPr>
      <w:tab/>
    </w:r>
    <w:r w:rsidRPr="00735B21">
      <w:rPr>
        <w:rFonts w:asciiTheme="minorHAnsi" w:hAnsiTheme="minorHAnsi"/>
        <w:bCs/>
        <w:color w:val="404040" w:themeColor="text1" w:themeTint="BF"/>
        <w:szCs w:val="20"/>
      </w:rPr>
      <w:tab/>
    </w:r>
    <w:r w:rsidRPr="00735B21">
      <w:rPr>
        <w:rFonts w:asciiTheme="minorHAnsi" w:hAnsiTheme="minorHAnsi"/>
        <w:bCs/>
        <w:color w:val="404040" w:themeColor="text1" w:themeTint="BF"/>
        <w:szCs w:val="20"/>
      </w:rPr>
      <w:tab/>
      <w:t>746 South 200 East</w:t>
    </w:r>
  </w:p>
  <w:p w14:paraId="1EB4DE32" w14:textId="77777777" w:rsidR="005F3FCF" w:rsidRPr="00735B21" w:rsidRDefault="005F3FCF" w:rsidP="00C91F30">
    <w:pPr>
      <w:numPr>
        <w:ilvl w:val="0"/>
        <w:numId w:val="21"/>
      </w:numPr>
      <w:spacing w:line="360" w:lineRule="auto"/>
      <w:ind w:right="360"/>
      <w:contextualSpacing/>
      <w:rPr>
        <w:rFonts w:asciiTheme="minorHAnsi" w:hAnsiTheme="minorHAnsi"/>
        <w:bCs/>
        <w:color w:val="404040" w:themeColor="text1" w:themeTint="BF"/>
        <w:szCs w:val="20"/>
      </w:rPr>
    </w:pPr>
    <w:r w:rsidRPr="00735B21">
      <w:rPr>
        <w:rFonts w:asciiTheme="minorHAnsi" w:hAnsiTheme="minorHAnsi"/>
        <w:bCs/>
        <w:color w:val="404040" w:themeColor="text1" w:themeTint="BF"/>
        <w:szCs w:val="20"/>
      </w:rPr>
      <w:t>Sedona Apartments</w:t>
    </w:r>
    <w:r w:rsidRPr="00735B21">
      <w:rPr>
        <w:rFonts w:asciiTheme="minorHAnsi" w:hAnsiTheme="minorHAnsi"/>
        <w:bCs/>
        <w:color w:val="404040" w:themeColor="text1" w:themeTint="BF"/>
        <w:szCs w:val="20"/>
      </w:rPr>
      <w:tab/>
    </w:r>
    <w:r w:rsidRPr="00735B21">
      <w:rPr>
        <w:rFonts w:asciiTheme="minorHAnsi" w:hAnsiTheme="minorHAnsi"/>
        <w:bCs/>
        <w:color w:val="404040" w:themeColor="text1" w:themeTint="BF"/>
        <w:szCs w:val="20"/>
      </w:rPr>
      <w:tab/>
    </w:r>
    <w:r w:rsidRPr="00735B21">
      <w:rPr>
        <w:rFonts w:asciiTheme="minorHAnsi" w:hAnsiTheme="minorHAnsi"/>
        <w:bCs/>
        <w:color w:val="404040" w:themeColor="text1" w:themeTint="BF"/>
        <w:szCs w:val="20"/>
      </w:rPr>
      <w:tab/>
      <w:t>562 West 200 North</w:t>
    </w:r>
  </w:p>
  <w:p w14:paraId="1BBCE02F" w14:textId="77777777" w:rsidR="005F3FCF" w:rsidRPr="00735B21" w:rsidRDefault="005F3FCF" w:rsidP="00C91F30">
    <w:pPr>
      <w:numPr>
        <w:ilvl w:val="0"/>
        <w:numId w:val="21"/>
      </w:numPr>
      <w:spacing w:line="360" w:lineRule="auto"/>
      <w:ind w:right="360"/>
      <w:contextualSpacing/>
      <w:rPr>
        <w:rFonts w:asciiTheme="minorHAnsi" w:hAnsiTheme="minorHAnsi"/>
        <w:bCs/>
        <w:color w:val="404040" w:themeColor="text1" w:themeTint="BF"/>
        <w:szCs w:val="20"/>
      </w:rPr>
    </w:pPr>
    <w:r w:rsidRPr="00735B21">
      <w:rPr>
        <w:rFonts w:asciiTheme="minorHAnsi" w:hAnsiTheme="minorHAnsi"/>
        <w:bCs/>
        <w:color w:val="404040" w:themeColor="text1" w:themeTint="BF"/>
        <w:szCs w:val="20"/>
      </w:rPr>
      <w:t>Young Men’s Transitional House</w:t>
    </w:r>
    <w:r w:rsidRPr="00735B21">
      <w:rPr>
        <w:rFonts w:asciiTheme="minorHAnsi" w:hAnsiTheme="minorHAnsi"/>
        <w:bCs/>
        <w:color w:val="404040" w:themeColor="text1" w:themeTint="BF"/>
        <w:szCs w:val="20"/>
      </w:rPr>
      <w:tab/>
    </w:r>
    <w:r w:rsidRPr="00735B21">
      <w:rPr>
        <w:rFonts w:asciiTheme="minorHAnsi" w:hAnsiTheme="minorHAnsi"/>
        <w:bCs/>
        <w:color w:val="404040" w:themeColor="text1" w:themeTint="BF"/>
        <w:szCs w:val="20"/>
      </w:rPr>
      <w:tab/>
      <w:t>556 South 500 East</w:t>
    </w:r>
  </w:p>
  <w:p w14:paraId="37F13182" w14:textId="77777777" w:rsidR="005F3FCF" w:rsidRPr="00735B21" w:rsidRDefault="005F3FCF" w:rsidP="00C91F30">
    <w:pPr>
      <w:spacing w:line="360" w:lineRule="auto"/>
      <w:ind w:right="360"/>
      <w:rPr>
        <w:rFonts w:asciiTheme="minorHAnsi" w:hAnsiTheme="minorHAnsi"/>
        <w:b/>
        <w:bCs/>
        <w:color w:val="404040" w:themeColor="text1" w:themeTint="BF"/>
        <w:szCs w:val="20"/>
      </w:rPr>
    </w:pPr>
  </w:p>
  <w:p w14:paraId="3B05182D" w14:textId="77777777" w:rsidR="005F3FCF" w:rsidRPr="00735B21" w:rsidRDefault="005F3FCF" w:rsidP="00C91F30">
    <w:pPr>
      <w:spacing w:line="360" w:lineRule="auto"/>
      <w:ind w:right="360"/>
      <w:rPr>
        <w:rFonts w:asciiTheme="minorHAnsi" w:hAnsiTheme="minorHAnsi"/>
        <w:color w:val="404040" w:themeColor="text1" w:themeTint="BF"/>
        <w:szCs w:val="20"/>
      </w:rPr>
    </w:pPr>
    <w:r w:rsidRPr="00735B21">
      <w:rPr>
        <w:rFonts w:asciiTheme="minorHAnsi" w:hAnsiTheme="minorHAnsi"/>
        <w:color w:val="404040" w:themeColor="text1" w:themeTint="BF"/>
        <w:szCs w:val="20"/>
      </w:rPr>
      <w:t>The primary purpose of reviewing the tenant files was to ensure that both the tenant and property owner sign all required documents and to verify that income certifications are being done annually. Lease agreements were reviewed for compliance with HOME requirements, to ensure that tenants are income-eligible, and that income is properly documented. Finally, the City looks to ensure that rents being charged do not exceed program guidelines.</w:t>
    </w:r>
  </w:p>
  <w:p w14:paraId="4D7D48EB" w14:textId="77777777" w:rsidR="005F3FCF" w:rsidRPr="00735B21" w:rsidRDefault="005F3FCF" w:rsidP="00C91F30">
    <w:pPr>
      <w:spacing w:line="360" w:lineRule="auto"/>
      <w:ind w:right="360"/>
      <w:rPr>
        <w:rFonts w:asciiTheme="minorHAnsi" w:hAnsiTheme="minorHAnsi"/>
        <w:b/>
        <w:bCs/>
        <w:color w:val="404040" w:themeColor="text1" w:themeTint="BF"/>
        <w:szCs w:val="20"/>
      </w:rPr>
    </w:pPr>
  </w:p>
  <w:p w14:paraId="5A633FA7" w14:textId="77777777" w:rsidR="005F3FCF" w:rsidRPr="00735B21" w:rsidRDefault="005F3FCF" w:rsidP="00C91F30">
    <w:pPr>
      <w:spacing w:line="360" w:lineRule="auto"/>
      <w:ind w:right="360"/>
      <w:rPr>
        <w:rFonts w:asciiTheme="minorHAnsi" w:hAnsiTheme="minorHAnsi"/>
        <w:color w:val="404040" w:themeColor="text1" w:themeTint="BF"/>
        <w:szCs w:val="20"/>
      </w:rPr>
    </w:pPr>
    <w:r w:rsidRPr="00735B21">
      <w:rPr>
        <w:rFonts w:asciiTheme="minorHAnsi" w:hAnsiTheme="minorHAnsi"/>
        <w:color w:val="404040" w:themeColor="text1" w:themeTint="BF"/>
        <w:szCs w:val="20"/>
      </w:rPr>
      <w:t>City staff also reviewed Fair Housing Marketing Plans that include all efforts for outreach with other nonprofit organizations, housing authorities and social service agencies to fill vacancies. Because the housing projects may serve special populations, the majority of prospective tenants are referred by agencies that provide case management for their clientele. Contact with referring agencies is done on a regular basis, or whenever a unit/apartment becomes vacant. On-site signage is also used for advertising and City staff ensures that signs include the Fair Housing and Equal Opportunity logos.</w:t>
    </w:r>
  </w:p>
  <w:p w14:paraId="2C8DD32B" w14:textId="77777777" w:rsidR="005F3FCF" w:rsidRPr="00735B21" w:rsidRDefault="005F3FCF" w:rsidP="00C91F30">
    <w:pPr>
      <w:spacing w:line="360" w:lineRule="auto"/>
      <w:ind w:right="360"/>
      <w:rPr>
        <w:rFonts w:asciiTheme="minorHAnsi" w:hAnsiTheme="minorHAnsi"/>
        <w:b/>
        <w:bCs/>
        <w:color w:val="404040" w:themeColor="text1" w:themeTint="BF"/>
        <w:szCs w:val="20"/>
      </w:rPr>
    </w:pPr>
  </w:p>
  <w:p w14:paraId="57EAE8DE" w14:textId="77777777" w:rsidR="005F3FCF" w:rsidRPr="00735B21" w:rsidRDefault="005F3FCF" w:rsidP="00C91F30">
    <w:pPr>
      <w:spacing w:line="360" w:lineRule="auto"/>
      <w:ind w:right="360"/>
      <w:rPr>
        <w:rFonts w:asciiTheme="minorHAnsi" w:hAnsiTheme="minorHAnsi"/>
        <w:b/>
        <w:bCs/>
        <w:color w:val="404040" w:themeColor="text1" w:themeTint="BF"/>
        <w:szCs w:val="20"/>
      </w:rPr>
    </w:pPr>
    <w:r w:rsidRPr="00735B21">
      <w:rPr>
        <w:rFonts w:asciiTheme="minorHAnsi" w:hAnsiTheme="minorHAnsi"/>
        <w:color w:val="404040" w:themeColor="text1" w:themeTint="BF"/>
        <w:szCs w:val="20"/>
      </w:rPr>
      <w:t>The primary purpose of doing an on-site inspection is to ensure that the physical property, including the buildings and rental units, is maintained according to Salt Lake City Residential Building Code and that the property is free of hazards. All of this is in an effort to ensure that those residents living on these premises are housed in a clean, safe and decent living environment.</w:t>
    </w:r>
  </w:p>
  <w:p w14:paraId="69F47B17" w14:textId="77777777" w:rsidR="005F3FCF" w:rsidRPr="00735B21" w:rsidRDefault="005F3FCF" w:rsidP="00C91F30">
    <w:pPr>
      <w:spacing w:line="360" w:lineRule="auto"/>
      <w:ind w:right="360"/>
      <w:rPr>
        <w:rFonts w:asciiTheme="minorHAnsi" w:hAnsiTheme="minorHAnsi"/>
        <w:color w:val="404040" w:themeColor="text1" w:themeTint="BF"/>
        <w:szCs w:val="20"/>
      </w:rPr>
    </w:pPr>
  </w:p>
  <w:p w14:paraId="63231784" w14:textId="77777777" w:rsidR="005F3FCF" w:rsidRPr="00735B21" w:rsidRDefault="005F3FCF" w:rsidP="00C91F30">
    <w:pPr>
      <w:spacing w:line="360" w:lineRule="auto"/>
      <w:ind w:right="360"/>
      <w:rPr>
        <w:rFonts w:asciiTheme="minorHAnsi" w:hAnsiTheme="minorHAnsi"/>
        <w:color w:val="404040" w:themeColor="text1" w:themeTint="BF"/>
        <w:szCs w:val="20"/>
      </w:rPr>
    </w:pPr>
    <w:r w:rsidRPr="00735B21">
      <w:rPr>
        <w:rFonts w:asciiTheme="minorHAnsi" w:hAnsiTheme="minorHAnsi"/>
        <w:color w:val="404040" w:themeColor="text1" w:themeTint="BF"/>
        <w:szCs w:val="20"/>
      </w:rPr>
      <w:t xml:space="preserve">The City sends monitoring results within sixty days of the audit to the project owner. If issues arise that need to be addressed, the apartment owner is provided up to 30 days to bring the units into compliance. The length of time is dependent upon the severity of the issues identified. The City requires that the property owner submit a letter indicating that all findings have been addressed with proof of work completed. This may be in the form of maintenance work orders, invoices, payments, </w:t>
    </w:r>
    <w:r>
      <w:rPr>
        <w:rFonts w:asciiTheme="minorHAnsi" w:hAnsiTheme="minorHAnsi"/>
        <w:color w:val="404040" w:themeColor="text1" w:themeTint="BF"/>
        <w:szCs w:val="20"/>
      </w:rPr>
      <w:t>or photographs of corrected deficiencies approved by a member of the City’s inspection team.</w:t>
    </w:r>
  </w:p>
  <w:p w14:paraId="544A0DF3" w14:textId="77777777" w:rsidR="005F3FCF" w:rsidRPr="00735B21" w:rsidRDefault="005F3FCF" w:rsidP="00C91F30">
    <w:pPr>
      <w:spacing w:line="360" w:lineRule="auto"/>
      <w:ind w:right="360"/>
      <w:rPr>
        <w:rFonts w:asciiTheme="minorHAnsi" w:hAnsiTheme="minorHAnsi"/>
        <w:color w:val="404040" w:themeColor="text1" w:themeTint="BF"/>
        <w:szCs w:val="20"/>
      </w:rPr>
    </w:pPr>
  </w:p>
  <w:p w14:paraId="38060BCE" w14:textId="77777777" w:rsidR="005F3FCF" w:rsidRPr="00735B21" w:rsidRDefault="005F3FCF" w:rsidP="00C91F30">
    <w:pPr>
      <w:autoSpaceDE w:val="0"/>
      <w:autoSpaceDN w:val="0"/>
      <w:adjustRightInd w:val="0"/>
      <w:spacing w:line="360" w:lineRule="auto"/>
      <w:rPr>
        <w:rFonts w:asciiTheme="minorHAnsi" w:hAnsiTheme="minorHAnsi"/>
        <w:bCs/>
        <w:i/>
        <w:color w:val="404040" w:themeColor="text1" w:themeTint="BF"/>
        <w:szCs w:val="20"/>
        <w:u w:val="single"/>
      </w:rPr>
    </w:pPr>
    <w:r w:rsidRPr="00735B21">
      <w:rPr>
        <w:rFonts w:asciiTheme="minorHAnsi" w:hAnsiTheme="minorHAnsi"/>
        <w:bCs/>
        <w:i/>
        <w:color w:val="404040" w:themeColor="text1" w:themeTint="BF"/>
        <w:szCs w:val="20"/>
        <w:u w:val="single"/>
      </w:rPr>
      <w:t xml:space="preserve">Utah Nonprofit Housing Corporation (UNPHC) </w:t>
    </w:r>
  </w:p>
  <w:p w14:paraId="5AFFA039" w14:textId="77777777" w:rsidR="005F3FCF" w:rsidRPr="00735B21" w:rsidRDefault="005F3FCF" w:rsidP="00C91F30">
    <w:pPr>
      <w:spacing w:line="360" w:lineRule="auto"/>
      <w:ind w:right="360"/>
      <w:rPr>
        <w:rFonts w:asciiTheme="minorHAnsi" w:hAnsiTheme="minorHAnsi"/>
        <w:color w:val="404040" w:themeColor="text1" w:themeTint="BF"/>
        <w:szCs w:val="20"/>
      </w:rPr>
    </w:pPr>
    <w:r w:rsidRPr="00735B21">
      <w:rPr>
        <w:rFonts w:asciiTheme="minorHAnsi" w:hAnsiTheme="minorHAnsi"/>
        <w:color w:val="404040" w:themeColor="text1" w:themeTint="BF"/>
        <w:szCs w:val="20"/>
      </w:rPr>
      <w:t>UNPHC owns and manages the following properties: Lowell Apartments and Sedona Apartments. All properties have access to the same computer programs and forms are uniform at each property. As in years past, UNPHC holds training meetings on a regular basis for their property managers. They also ensure that appropriate personnel attend federal award training to ensure compliance throughout their properties.</w:t>
    </w:r>
  </w:p>
  <w:p w14:paraId="1BB28200" w14:textId="77777777" w:rsidR="005F3FCF" w:rsidRPr="00735B21" w:rsidRDefault="005F3FCF" w:rsidP="00C91F30">
    <w:pPr>
      <w:spacing w:line="360" w:lineRule="auto"/>
      <w:ind w:right="360"/>
      <w:rPr>
        <w:rFonts w:asciiTheme="minorHAnsi" w:hAnsiTheme="minorHAnsi"/>
        <w:color w:val="404040" w:themeColor="text1" w:themeTint="BF"/>
        <w:szCs w:val="20"/>
      </w:rPr>
    </w:pPr>
  </w:p>
  <w:p w14:paraId="2A3204EE" w14:textId="77777777" w:rsidR="005F3FCF" w:rsidRPr="00735B21" w:rsidRDefault="005F3FCF" w:rsidP="00C91F30">
    <w:pPr>
      <w:spacing w:line="360" w:lineRule="auto"/>
      <w:ind w:left="720" w:right="360"/>
      <w:rPr>
        <w:rFonts w:asciiTheme="minorHAnsi" w:hAnsiTheme="minorHAnsi"/>
        <w:i/>
        <w:color w:val="404040" w:themeColor="text1" w:themeTint="BF"/>
        <w:szCs w:val="20"/>
        <w:u w:val="single"/>
      </w:rPr>
    </w:pPr>
    <w:r w:rsidRPr="00735B21">
      <w:rPr>
        <w:rFonts w:asciiTheme="minorHAnsi" w:hAnsiTheme="minorHAnsi"/>
        <w:i/>
        <w:color w:val="404040" w:themeColor="text1" w:themeTint="BF"/>
        <w:szCs w:val="20"/>
        <w:u w:val="single"/>
      </w:rPr>
      <w:t>Lowell Tenant Files:</w:t>
    </w:r>
  </w:p>
  <w:p w14:paraId="5BF3EA83" w14:textId="77777777" w:rsidR="005F3FCF" w:rsidRPr="00735B21" w:rsidRDefault="005F3FCF" w:rsidP="00C91F30">
    <w:pPr>
      <w:spacing w:line="360" w:lineRule="auto"/>
      <w:ind w:left="720" w:right="360"/>
      <w:rPr>
        <w:rFonts w:asciiTheme="minorHAnsi" w:hAnsiTheme="minorHAnsi"/>
        <w:i/>
        <w:color w:val="404040" w:themeColor="text1" w:themeTint="BF"/>
        <w:szCs w:val="20"/>
        <w:u w:val="single"/>
      </w:rPr>
    </w:pPr>
    <w:r w:rsidRPr="00735B21">
      <w:rPr>
        <w:rFonts w:asciiTheme="minorHAnsi" w:hAnsiTheme="minorHAnsi"/>
        <w:color w:val="404040" w:themeColor="text1" w:themeTint="BF"/>
        <w:szCs w:val="20"/>
      </w:rPr>
      <w:t xml:space="preserve">This property has eighty-one units. Of these units, eighty-one fixed units include HOME funding.  During the previous year’s monitoring, Salt Lake City and UNPHC determined that future monitoring visits would focus on files created within the last two years; this was due to the extensive file issues from previous property management that could not be feasibly corrected. A total of eight files were selected to be monitored and reviewed for consistency and accuracy with three of the files exhibiting compliance issues. Three files were missing signed HOME addendums. The three files missing signed HOME addendums were files from May 2016 or earlier. All files reviewed created after June 2016 contained signed HOME addendums. After discussing current policies and procedures with the current property management team, Salt Lake City is satisfied that all prior year file issues have been addressed and will not reoccur moving forward. </w:t>
    </w:r>
  </w:p>
  <w:p w14:paraId="37788B71" w14:textId="77777777" w:rsidR="005F3FCF" w:rsidRPr="00735B21" w:rsidRDefault="005F3FCF" w:rsidP="00C91F30">
    <w:pPr>
      <w:spacing w:line="360" w:lineRule="auto"/>
      <w:ind w:left="720" w:right="360"/>
      <w:rPr>
        <w:rFonts w:asciiTheme="minorHAnsi" w:hAnsiTheme="minorHAnsi"/>
        <w:i/>
        <w:color w:val="404040" w:themeColor="text1" w:themeTint="BF"/>
        <w:szCs w:val="20"/>
        <w:u w:val="single"/>
      </w:rPr>
    </w:pPr>
  </w:p>
  <w:p w14:paraId="268A3E73" w14:textId="77777777" w:rsidR="005F3FCF" w:rsidRPr="00735B21" w:rsidRDefault="005F3FCF" w:rsidP="00C91F30">
    <w:pPr>
      <w:spacing w:line="360" w:lineRule="auto"/>
      <w:ind w:left="720" w:right="360"/>
      <w:rPr>
        <w:rFonts w:asciiTheme="minorHAnsi" w:hAnsiTheme="minorHAnsi"/>
        <w:i/>
        <w:color w:val="404040" w:themeColor="text1" w:themeTint="BF"/>
        <w:szCs w:val="20"/>
        <w:u w:val="single"/>
      </w:rPr>
    </w:pPr>
    <w:r w:rsidRPr="00735B21">
      <w:rPr>
        <w:rFonts w:asciiTheme="minorHAnsi" w:hAnsiTheme="minorHAnsi"/>
        <w:i/>
        <w:color w:val="404040" w:themeColor="text1" w:themeTint="BF"/>
        <w:szCs w:val="20"/>
        <w:u w:val="single"/>
      </w:rPr>
      <w:t>Lowell On-Site Inspection:</w:t>
    </w:r>
  </w:p>
  <w:p w14:paraId="208A97CC" w14:textId="77777777" w:rsidR="005F3FCF" w:rsidRPr="00735B21" w:rsidRDefault="005F3FCF" w:rsidP="00C91F30">
    <w:pPr>
      <w:spacing w:line="360" w:lineRule="auto"/>
      <w:ind w:left="720" w:right="360"/>
      <w:rPr>
        <w:rFonts w:asciiTheme="minorHAnsi" w:hAnsiTheme="minorHAnsi"/>
        <w:color w:val="404040" w:themeColor="text1" w:themeTint="BF"/>
        <w:szCs w:val="20"/>
      </w:rPr>
    </w:pPr>
    <w:r w:rsidRPr="00735B21">
      <w:rPr>
        <w:rFonts w:asciiTheme="minorHAnsi" w:hAnsiTheme="minorHAnsi"/>
        <w:color w:val="404040" w:themeColor="text1" w:themeTint="BF"/>
        <w:szCs w:val="20"/>
      </w:rPr>
      <w:t>This building was inspected by Salt Lake City Housing &amp; Neighborhood Development staff and a Building Enforcement officer. Physical inspections were completed on eight units and all common areas, with no significant deficiencies found.</w:t>
    </w:r>
  </w:p>
  <w:p w14:paraId="7FEE34AA" w14:textId="77777777" w:rsidR="005F3FCF" w:rsidRPr="00735B21" w:rsidRDefault="005F3FCF" w:rsidP="00C91F30">
    <w:pPr>
      <w:spacing w:line="360" w:lineRule="auto"/>
      <w:ind w:left="720" w:right="360"/>
      <w:rPr>
        <w:rFonts w:asciiTheme="minorHAnsi" w:hAnsiTheme="minorHAnsi"/>
        <w:b/>
        <w:color w:val="404040" w:themeColor="text1" w:themeTint="BF"/>
        <w:szCs w:val="20"/>
        <w:u w:val="single"/>
      </w:rPr>
    </w:pPr>
  </w:p>
  <w:p w14:paraId="70674981" w14:textId="77777777" w:rsidR="005F3FCF" w:rsidRDefault="005F3FCF" w:rsidP="00C91F30">
    <w:pPr>
      <w:spacing w:line="360" w:lineRule="auto"/>
      <w:ind w:left="720" w:right="360"/>
      <w:rPr>
        <w:rFonts w:asciiTheme="minorHAnsi" w:hAnsiTheme="minorHAnsi"/>
        <w:i/>
        <w:color w:val="404040" w:themeColor="text1" w:themeTint="BF"/>
        <w:szCs w:val="20"/>
        <w:u w:val="single"/>
      </w:rPr>
    </w:pPr>
  </w:p>
  <w:p w14:paraId="457BBB7F" w14:textId="77777777" w:rsidR="005F3FCF" w:rsidRPr="00735B21" w:rsidRDefault="005F3FCF" w:rsidP="00C91F30">
    <w:pPr>
      <w:spacing w:line="360" w:lineRule="auto"/>
      <w:ind w:left="720" w:right="360"/>
      <w:rPr>
        <w:rFonts w:asciiTheme="minorHAnsi" w:hAnsiTheme="minorHAnsi"/>
        <w:i/>
        <w:color w:val="404040" w:themeColor="text1" w:themeTint="BF"/>
        <w:szCs w:val="20"/>
        <w:u w:val="single"/>
      </w:rPr>
    </w:pPr>
    <w:r w:rsidRPr="00735B21">
      <w:rPr>
        <w:rFonts w:asciiTheme="minorHAnsi" w:hAnsiTheme="minorHAnsi"/>
        <w:i/>
        <w:color w:val="404040" w:themeColor="text1" w:themeTint="BF"/>
        <w:szCs w:val="20"/>
        <w:u w:val="single"/>
      </w:rPr>
      <w:t xml:space="preserve">Sedona Tenant Files: </w:t>
    </w:r>
  </w:p>
  <w:p w14:paraId="36D4C4B0" w14:textId="77777777" w:rsidR="005F3FCF" w:rsidRPr="00735B21" w:rsidRDefault="005F3FCF" w:rsidP="00C91F30">
    <w:pPr>
      <w:spacing w:line="360" w:lineRule="auto"/>
      <w:ind w:left="720" w:right="360"/>
      <w:rPr>
        <w:rFonts w:asciiTheme="minorHAnsi" w:hAnsiTheme="minorHAnsi"/>
        <w:color w:val="404040" w:themeColor="text1" w:themeTint="BF"/>
        <w:szCs w:val="20"/>
      </w:rPr>
    </w:pPr>
    <w:r w:rsidRPr="00735B21">
      <w:rPr>
        <w:rFonts w:asciiTheme="minorHAnsi" w:hAnsiTheme="minorHAnsi"/>
        <w:color w:val="404040" w:themeColor="text1" w:themeTint="BF"/>
        <w:szCs w:val="20"/>
      </w:rPr>
      <w:t>Tenant files appeared to be complete and accurate. This property has sixteen units, two of which are floating and HOME funded. Two files were randomly selected to be monitored and reviewed for consistency and accuracy. There were no identified issues with the files reviewed.</w:t>
    </w:r>
  </w:p>
  <w:p w14:paraId="1B8A6DB4" w14:textId="77777777" w:rsidR="005F3FCF" w:rsidRPr="00735B21" w:rsidRDefault="005F3FCF" w:rsidP="00C91F30">
    <w:pPr>
      <w:spacing w:line="360" w:lineRule="auto"/>
      <w:ind w:left="720" w:right="360"/>
      <w:rPr>
        <w:rFonts w:asciiTheme="minorHAnsi" w:hAnsiTheme="minorHAnsi"/>
        <w:i/>
        <w:color w:val="404040" w:themeColor="text1" w:themeTint="BF"/>
        <w:szCs w:val="20"/>
        <w:u w:val="single"/>
      </w:rPr>
    </w:pPr>
  </w:p>
  <w:p w14:paraId="289F5D19" w14:textId="77777777" w:rsidR="005F3FCF" w:rsidRPr="00735B21" w:rsidRDefault="005F3FCF" w:rsidP="00C91F30">
    <w:pPr>
      <w:spacing w:line="360" w:lineRule="auto"/>
      <w:ind w:left="720" w:right="360"/>
      <w:rPr>
        <w:rFonts w:asciiTheme="minorHAnsi" w:hAnsiTheme="minorHAnsi"/>
        <w:i/>
        <w:color w:val="404040" w:themeColor="text1" w:themeTint="BF"/>
        <w:szCs w:val="20"/>
        <w:u w:val="single"/>
      </w:rPr>
    </w:pPr>
    <w:r w:rsidRPr="00735B21">
      <w:rPr>
        <w:rFonts w:asciiTheme="minorHAnsi" w:hAnsiTheme="minorHAnsi"/>
        <w:i/>
        <w:color w:val="404040" w:themeColor="text1" w:themeTint="BF"/>
        <w:szCs w:val="20"/>
        <w:u w:val="single"/>
      </w:rPr>
      <w:t>Sedona On-Site Inspection:</w:t>
    </w:r>
  </w:p>
  <w:p w14:paraId="04C33F3C" w14:textId="77777777" w:rsidR="005F3FCF" w:rsidRPr="00735B21" w:rsidRDefault="005F3FCF" w:rsidP="00C91F30">
    <w:pPr>
      <w:spacing w:line="360" w:lineRule="auto"/>
      <w:ind w:left="720" w:right="360"/>
      <w:rPr>
        <w:rFonts w:asciiTheme="minorHAnsi" w:hAnsiTheme="minorHAnsi"/>
        <w:color w:val="404040" w:themeColor="text1" w:themeTint="BF"/>
        <w:szCs w:val="20"/>
      </w:rPr>
    </w:pPr>
    <w:r w:rsidRPr="00735B21">
      <w:rPr>
        <w:rFonts w:asciiTheme="minorHAnsi" w:hAnsiTheme="minorHAnsi"/>
        <w:color w:val="404040" w:themeColor="text1" w:themeTint="BF"/>
        <w:szCs w:val="20"/>
      </w:rPr>
      <w:t>This building was inspected by Salt Lake City Housing &amp; Neighborhood Development staff and a Building Enforcement officer. Physical inspections were completed on two units and all common areas, with no significant deficiencies found.</w:t>
    </w:r>
  </w:p>
  <w:p w14:paraId="515D8849" w14:textId="77777777" w:rsidR="005F3FCF" w:rsidRPr="00735B21" w:rsidRDefault="005F3FCF" w:rsidP="00C91F30">
    <w:pPr>
      <w:spacing w:line="360" w:lineRule="auto"/>
      <w:ind w:right="360"/>
      <w:rPr>
        <w:rFonts w:asciiTheme="minorHAnsi" w:hAnsiTheme="minorHAnsi"/>
        <w:color w:val="404040" w:themeColor="text1" w:themeTint="BF"/>
        <w:szCs w:val="20"/>
      </w:rPr>
    </w:pPr>
  </w:p>
  <w:p w14:paraId="0C4227CC" w14:textId="77777777" w:rsidR="005F3FCF" w:rsidRPr="00735B21" w:rsidRDefault="005F3FCF" w:rsidP="00C91F30">
    <w:pPr>
      <w:spacing w:line="360" w:lineRule="auto"/>
      <w:ind w:right="360"/>
      <w:rPr>
        <w:rFonts w:asciiTheme="minorHAnsi" w:hAnsiTheme="minorHAnsi"/>
        <w:i/>
        <w:color w:val="404040" w:themeColor="text1" w:themeTint="BF"/>
        <w:szCs w:val="20"/>
        <w:u w:val="single"/>
      </w:rPr>
    </w:pPr>
    <w:r>
      <w:rPr>
        <w:rFonts w:asciiTheme="minorHAnsi" w:hAnsiTheme="minorHAnsi"/>
        <w:i/>
        <w:color w:val="404040" w:themeColor="text1" w:themeTint="BF"/>
        <w:szCs w:val="20"/>
        <w:u w:val="single"/>
      </w:rPr>
      <w:t xml:space="preserve">Volunteers of America, Utah: </w:t>
    </w:r>
    <w:r w:rsidRPr="00735B21">
      <w:rPr>
        <w:rFonts w:asciiTheme="minorHAnsi" w:hAnsiTheme="minorHAnsi"/>
        <w:i/>
        <w:color w:val="404040" w:themeColor="text1" w:themeTint="BF"/>
        <w:szCs w:val="20"/>
        <w:u w:val="single"/>
      </w:rPr>
      <w:t>Young Men’s Transition House Tenant Files:</w:t>
    </w:r>
  </w:p>
  <w:p w14:paraId="60FD7754" w14:textId="77777777" w:rsidR="005F3FCF" w:rsidRPr="00735B21" w:rsidRDefault="005F3FCF" w:rsidP="00C91F30">
    <w:pPr>
      <w:spacing w:line="360" w:lineRule="auto"/>
      <w:ind w:right="360"/>
      <w:rPr>
        <w:rFonts w:asciiTheme="minorHAnsi" w:hAnsiTheme="minorHAnsi"/>
        <w:color w:val="404040" w:themeColor="text1" w:themeTint="BF"/>
        <w:szCs w:val="20"/>
      </w:rPr>
    </w:pPr>
    <w:r w:rsidRPr="00735B21">
      <w:rPr>
        <w:rFonts w:asciiTheme="minorHAnsi" w:hAnsiTheme="minorHAnsi"/>
        <w:color w:val="404040" w:themeColor="text1" w:themeTint="BF"/>
        <w:szCs w:val="20"/>
      </w:rPr>
      <w:t xml:space="preserve">Tenant files </w:t>
    </w:r>
    <w:r>
      <w:rPr>
        <w:rFonts w:asciiTheme="minorHAnsi" w:hAnsiTheme="minorHAnsi"/>
        <w:color w:val="404040" w:themeColor="text1" w:themeTint="BF"/>
        <w:szCs w:val="20"/>
      </w:rPr>
      <w:t>were found to be missing source documentation of income</w:t>
    </w:r>
    <w:r w:rsidRPr="00735B21">
      <w:rPr>
        <w:rFonts w:asciiTheme="minorHAnsi" w:hAnsiTheme="minorHAnsi"/>
        <w:color w:val="404040" w:themeColor="text1" w:themeTint="BF"/>
        <w:szCs w:val="20"/>
      </w:rPr>
      <w:t xml:space="preserve">. This property has </w:t>
    </w:r>
    <w:r>
      <w:rPr>
        <w:rFonts w:asciiTheme="minorHAnsi" w:hAnsiTheme="minorHAnsi"/>
        <w:color w:val="404040" w:themeColor="text1" w:themeTint="BF"/>
        <w:szCs w:val="20"/>
      </w:rPr>
      <w:t>fourteen</w:t>
    </w:r>
    <w:r w:rsidRPr="00735B21">
      <w:rPr>
        <w:rFonts w:asciiTheme="minorHAnsi" w:hAnsiTheme="minorHAnsi"/>
        <w:color w:val="404040" w:themeColor="text1" w:themeTint="BF"/>
        <w:szCs w:val="20"/>
      </w:rPr>
      <w:t xml:space="preserve"> units. Of these units, </w:t>
    </w:r>
    <w:r>
      <w:rPr>
        <w:rFonts w:asciiTheme="minorHAnsi" w:hAnsiTheme="minorHAnsi"/>
        <w:color w:val="404040" w:themeColor="text1" w:themeTint="BF"/>
        <w:szCs w:val="20"/>
      </w:rPr>
      <w:t>eight</w:t>
    </w:r>
    <w:r w:rsidRPr="00735B21">
      <w:rPr>
        <w:rFonts w:asciiTheme="minorHAnsi" w:hAnsiTheme="minorHAnsi"/>
        <w:color w:val="404040" w:themeColor="text1" w:themeTint="BF"/>
        <w:szCs w:val="20"/>
      </w:rPr>
      <w:t xml:space="preserve"> units include HOME funding.  Five files were reviewed and determined to be</w:t>
    </w:r>
    <w:r>
      <w:rPr>
        <w:rFonts w:asciiTheme="minorHAnsi" w:hAnsiTheme="minorHAnsi"/>
        <w:color w:val="404040" w:themeColor="text1" w:themeTint="BF"/>
        <w:szCs w:val="20"/>
      </w:rPr>
      <w:t xml:space="preserve"> non-</w:t>
    </w:r>
    <w:r w:rsidRPr="00735B21">
      <w:rPr>
        <w:rFonts w:asciiTheme="minorHAnsi" w:hAnsiTheme="minorHAnsi"/>
        <w:color w:val="404040" w:themeColor="text1" w:themeTint="BF"/>
        <w:szCs w:val="20"/>
      </w:rPr>
      <w:t xml:space="preserve">compliant. </w:t>
    </w:r>
    <w:r>
      <w:rPr>
        <w:rFonts w:asciiTheme="minorHAnsi" w:hAnsiTheme="minorHAnsi"/>
        <w:color w:val="404040" w:themeColor="text1" w:themeTint="BF"/>
        <w:szCs w:val="20"/>
      </w:rPr>
      <w:t>Files for clients who had zero income at entry did not have source documentation, self-certification, or budget worksheets completed by clients or staff to meet the requirements laid out in 24 CFR 92. In response, VOA updated their internal policies and procedures to include guidance on gathering source documentation and, when necessary, completing budgets and self-certifications to ensure income verification is sufficiently documented.</w:t>
    </w:r>
  </w:p>
  <w:p w14:paraId="76D7B086" w14:textId="77777777" w:rsidR="005F3FCF" w:rsidRPr="00735B21" w:rsidRDefault="005F3FCF" w:rsidP="00C91F30">
    <w:pPr>
      <w:spacing w:line="360" w:lineRule="auto"/>
      <w:ind w:right="360"/>
      <w:rPr>
        <w:rFonts w:asciiTheme="minorHAnsi" w:hAnsiTheme="minorHAnsi"/>
        <w:b/>
        <w:color w:val="404040" w:themeColor="text1" w:themeTint="BF"/>
        <w:szCs w:val="20"/>
        <w:u w:val="single"/>
      </w:rPr>
    </w:pPr>
  </w:p>
  <w:p w14:paraId="4B9BEACE" w14:textId="77777777" w:rsidR="005F3FCF" w:rsidRPr="00735B21" w:rsidRDefault="005F3FCF" w:rsidP="00C91F30">
    <w:pPr>
      <w:spacing w:line="360" w:lineRule="auto"/>
      <w:ind w:right="360"/>
      <w:rPr>
        <w:rFonts w:asciiTheme="minorHAnsi" w:hAnsiTheme="minorHAnsi"/>
        <w:i/>
        <w:color w:val="404040" w:themeColor="text1" w:themeTint="BF"/>
        <w:szCs w:val="20"/>
        <w:u w:val="single"/>
      </w:rPr>
    </w:pPr>
    <w:r w:rsidRPr="00735B21">
      <w:rPr>
        <w:rFonts w:asciiTheme="minorHAnsi" w:hAnsiTheme="minorHAnsi"/>
        <w:i/>
        <w:color w:val="404040" w:themeColor="text1" w:themeTint="BF"/>
        <w:szCs w:val="20"/>
        <w:u w:val="single"/>
      </w:rPr>
      <w:t>Young Men’s Transition House On-Site Inspection:</w:t>
    </w:r>
  </w:p>
  <w:p w14:paraId="378BD0DB" w14:textId="77777777" w:rsidR="005F3FCF" w:rsidRPr="00735B21" w:rsidRDefault="005F3FCF" w:rsidP="00C91F30">
    <w:pPr>
      <w:spacing w:line="360" w:lineRule="auto"/>
      <w:ind w:right="360"/>
      <w:rPr>
        <w:rFonts w:asciiTheme="minorHAnsi" w:hAnsiTheme="minorHAnsi"/>
        <w:color w:val="404040" w:themeColor="text1" w:themeTint="BF"/>
        <w:szCs w:val="20"/>
      </w:rPr>
    </w:pPr>
    <w:r w:rsidRPr="00735B21">
      <w:rPr>
        <w:rFonts w:asciiTheme="minorHAnsi" w:hAnsiTheme="minorHAnsi"/>
        <w:color w:val="404040" w:themeColor="text1" w:themeTint="BF"/>
        <w:szCs w:val="20"/>
      </w:rPr>
      <w:t>This building was inspected by Salt Lake City Housing &amp; Neighborhood Development staff and a Building Enforcement officer. Physical inspections were completed on five units and all common areas, with one significant deficiency identified. The deficienc</w:t>
    </w:r>
    <w:r>
      <w:rPr>
        <w:rFonts w:asciiTheme="minorHAnsi" w:hAnsiTheme="minorHAnsi"/>
        <w:color w:val="404040" w:themeColor="text1" w:themeTint="BF"/>
        <w:szCs w:val="20"/>
      </w:rPr>
      <w:t>y was addressed within two days and proof of correction via photograph and re-inspection was submitted.</w:t>
    </w:r>
  </w:p>
  <w:p w14:paraId="09D82A3E" w14:textId="77777777" w:rsidR="005F3FCF" w:rsidRPr="00735B21" w:rsidRDefault="005F3FCF" w:rsidP="00C91F30">
    <w:pPr>
      <w:spacing w:line="276" w:lineRule="auto"/>
      <w:ind w:right="360"/>
      <w:rPr>
        <w:rFonts w:asciiTheme="minorHAnsi" w:hAnsiTheme="minorHAnsi" w:cstheme="minorHAnsi"/>
        <w:b/>
        <w:color w:val="FF0000"/>
        <w:szCs w:val="20"/>
      </w:rPr>
    </w:pPr>
  </w:p>
  <w:p w14:paraId="44D94758" w14:textId="77777777" w:rsidR="005F3FCF" w:rsidRPr="00735B21" w:rsidRDefault="005F3FCF" w:rsidP="00C91F30">
    <w:pPr>
      <w:spacing w:line="360" w:lineRule="auto"/>
      <w:ind w:right="360"/>
      <w:rPr>
        <w:rFonts w:asciiTheme="minorHAnsi" w:hAnsiTheme="minorHAnsi" w:cstheme="minorHAnsi"/>
        <w:b/>
        <w:color w:val="404040" w:themeColor="text1" w:themeTint="BF"/>
        <w:szCs w:val="20"/>
      </w:rPr>
    </w:pPr>
    <w:r w:rsidRPr="00735B21">
      <w:rPr>
        <w:rFonts w:asciiTheme="minorHAnsi" w:hAnsiTheme="minorHAnsi" w:cstheme="minorHAnsi"/>
        <w:b/>
        <w:color w:val="404040" w:themeColor="text1" w:themeTint="BF"/>
        <w:szCs w:val="20"/>
      </w:rPr>
      <w:t>Provide an assessment of the City’s affirmative marketing actions for HOME units. 92.351(b)</w:t>
    </w:r>
  </w:p>
  <w:p w14:paraId="5E92C4FF" w14:textId="77777777" w:rsidR="005F3FCF" w:rsidRPr="00735B21" w:rsidRDefault="005F3FCF" w:rsidP="00C91F30">
    <w:pPr>
      <w:spacing w:line="360" w:lineRule="auto"/>
      <w:ind w:right="360"/>
      <w:rPr>
        <w:rFonts w:asciiTheme="minorHAnsi" w:hAnsiTheme="minorHAnsi"/>
        <w:color w:val="404040" w:themeColor="text1" w:themeTint="BF"/>
        <w:szCs w:val="20"/>
      </w:rPr>
    </w:pPr>
    <w:r w:rsidRPr="00735B21">
      <w:rPr>
        <w:rFonts w:asciiTheme="minorHAnsi" w:hAnsiTheme="minorHAnsi"/>
        <w:color w:val="404040" w:themeColor="text1" w:themeTint="BF"/>
        <w:szCs w:val="20"/>
      </w:rPr>
      <w:t>The City’s affirmative marketing actions for informing the public, project owners and potential tenants about Federal fair housing laws include the following:</w:t>
    </w:r>
  </w:p>
  <w:p w14:paraId="3F9C5629" w14:textId="77777777" w:rsidR="005F3FCF" w:rsidRPr="00735B21" w:rsidRDefault="005F3FCF" w:rsidP="00C91F30">
    <w:pPr>
      <w:spacing w:line="360" w:lineRule="auto"/>
      <w:ind w:right="360"/>
      <w:rPr>
        <w:rFonts w:asciiTheme="minorHAnsi" w:hAnsiTheme="minorHAnsi"/>
        <w:color w:val="404040" w:themeColor="text1" w:themeTint="BF"/>
        <w:szCs w:val="20"/>
      </w:rPr>
    </w:pPr>
  </w:p>
  <w:p w14:paraId="6BA22F78" w14:textId="77777777" w:rsidR="005F3FCF" w:rsidRPr="00735B21" w:rsidRDefault="005F3FCF" w:rsidP="00C91F30">
    <w:pPr>
      <w:spacing w:line="360" w:lineRule="auto"/>
      <w:ind w:right="360"/>
      <w:rPr>
        <w:rFonts w:asciiTheme="minorHAnsi" w:hAnsiTheme="minorHAnsi"/>
        <w:color w:val="404040" w:themeColor="text1" w:themeTint="BF"/>
        <w:szCs w:val="20"/>
      </w:rPr>
    </w:pPr>
    <w:r w:rsidRPr="00735B21">
      <w:rPr>
        <w:rFonts w:asciiTheme="minorHAnsi" w:hAnsiTheme="minorHAnsi"/>
        <w:color w:val="404040" w:themeColor="text1" w:themeTint="BF"/>
        <w:szCs w:val="20"/>
      </w:rPr>
      <w:t>Salt Lake City is a member of the Utah Fair Housing Forum through which it coordinates activities with HUD’s Regional Office of Fair Housing and Equal Opportunity and the Utah Antidiscrimination and Labor Division. To promote knowledge of fair housing laws among landlords and tenants, the City also supports and participates in the annual Education Conference and Trade Show sponsored by the Utah Fair Housing Forum and Utah Apartment Association. This is been an excellent opportunity for individuals, realtors, apartment owners, property managers, landlords and tenants to learn about Federal Fair Housing Laws.</w:t>
    </w:r>
  </w:p>
  <w:p w14:paraId="480400DC" w14:textId="77777777" w:rsidR="005F3FCF" w:rsidRPr="00735B21" w:rsidRDefault="005F3FCF" w:rsidP="00C91F30">
    <w:pPr>
      <w:spacing w:line="360" w:lineRule="auto"/>
      <w:ind w:right="360"/>
      <w:rPr>
        <w:rFonts w:asciiTheme="minorHAnsi" w:hAnsiTheme="minorHAnsi"/>
        <w:color w:val="404040" w:themeColor="text1" w:themeTint="BF"/>
        <w:szCs w:val="20"/>
      </w:rPr>
    </w:pPr>
  </w:p>
  <w:p w14:paraId="5CA1D1E9" w14:textId="77777777" w:rsidR="005F3FCF" w:rsidRPr="00735B21" w:rsidRDefault="005F3FCF" w:rsidP="00C91F30">
    <w:pPr>
      <w:spacing w:line="360" w:lineRule="auto"/>
      <w:ind w:right="360"/>
      <w:rPr>
        <w:rFonts w:asciiTheme="minorHAnsi" w:hAnsiTheme="minorHAnsi"/>
        <w:b/>
        <w:bCs/>
        <w:color w:val="404040" w:themeColor="text1" w:themeTint="BF"/>
        <w:szCs w:val="20"/>
      </w:rPr>
    </w:pPr>
    <w:r w:rsidRPr="00735B21">
      <w:rPr>
        <w:rFonts w:asciiTheme="minorHAnsi" w:hAnsiTheme="minorHAnsi"/>
        <w:color w:val="404040" w:themeColor="text1" w:themeTint="BF"/>
        <w:szCs w:val="20"/>
      </w:rPr>
      <w:t>The City’s Housing and Neighborhood Development Division continues to be proactive in affirmative marketing actions by providing information and training at its annual workshop for sub-recipients to help them increase the awareness of their clients—many of whom are immigrants, minorities, and tenants—about fair housing laws.</w:t>
    </w:r>
  </w:p>
  <w:p w14:paraId="46FEB741" w14:textId="77777777" w:rsidR="005F3FCF" w:rsidRPr="00735B21" w:rsidRDefault="005F3FCF" w:rsidP="00C91F30">
    <w:pPr>
      <w:spacing w:line="360" w:lineRule="auto"/>
      <w:ind w:right="360"/>
      <w:rPr>
        <w:rFonts w:asciiTheme="minorHAnsi" w:hAnsiTheme="minorHAnsi"/>
        <w:b/>
        <w:bCs/>
        <w:color w:val="404040" w:themeColor="text1" w:themeTint="BF"/>
        <w:szCs w:val="20"/>
      </w:rPr>
    </w:pPr>
  </w:p>
  <w:p w14:paraId="34C909C3" w14:textId="77777777" w:rsidR="005F3FCF" w:rsidRPr="00735B21" w:rsidRDefault="005F3FCF" w:rsidP="00C91F30">
    <w:pPr>
      <w:spacing w:line="360" w:lineRule="auto"/>
      <w:ind w:right="360"/>
      <w:rPr>
        <w:rFonts w:asciiTheme="minorHAnsi" w:hAnsiTheme="minorHAnsi"/>
        <w:color w:val="404040" w:themeColor="text1" w:themeTint="BF"/>
        <w:szCs w:val="20"/>
      </w:rPr>
    </w:pPr>
    <w:r w:rsidRPr="00735B21">
      <w:rPr>
        <w:rFonts w:asciiTheme="minorHAnsi" w:hAnsiTheme="minorHAnsi"/>
        <w:color w:val="404040" w:themeColor="text1" w:themeTint="BF"/>
        <w:szCs w:val="20"/>
      </w:rPr>
      <w:t>Housing and Neighborhood Development’s website also includes a fair housing page with a link to HUD’s Housing Discrimination and Complaints website. This link provides citizens with the ability to file fair housing discrimination complaints on-line.</w:t>
    </w:r>
  </w:p>
  <w:p w14:paraId="1F884CD1" w14:textId="77777777" w:rsidR="005F3FCF" w:rsidRPr="00735B21" w:rsidRDefault="005F3FCF" w:rsidP="00C91F30">
    <w:pPr>
      <w:spacing w:line="360" w:lineRule="auto"/>
      <w:ind w:right="360"/>
      <w:rPr>
        <w:rFonts w:asciiTheme="minorHAnsi" w:hAnsiTheme="minorHAnsi"/>
        <w:color w:val="404040" w:themeColor="text1" w:themeTint="BF"/>
        <w:szCs w:val="20"/>
      </w:rPr>
    </w:pPr>
  </w:p>
  <w:p w14:paraId="4AF7B2A2" w14:textId="77777777" w:rsidR="005F3FCF" w:rsidRPr="00735B21" w:rsidRDefault="005F3FCF" w:rsidP="00C91F30">
    <w:pPr>
      <w:spacing w:line="360" w:lineRule="auto"/>
      <w:ind w:right="360"/>
      <w:rPr>
        <w:rFonts w:asciiTheme="minorHAnsi" w:hAnsiTheme="minorHAnsi"/>
        <w:color w:val="404040" w:themeColor="text1" w:themeTint="BF"/>
        <w:szCs w:val="20"/>
      </w:rPr>
    </w:pPr>
    <w:r w:rsidRPr="00735B21">
      <w:rPr>
        <w:rFonts w:asciiTheme="minorHAnsi" w:hAnsiTheme="minorHAnsi"/>
        <w:color w:val="404040" w:themeColor="text1" w:themeTint="BF"/>
        <w:szCs w:val="20"/>
      </w:rPr>
      <w:t xml:space="preserve">In recent months, Salt Lake City has been actively working with the local field office to remain updated on the Assessment of Fair Housing process. To date, this has included reviewing mapping data, evaluating AFH guidebook, and discussing the AFH community participation process. </w:t>
    </w:r>
    <w:r>
      <w:rPr>
        <w:rFonts w:asciiTheme="minorHAnsi" w:hAnsiTheme="minorHAnsi"/>
        <w:color w:val="404040" w:themeColor="text1" w:themeTint="BF"/>
        <w:szCs w:val="20"/>
      </w:rPr>
      <w:t>While the guidance on utilizing the AFH was rescinded and the requirement for completing the Assessment of Fair Housing has been delayed, City staff continue to assess impediments to fair housing and coordinate with other community providers on fair housing issues as they arise.</w:t>
    </w:r>
  </w:p>
  <w:p w14:paraId="1B8CE059" w14:textId="77777777" w:rsidR="005F3FCF" w:rsidRPr="00735B21" w:rsidRDefault="005F3FCF" w:rsidP="00C91F30">
    <w:pPr>
      <w:spacing w:line="360" w:lineRule="auto"/>
      <w:ind w:right="360"/>
      <w:rPr>
        <w:rFonts w:asciiTheme="minorHAnsi" w:hAnsiTheme="minorHAnsi" w:cstheme="minorHAnsi"/>
        <w:b/>
        <w:color w:val="404040" w:themeColor="text1" w:themeTint="BF"/>
        <w:szCs w:val="20"/>
      </w:rPr>
    </w:pPr>
  </w:p>
  <w:p w14:paraId="0687749A" w14:textId="77777777" w:rsidR="005F3FCF" w:rsidRPr="00735B21" w:rsidRDefault="005F3FCF" w:rsidP="00C91F30">
    <w:pPr>
      <w:spacing w:line="360" w:lineRule="auto"/>
      <w:ind w:right="360"/>
      <w:rPr>
        <w:rFonts w:asciiTheme="minorHAnsi" w:hAnsiTheme="minorHAnsi" w:cstheme="minorHAnsi"/>
        <w:b/>
        <w:color w:val="404040" w:themeColor="text1" w:themeTint="BF"/>
        <w:szCs w:val="20"/>
      </w:rPr>
    </w:pPr>
    <w:r w:rsidRPr="00735B21">
      <w:rPr>
        <w:rFonts w:asciiTheme="minorHAnsi" w:hAnsiTheme="minorHAnsi" w:cstheme="minorHAnsi"/>
        <w:b/>
        <w:color w:val="404040" w:themeColor="text1" w:themeTint="BF"/>
        <w:szCs w:val="20"/>
      </w:rPr>
      <w:t>Refer to IDIS reports to describe the amount and use of program income for projects, including the number of projects and owner and tenant characteristics.</w:t>
    </w:r>
  </w:p>
  <w:p w14:paraId="1590E940" w14:textId="77777777" w:rsidR="005F3FCF" w:rsidRPr="00735B21" w:rsidRDefault="005F3FCF" w:rsidP="00C91F30">
    <w:pPr>
      <w:spacing w:line="360" w:lineRule="auto"/>
      <w:ind w:right="360"/>
      <w:rPr>
        <w:rFonts w:asciiTheme="minorHAnsi" w:hAnsiTheme="minorHAnsi"/>
        <w:color w:val="404040" w:themeColor="text1" w:themeTint="BF"/>
        <w:szCs w:val="20"/>
      </w:rPr>
    </w:pPr>
    <w:r w:rsidRPr="00735B21">
      <w:rPr>
        <w:rFonts w:asciiTheme="minorHAnsi" w:hAnsiTheme="minorHAnsi"/>
        <w:color w:val="404040" w:themeColor="text1" w:themeTint="BF"/>
        <w:szCs w:val="20"/>
      </w:rPr>
      <w:t>In program year 1</w:t>
    </w:r>
    <w:r>
      <w:rPr>
        <w:rFonts w:asciiTheme="minorHAnsi" w:hAnsiTheme="minorHAnsi"/>
        <w:color w:val="404040" w:themeColor="text1" w:themeTint="BF"/>
        <w:szCs w:val="20"/>
      </w:rPr>
      <w:t>7</w:t>
    </w:r>
    <w:r w:rsidRPr="00735B21">
      <w:rPr>
        <w:rFonts w:asciiTheme="minorHAnsi" w:hAnsiTheme="minorHAnsi"/>
        <w:color w:val="404040" w:themeColor="text1" w:themeTint="BF"/>
        <w:szCs w:val="20"/>
      </w:rPr>
      <w:t>-1</w:t>
    </w:r>
    <w:r>
      <w:rPr>
        <w:rFonts w:asciiTheme="minorHAnsi" w:hAnsiTheme="minorHAnsi"/>
        <w:color w:val="404040" w:themeColor="text1" w:themeTint="BF"/>
        <w:szCs w:val="20"/>
      </w:rPr>
      <w:t>8</w:t>
    </w:r>
    <w:r w:rsidRPr="00735B21">
      <w:rPr>
        <w:rFonts w:asciiTheme="minorHAnsi" w:hAnsiTheme="minorHAnsi"/>
        <w:color w:val="404040" w:themeColor="text1" w:themeTint="BF"/>
        <w:szCs w:val="20"/>
      </w:rPr>
      <w:t>, Salt Lake City brought in a total of $</w:t>
    </w:r>
    <w:r>
      <w:rPr>
        <w:rFonts w:asciiTheme="minorHAnsi" w:hAnsiTheme="minorHAnsi"/>
        <w:color w:val="404040" w:themeColor="text1" w:themeTint="BF"/>
        <w:szCs w:val="20"/>
      </w:rPr>
      <w:t>342,000</w:t>
    </w:r>
    <w:r w:rsidRPr="00735B21">
      <w:rPr>
        <w:rFonts w:asciiTheme="minorHAnsi" w:hAnsiTheme="minorHAnsi"/>
        <w:color w:val="404040" w:themeColor="text1" w:themeTint="BF"/>
        <w:szCs w:val="20"/>
      </w:rPr>
      <w:t xml:space="preserve"> in Program Income. To date, $</w:t>
    </w:r>
    <w:r>
      <w:rPr>
        <w:rFonts w:asciiTheme="minorHAnsi" w:hAnsiTheme="minorHAnsi"/>
        <w:color w:val="404040" w:themeColor="text1" w:themeTint="BF"/>
        <w:szCs w:val="20"/>
      </w:rPr>
      <w:t>342,000</w:t>
    </w:r>
    <w:r w:rsidRPr="00735B21">
      <w:rPr>
        <w:rFonts w:asciiTheme="minorHAnsi" w:hAnsiTheme="minorHAnsi"/>
        <w:color w:val="404040" w:themeColor="text1" w:themeTint="BF"/>
        <w:szCs w:val="20"/>
      </w:rPr>
      <w:t xml:space="preserve"> (including </w:t>
    </w:r>
    <w:r w:rsidRPr="00735B21">
      <w:rPr>
        <w:rFonts w:asciiTheme="minorHAnsi" w:hAnsiTheme="minorHAnsi" w:cstheme="minorHAnsi"/>
        <w:color w:val="404040" w:themeColor="text1" w:themeTint="BF"/>
        <w:szCs w:val="20"/>
      </w:rPr>
      <w:t>$</w:t>
    </w:r>
    <w:r>
      <w:rPr>
        <w:rFonts w:asciiTheme="minorHAnsi" w:hAnsiTheme="minorHAnsi" w:cstheme="minorHAnsi"/>
        <w:color w:val="404040" w:themeColor="text1" w:themeTint="BF"/>
        <w:szCs w:val="20"/>
      </w:rPr>
      <w:t>0</w:t>
    </w:r>
    <w:r w:rsidRPr="00735B21">
      <w:rPr>
        <w:rFonts w:asciiTheme="minorHAnsi" w:hAnsiTheme="minorHAnsi" w:cstheme="minorHAnsi"/>
        <w:color w:val="404040" w:themeColor="text1" w:themeTint="BF"/>
        <w:szCs w:val="20"/>
      </w:rPr>
      <w:t xml:space="preserve"> on hand from the end of the 1</w:t>
    </w:r>
    <w:r>
      <w:rPr>
        <w:rFonts w:asciiTheme="minorHAnsi" w:hAnsiTheme="minorHAnsi" w:cstheme="minorHAnsi"/>
        <w:color w:val="404040" w:themeColor="text1" w:themeTint="BF"/>
        <w:szCs w:val="20"/>
      </w:rPr>
      <w:t>6</w:t>
    </w:r>
    <w:r w:rsidRPr="00735B21">
      <w:rPr>
        <w:rFonts w:asciiTheme="minorHAnsi" w:hAnsiTheme="minorHAnsi" w:cstheme="minorHAnsi"/>
        <w:color w:val="404040" w:themeColor="text1" w:themeTint="BF"/>
        <w:szCs w:val="20"/>
      </w:rPr>
      <w:t>-1</w:t>
    </w:r>
    <w:r>
      <w:rPr>
        <w:rFonts w:asciiTheme="minorHAnsi" w:hAnsiTheme="minorHAnsi" w:cstheme="minorHAnsi"/>
        <w:color w:val="404040" w:themeColor="text1" w:themeTint="BF"/>
        <w:szCs w:val="20"/>
      </w:rPr>
      <w:t>7 reporting period</w:t>
    </w:r>
    <w:r w:rsidRPr="00735B21">
      <w:rPr>
        <w:rFonts w:asciiTheme="minorHAnsi" w:hAnsiTheme="minorHAnsi" w:cstheme="minorHAnsi"/>
        <w:color w:val="404040" w:themeColor="text1" w:themeTint="BF"/>
        <w:szCs w:val="20"/>
      </w:rPr>
      <w:t xml:space="preserve">) </w:t>
    </w:r>
    <w:r w:rsidRPr="00735B21">
      <w:rPr>
        <w:rFonts w:asciiTheme="minorHAnsi" w:hAnsiTheme="minorHAnsi"/>
        <w:color w:val="404040" w:themeColor="text1" w:themeTint="BF"/>
        <w:szCs w:val="20"/>
      </w:rPr>
      <w:t xml:space="preserve">has been drawn from Salt Lake City HOME Program Income funds to support a total of </w:t>
    </w:r>
    <w:r>
      <w:rPr>
        <w:rFonts w:asciiTheme="minorHAnsi" w:hAnsiTheme="minorHAnsi"/>
        <w:color w:val="404040" w:themeColor="text1" w:themeTint="BF"/>
        <w:szCs w:val="20"/>
      </w:rPr>
      <w:t>seven</w:t>
    </w:r>
    <w:r w:rsidRPr="00735B21">
      <w:rPr>
        <w:rFonts w:asciiTheme="minorHAnsi" w:hAnsiTheme="minorHAnsi"/>
        <w:color w:val="404040" w:themeColor="text1" w:themeTint="BF"/>
        <w:szCs w:val="20"/>
      </w:rPr>
      <w:t xml:space="preserve"> projects. These projects include: </w:t>
    </w:r>
  </w:p>
  <w:p w14:paraId="735103A7" w14:textId="77777777" w:rsidR="005F3FCF" w:rsidRPr="00735B21" w:rsidRDefault="005F3FCF" w:rsidP="00C91F30">
    <w:pPr>
      <w:numPr>
        <w:ilvl w:val="0"/>
        <w:numId w:val="22"/>
      </w:numPr>
      <w:spacing w:line="360" w:lineRule="auto"/>
      <w:ind w:right="360"/>
      <w:contextualSpacing/>
      <w:rPr>
        <w:rFonts w:asciiTheme="minorHAnsi" w:hAnsiTheme="minorHAnsi"/>
        <w:color w:val="404040" w:themeColor="text1" w:themeTint="BF"/>
        <w:szCs w:val="20"/>
      </w:rPr>
    </w:pPr>
    <w:r w:rsidRPr="00735B21">
      <w:rPr>
        <w:rFonts w:asciiTheme="minorHAnsi" w:hAnsiTheme="minorHAnsi"/>
        <w:color w:val="404040" w:themeColor="text1" w:themeTint="BF"/>
        <w:szCs w:val="20"/>
      </w:rPr>
      <w:t xml:space="preserve">New Development of Affordable Housing – </w:t>
    </w:r>
    <w:r>
      <w:rPr>
        <w:rFonts w:asciiTheme="minorHAnsi" w:hAnsiTheme="minorHAnsi"/>
        <w:color w:val="404040" w:themeColor="text1" w:themeTint="BF"/>
        <w:szCs w:val="20"/>
      </w:rPr>
      <w:t>14</w:t>
    </w:r>
    <w:r w:rsidRPr="00735B21">
      <w:rPr>
        <w:rFonts w:asciiTheme="minorHAnsi" w:hAnsiTheme="minorHAnsi"/>
        <w:color w:val="404040" w:themeColor="text1" w:themeTint="BF"/>
        <w:szCs w:val="20"/>
      </w:rPr>
      <w:t>% (1 project)</w:t>
    </w:r>
  </w:p>
  <w:p w14:paraId="060621D8" w14:textId="77777777" w:rsidR="005F3FCF" w:rsidRPr="00735B21" w:rsidRDefault="005F3FCF" w:rsidP="00C91F30">
    <w:pPr>
      <w:numPr>
        <w:ilvl w:val="0"/>
        <w:numId w:val="22"/>
      </w:numPr>
      <w:spacing w:line="360" w:lineRule="auto"/>
      <w:ind w:right="360"/>
      <w:contextualSpacing/>
      <w:rPr>
        <w:rFonts w:asciiTheme="minorHAnsi" w:hAnsiTheme="minorHAnsi"/>
        <w:color w:val="404040" w:themeColor="text1" w:themeTint="BF"/>
        <w:szCs w:val="20"/>
      </w:rPr>
    </w:pPr>
    <w:r w:rsidRPr="00735B21">
      <w:rPr>
        <w:rFonts w:asciiTheme="minorHAnsi" w:hAnsiTheme="minorHAnsi"/>
        <w:color w:val="404040" w:themeColor="text1" w:themeTint="BF"/>
        <w:szCs w:val="20"/>
      </w:rPr>
      <w:t xml:space="preserve">First Time Homebuyer Assistance </w:t>
    </w:r>
    <w:r>
      <w:rPr>
        <w:rFonts w:asciiTheme="minorHAnsi" w:hAnsiTheme="minorHAnsi"/>
        <w:color w:val="404040" w:themeColor="text1" w:themeTint="BF"/>
        <w:szCs w:val="20"/>
      </w:rPr>
      <w:t>57</w:t>
    </w:r>
    <w:r w:rsidRPr="00735B21">
      <w:rPr>
        <w:rFonts w:asciiTheme="minorHAnsi" w:hAnsiTheme="minorHAnsi"/>
        <w:color w:val="404040" w:themeColor="text1" w:themeTint="BF"/>
        <w:szCs w:val="20"/>
      </w:rPr>
      <w:t>% (</w:t>
    </w:r>
    <w:r>
      <w:rPr>
        <w:rFonts w:asciiTheme="minorHAnsi" w:hAnsiTheme="minorHAnsi"/>
        <w:color w:val="404040" w:themeColor="text1" w:themeTint="BF"/>
        <w:szCs w:val="20"/>
      </w:rPr>
      <w:t>4</w:t>
    </w:r>
    <w:r w:rsidRPr="00735B21">
      <w:rPr>
        <w:rFonts w:asciiTheme="minorHAnsi" w:hAnsiTheme="minorHAnsi"/>
        <w:color w:val="404040" w:themeColor="text1" w:themeTint="BF"/>
        <w:szCs w:val="20"/>
      </w:rPr>
      <w:t xml:space="preserve"> projects)</w:t>
    </w:r>
  </w:p>
  <w:p w14:paraId="344D1ED5" w14:textId="77777777" w:rsidR="005F3FCF" w:rsidRPr="00F0490B" w:rsidRDefault="005F3FCF" w:rsidP="00C91F30">
    <w:pPr>
      <w:numPr>
        <w:ilvl w:val="0"/>
        <w:numId w:val="22"/>
      </w:numPr>
      <w:spacing w:line="360" w:lineRule="auto"/>
      <w:ind w:right="360"/>
      <w:contextualSpacing/>
      <w:rPr>
        <w:rFonts w:asciiTheme="minorHAnsi" w:hAnsiTheme="minorHAnsi"/>
        <w:b/>
        <w:color w:val="404040" w:themeColor="text1" w:themeTint="BF"/>
        <w:szCs w:val="20"/>
        <w:u w:val="single"/>
      </w:rPr>
    </w:pPr>
    <w:r w:rsidRPr="00735B21">
      <w:rPr>
        <w:rFonts w:asciiTheme="minorHAnsi" w:hAnsiTheme="minorHAnsi"/>
        <w:color w:val="404040" w:themeColor="text1" w:themeTint="BF"/>
        <w:szCs w:val="20"/>
      </w:rPr>
      <w:t>Tenant Based Rental Assistance 2</w:t>
    </w:r>
    <w:r>
      <w:rPr>
        <w:rFonts w:asciiTheme="minorHAnsi" w:hAnsiTheme="minorHAnsi"/>
        <w:color w:val="404040" w:themeColor="text1" w:themeTint="BF"/>
        <w:szCs w:val="20"/>
      </w:rPr>
      <w:t>9</w:t>
    </w:r>
    <w:r w:rsidRPr="00735B21">
      <w:rPr>
        <w:rFonts w:asciiTheme="minorHAnsi" w:hAnsiTheme="minorHAnsi"/>
        <w:color w:val="404040" w:themeColor="text1" w:themeTint="BF"/>
        <w:szCs w:val="20"/>
      </w:rPr>
      <w:t>% (</w:t>
    </w:r>
    <w:r>
      <w:rPr>
        <w:rFonts w:asciiTheme="minorHAnsi" w:hAnsiTheme="minorHAnsi"/>
        <w:color w:val="404040" w:themeColor="text1" w:themeTint="BF"/>
        <w:szCs w:val="20"/>
      </w:rPr>
      <w:t>2</w:t>
    </w:r>
    <w:r w:rsidRPr="00735B21">
      <w:rPr>
        <w:rFonts w:asciiTheme="minorHAnsi" w:hAnsiTheme="minorHAnsi"/>
        <w:color w:val="404040" w:themeColor="text1" w:themeTint="BF"/>
        <w:szCs w:val="20"/>
      </w:rPr>
      <w:t xml:space="preserve"> projects) </w:t>
    </w:r>
  </w:p>
  <w:p w14:paraId="0DA4902C" w14:textId="77777777" w:rsidR="005F3FCF" w:rsidRPr="00735B21" w:rsidRDefault="005F3FCF" w:rsidP="00F0490B">
    <w:pPr>
      <w:spacing w:line="360" w:lineRule="auto"/>
      <w:ind w:left="360" w:right="360"/>
      <w:contextualSpacing/>
      <w:rPr>
        <w:rFonts w:asciiTheme="minorHAnsi" w:hAnsiTheme="minorHAnsi"/>
        <w:b/>
        <w:color w:val="404040" w:themeColor="text1" w:themeTint="BF"/>
        <w:szCs w:val="20"/>
        <w:u w:val="single"/>
      </w:rPr>
    </w:pPr>
  </w:p>
  <w:p w14:paraId="7D3BA3B3" w14:textId="77777777" w:rsidR="005F3FCF" w:rsidRPr="00735B21" w:rsidRDefault="005F3FCF" w:rsidP="00C91F30">
    <w:pPr>
      <w:spacing w:line="360" w:lineRule="auto"/>
      <w:ind w:right="360"/>
      <w:rPr>
        <w:rFonts w:asciiTheme="minorHAnsi" w:hAnsiTheme="minorHAnsi"/>
        <w:b/>
        <w:color w:val="404040" w:themeColor="text1" w:themeTint="BF"/>
        <w:szCs w:val="20"/>
        <w:u w:val="single"/>
      </w:rPr>
    </w:pPr>
    <w:r w:rsidRPr="00735B21">
      <w:rPr>
        <w:rFonts w:asciiTheme="minorHAnsi" w:hAnsiTheme="minorHAnsi"/>
        <w:b/>
        <w:color w:val="404040" w:themeColor="text1" w:themeTint="BF"/>
        <w:szCs w:val="20"/>
        <w:u w:val="single"/>
      </w:rPr>
      <w:t>Owner and Tenant Characteristics</w:t>
    </w:r>
  </w:p>
  <w:p w14:paraId="7404014F" w14:textId="77777777" w:rsidR="005F3FCF" w:rsidRPr="00735B21" w:rsidRDefault="005F3FCF" w:rsidP="00C91F30">
    <w:pPr>
      <w:spacing w:line="360" w:lineRule="auto"/>
      <w:ind w:right="360"/>
      <w:rPr>
        <w:rFonts w:asciiTheme="minorHAnsi" w:hAnsiTheme="minorHAnsi"/>
        <w:color w:val="404040" w:themeColor="text1" w:themeTint="BF"/>
        <w:szCs w:val="20"/>
      </w:rPr>
    </w:pPr>
    <w:r w:rsidRPr="00735B21">
      <w:rPr>
        <w:rFonts w:asciiTheme="minorHAnsi" w:hAnsiTheme="minorHAnsi"/>
        <w:color w:val="404040" w:themeColor="text1" w:themeTint="BF"/>
        <w:szCs w:val="20"/>
      </w:rPr>
      <w:t xml:space="preserve">Of the </w:t>
    </w:r>
    <w:r>
      <w:rPr>
        <w:rFonts w:asciiTheme="minorHAnsi" w:hAnsiTheme="minorHAnsi"/>
        <w:color w:val="404040" w:themeColor="text1" w:themeTint="BF"/>
        <w:szCs w:val="20"/>
      </w:rPr>
      <w:t>seven</w:t>
    </w:r>
    <w:r w:rsidRPr="00735B21">
      <w:rPr>
        <w:rFonts w:asciiTheme="minorHAnsi" w:hAnsiTheme="minorHAnsi"/>
        <w:color w:val="404040" w:themeColor="text1" w:themeTint="BF"/>
        <w:szCs w:val="20"/>
      </w:rPr>
      <w:t xml:space="preserve"> projects funded, </w:t>
    </w:r>
    <w:r>
      <w:rPr>
        <w:rFonts w:asciiTheme="minorHAnsi" w:hAnsiTheme="minorHAnsi"/>
        <w:color w:val="404040" w:themeColor="text1" w:themeTint="BF"/>
        <w:szCs w:val="20"/>
      </w:rPr>
      <w:t>14</w:t>
    </w:r>
    <w:r w:rsidRPr="00735B21">
      <w:rPr>
        <w:rFonts w:asciiTheme="minorHAnsi" w:hAnsiTheme="minorHAnsi"/>
        <w:color w:val="404040" w:themeColor="text1" w:themeTint="BF"/>
        <w:szCs w:val="20"/>
      </w:rPr>
      <w:t xml:space="preserve">% were new development and </w:t>
    </w:r>
    <w:r>
      <w:rPr>
        <w:rFonts w:asciiTheme="minorHAnsi" w:hAnsiTheme="minorHAnsi"/>
        <w:color w:val="404040" w:themeColor="text1" w:themeTint="BF"/>
        <w:szCs w:val="20"/>
      </w:rPr>
      <w:t>57</w:t>
    </w:r>
    <w:r w:rsidRPr="00735B21">
      <w:rPr>
        <w:rFonts w:asciiTheme="minorHAnsi" w:hAnsiTheme="minorHAnsi"/>
        <w:color w:val="404040" w:themeColor="text1" w:themeTint="BF"/>
        <w:szCs w:val="20"/>
      </w:rPr>
      <w:t xml:space="preserve">% were first time homebuyer assistance. All activities served (or in the case of new development, marketed toward) households of 80% AMI or below. </w:t>
    </w:r>
    <w:r>
      <w:rPr>
        <w:rFonts w:asciiTheme="minorHAnsi" w:hAnsiTheme="minorHAnsi"/>
        <w:color w:val="404040" w:themeColor="text1" w:themeTint="BF"/>
        <w:szCs w:val="20"/>
      </w:rPr>
      <w:t>Two</w:t>
    </w:r>
    <w:r w:rsidRPr="00735B21">
      <w:rPr>
        <w:rFonts w:asciiTheme="minorHAnsi" w:hAnsiTheme="minorHAnsi"/>
        <w:color w:val="404040" w:themeColor="text1" w:themeTint="BF"/>
        <w:szCs w:val="20"/>
      </w:rPr>
      <w:t xml:space="preserve"> tenant-based rental assistance projects (or 2</w:t>
    </w:r>
    <w:r>
      <w:rPr>
        <w:rFonts w:asciiTheme="minorHAnsi" w:hAnsiTheme="minorHAnsi"/>
        <w:color w:val="404040" w:themeColor="text1" w:themeTint="BF"/>
        <w:szCs w:val="20"/>
      </w:rPr>
      <w:t>9</w:t>
    </w:r>
    <w:r w:rsidRPr="00735B21">
      <w:rPr>
        <w:rFonts w:asciiTheme="minorHAnsi" w:hAnsiTheme="minorHAnsi"/>
        <w:color w:val="404040" w:themeColor="text1" w:themeTint="BF"/>
        <w:szCs w:val="20"/>
      </w:rPr>
      <w:t>% of PI funded projects) were funded in part with HOME PI funds served homeless individuals at 0-30% AMI or below.</w:t>
    </w:r>
  </w:p>
  <w:p w14:paraId="58B33A7E" w14:textId="77777777" w:rsidR="005F3FCF" w:rsidRPr="00F0490B" w:rsidRDefault="005F3FCF" w:rsidP="00F0490B">
    <w:pPr>
      <w:spacing w:line="360" w:lineRule="auto"/>
      <w:ind w:right="360"/>
      <w:rPr>
        <w:rFonts w:asciiTheme="minorHAnsi" w:hAnsiTheme="minorHAnsi"/>
        <w:color w:val="404040" w:themeColor="text1" w:themeTint="BF"/>
        <w:szCs w:val="20"/>
      </w:rPr>
    </w:pPr>
  </w:p>
  <w:p w14:paraId="6ED7EB48" w14:textId="77777777" w:rsidR="005F3FCF" w:rsidRPr="00735B21" w:rsidRDefault="005F3FCF" w:rsidP="00C91F30">
    <w:pPr>
      <w:spacing w:line="360" w:lineRule="auto"/>
      <w:ind w:right="360"/>
      <w:rPr>
        <w:rFonts w:asciiTheme="minorHAnsi" w:hAnsiTheme="minorHAnsi" w:cstheme="minorHAnsi"/>
        <w:b/>
        <w:color w:val="404040" w:themeColor="text1" w:themeTint="BF"/>
        <w:szCs w:val="20"/>
      </w:rPr>
    </w:pPr>
    <w:r w:rsidRPr="005F3FCF">
      <w:rPr>
        <w:rFonts w:asciiTheme="minorHAnsi" w:hAnsiTheme="minorHAnsi"/>
        <w:color w:val="404040" w:themeColor="text1" w:themeTint="BF"/>
        <w:szCs w:val="20"/>
      </w:rPr>
      <w:t>Describe</w:t>
    </w:r>
    <w:r w:rsidRPr="00735B21">
      <w:rPr>
        <w:rFonts w:asciiTheme="minorHAnsi" w:hAnsiTheme="minorHAnsi" w:cstheme="minorHAnsi"/>
        <w:b/>
        <w:color w:val="404040" w:themeColor="text1" w:themeTint="BF"/>
        <w:szCs w:val="20"/>
      </w:rPr>
      <w:t xml:space="preserve"> other actions taken to foster and maintain affordable housing. 92.220(k)</w:t>
    </w:r>
  </w:p>
  <w:p w14:paraId="6C6A1E7E" w14:textId="77777777" w:rsidR="005F3FCF" w:rsidRPr="00735B21" w:rsidRDefault="005F3FCF" w:rsidP="005F3FCF">
    <w:pPr>
      <w:spacing w:line="360" w:lineRule="auto"/>
      <w:ind w:right="360"/>
      <w:rPr>
        <w:rFonts w:asciiTheme="minorHAnsi" w:hAnsiTheme="minorHAnsi"/>
        <w:color w:val="404040" w:themeColor="text1" w:themeTint="BF"/>
        <w:szCs w:val="20"/>
      </w:rPr>
    </w:pPr>
    <w:r w:rsidRPr="005F3FCF">
      <w:rPr>
        <w:rFonts w:asciiTheme="minorHAnsi" w:hAnsiTheme="minorHAnsi" w:cstheme="minorHAnsi"/>
        <w:b/>
        <w:color w:val="404040" w:themeColor="text1" w:themeTint="BF"/>
        <w:szCs w:val="20"/>
      </w:rPr>
      <w:t>During the last year, Salt Lake City has faced significant challenges to increasing</w:t>
    </w:r>
    <w:r w:rsidRPr="00735B21">
      <w:rPr>
        <w:rFonts w:asciiTheme="minorHAnsi" w:hAnsiTheme="minorHAnsi"/>
        <w:color w:val="404040" w:themeColor="text1" w:themeTint="BF"/>
        <w:szCs w:val="20"/>
      </w:rPr>
      <w:t xml:space="preserve"> the affordable housing opportunities in our city. The City continues to see significant demand for owner and renter-occupied housing and the resulting impact on the supply of affordable housing. Salt Lake City’s Division of Housing and Neighborhood Development utilized federal funding to expand housing opportunities for low and moderate-income households, as well as vulnerable and at-risk populations. These funds were leveraged with other community resources and efforts such as Low Income Housing Tax Credits, Salt Lake City’s Housing Trust Fund, and State of Utah Olene Walker Trust Fund. </w:t>
    </w:r>
  </w:p>
  <w:p w14:paraId="3E20B2FF" w14:textId="77777777" w:rsidR="005F3FCF" w:rsidRPr="00735B21" w:rsidRDefault="005F3FCF" w:rsidP="00C91F30">
    <w:pPr>
      <w:spacing w:line="360" w:lineRule="auto"/>
      <w:rPr>
        <w:rFonts w:asciiTheme="minorHAnsi" w:hAnsiTheme="minorHAnsi"/>
        <w:color w:val="404040" w:themeColor="text1" w:themeTint="BF"/>
        <w:szCs w:val="20"/>
      </w:rPr>
    </w:pPr>
  </w:p>
  <w:p w14:paraId="077FB7C8" w14:textId="77777777" w:rsidR="005F3FCF" w:rsidRPr="003D2034" w:rsidRDefault="005F3FCF" w:rsidP="00C91F30">
    <w:pPr>
      <w:spacing w:line="360" w:lineRule="auto"/>
      <w:rPr>
        <w:rFonts w:asciiTheme="minorHAnsi" w:hAnsiTheme="minorHAnsi"/>
        <w:color w:val="404040" w:themeColor="text1" w:themeTint="BF"/>
        <w:szCs w:val="20"/>
      </w:rPr>
    </w:pPr>
    <w:r w:rsidRPr="00735B21">
      <w:rPr>
        <w:rFonts w:asciiTheme="minorHAnsi" w:hAnsiTheme="minorHAnsi"/>
        <w:color w:val="404040" w:themeColor="text1" w:themeTint="BF"/>
        <w:szCs w:val="20"/>
      </w:rPr>
      <w:t>Salt Lake City utilized HOME funds to provide a wide range of activities including acquisition and rehabilitation/construction of affordable housing for homeownership, rehabilitation of existing homes, and providing direct rental assistance to low-income residents. HOME funding is targeted to households earning 0% to 80% AMI. In 201</w:t>
    </w:r>
    <w:r>
      <w:rPr>
        <w:rFonts w:asciiTheme="minorHAnsi" w:hAnsiTheme="minorHAnsi"/>
        <w:color w:val="404040" w:themeColor="text1" w:themeTint="BF"/>
        <w:szCs w:val="20"/>
      </w:rPr>
      <w:t>7</w:t>
    </w:r>
    <w:r w:rsidRPr="00735B21">
      <w:rPr>
        <w:rFonts w:asciiTheme="minorHAnsi" w:hAnsiTheme="minorHAnsi"/>
        <w:color w:val="404040" w:themeColor="text1" w:themeTint="BF"/>
        <w:szCs w:val="20"/>
      </w:rPr>
      <w:t>-1</w:t>
    </w:r>
    <w:r>
      <w:rPr>
        <w:rFonts w:asciiTheme="minorHAnsi" w:hAnsiTheme="minorHAnsi"/>
        <w:color w:val="404040" w:themeColor="text1" w:themeTint="BF"/>
        <w:szCs w:val="20"/>
      </w:rPr>
      <w:t>8</w:t>
    </w:r>
    <w:r w:rsidRPr="00735B21">
      <w:rPr>
        <w:rFonts w:asciiTheme="minorHAnsi" w:hAnsiTheme="minorHAnsi"/>
        <w:color w:val="404040" w:themeColor="text1" w:themeTint="BF"/>
        <w:szCs w:val="20"/>
      </w:rPr>
      <w:t xml:space="preserve">, </w:t>
    </w:r>
    <w:r>
      <w:rPr>
        <w:rFonts w:asciiTheme="minorHAnsi" w:hAnsiTheme="minorHAnsi"/>
        <w:color w:val="404040" w:themeColor="text1" w:themeTint="BF"/>
        <w:szCs w:val="20"/>
      </w:rPr>
      <w:t>86</w:t>
    </w:r>
    <w:r w:rsidRPr="00735B21">
      <w:rPr>
        <w:rFonts w:asciiTheme="minorHAnsi" w:hAnsiTheme="minorHAnsi"/>
        <w:color w:val="404040" w:themeColor="text1" w:themeTint="BF"/>
        <w:szCs w:val="20"/>
      </w:rPr>
      <w:t>% of the funding went directly to create or preserve affordable housing, or provide rental assistance.</w:t>
    </w:r>
  </w:p>
  <w:p w14:paraId="49BA30A6" w14:textId="77777777" w:rsidR="005F3FCF" w:rsidRPr="005F3FCF" w:rsidRDefault="005F3FCF" w:rsidP="005F3FCF">
    <w:pPr>
      <w:spacing w:line="360" w:lineRule="auto"/>
      <w:rPr>
        <w:rFonts w:asciiTheme="minorHAnsi" w:hAnsiTheme="minorHAnsi"/>
        <w:color w:val="404040" w:themeColor="text1" w:themeTint="BF"/>
        <w:szCs w:val="20"/>
      </w:rPr>
    </w:pPr>
  </w:p>
  <w:p w14:paraId="06E9249A" w14:textId="77777777" w:rsidR="005F3FCF" w:rsidRPr="005F3FCF" w:rsidRDefault="005F3FCF" w:rsidP="005F3FCF">
    <w:pPr>
      <w:spacing w:line="360" w:lineRule="auto"/>
      <w:rPr>
        <w:rFonts w:asciiTheme="minorHAnsi" w:hAnsiTheme="minorHAnsi"/>
        <w:color w:val="404040" w:themeColor="text1" w:themeTint="BF"/>
        <w:szCs w:val="20"/>
      </w:rPr>
    </w:pPr>
  </w:p>
  <w:p w14:paraId="392DE8AF" w14:textId="77777777" w:rsidR="005F3FCF" w:rsidRPr="005F3FCF" w:rsidRDefault="005F3FCF" w:rsidP="005F3FCF">
    <w:pPr>
      <w:spacing w:line="360" w:lineRule="auto"/>
      <w:rPr>
        <w:rFonts w:asciiTheme="minorHAnsi" w:hAnsiTheme="minorHAnsi"/>
        <w:color w:val="404040" w:themeColor="text1" w:themeTint="BF"/>
        <w:szCs w:val="20"/>
      </w:rPr>
    </w:pPr>
  </w:p>
  <w:p w14:paraId="31445904" w14:textId="77777777" w:rsidR="005F3FCF" w:rsidRPr="005F3FCF" w:rsidRDefault="005F3FCF" w:rsidP="005F3FCF">
    <w:pPr>
      <w:spacing w:line="360" w:lineRule="auto"/>
      <w:rPr>
        <w:rFonts w:asciiTheme="minorHAnsi" w:hAnsiTheme="minorHAnsi"/>
        <w:color w:val="404040" w:themeColor="text1" w:themeTint="BF"/>
        <w:szCs w:val="20"/>
      </w:rPr>
    </w:pPr>
  </w:p>
  <w:p w14:paraId="2617C752" w14:textId="77777777" w:rsidR="005F3FCF" w:rsidRPr="005F3FCF" w:rsidRDefault="005F3FCF" w:rsidP="005F3FCF">
    <w:pPr>
      <w:spacing w:line="360" w:lineRule="auto"/>
      <w:rPr>
        <w:rFonts w:asciiTheme="minorHAnsi" w:hAnsiTheme="minorHAnsi"/>
        <w:color w:val="404040" w:themeColor="text1" w:themeTint="BF"/>
        <w:szCs w:val="20"/>
      </w:rPr>
    </w:pPr>
  </w:p>
  <w:p w14:paraId="79465899" w14:textId="77777777" w:rsidR="005F3FCF" w:rsidRPr="005F3FCF" w:rsidRDefault="005F3FCF" w:rsidP="005F3FCF">
    <w:pPr>
      <w:spacing w:line="360" w:lineRule="auto"/>
      <w:rPr>
        <w:rFonts w:asciiTheme="minorHAnsi" w:hAnsiTheme="minorHAnsi"/>
        <w:color w:val="404040" w:themeColor="text1" w:themeTint="BF"/>
        <w:szCs w:val="20"/>
      </w:rPr>
    </w:pPr>
  </w:p>
  <w:p w14:paraId="1AC1CE2F" w14:textId="77777777" w:rsidR="005F3FCF" w:rsidRPr="005F3FCF" w:rsidRDefault="005F3FCF" w:rsidP="005F3FCF">
    <w:pPr>
      <w:spacing w:line="360" w:lineRule="auto"/>
      <w:rPr>
        <w:rFonts w:asciiTheme="minorHAnsi" w:hAnsiTheme="minorHAnsi"/>
        <w:color w:val="404040" w:themeColor="text1" w:themeTint="BF"/>
        <w:szCs w:val="20"/>
      </w:rPr>
    </w:pPr>
  </w:p>
  <w:p w14:paraId="180FAA6F" w14:textId="77777777" w:rsidR="005F3FCF" w:rsidRPr="005F3FCF" w:rsidRDefault="005F3FCF" w:rsidP="005F3FCF">
    <w:pPr>
      <w:spacing w:line="360" w:lineRule="auto"/>
      <w:rPr>
        <w:rFonts w:asciiTheme="minorHAnsi" w:hAnsiTheme="minorHAnsi"/>
        <w:color w:val="404040" w:themeColor="text1" w:themeTint="BF"/>
        <w:szCs w:val="20"/>
      </w:rPr>
    </w:pPr>
  </w:p>
  <w:p w14:paraId="2C0A1122" w14:textId="77777777" w:rsidR="005F3FCF" w:rsidRPr="005F3FCF" w:rsidRDefault="005F3FCF" w:rsidP="005F3FCF">
    <w:pPr>
      <w:spacing w:line="360" w:lineRule="auto"/>
      <w:rPr>
        <w:rFonts w:asciiTheme="minorHAnsi" w:hAnsiTheme="minorHAnsi"/>
        <w:color w:val="404040" w:themeColor="text1" w:themeTint="BF"/>
        <w:szCs w:val="20"/>
      </w:rPr>
    </w:pPr>
  </w:p>
  <w:p w14:paraId="194010A8" w14:textId="77777777" w:rsidR="005F3FCF" w:rsidRPr="005F3FCF" w:rsidRDefault="005F3FCF" w:rsidP="005F3FCF">
    <w:pPr>
      <w:spacing w:line="360" w:lineRule="auto"/>
      <w:rPr>
        <w:rFonts w:asciiTheme="minorHAnsi" w:hAnsiTheme="minorHAnsi"/>
        <w:color w:val="404040" w:themeColor="text1" w:themeTint="BF"/>
        <w:szCs w:val="20"/>
      </w:rPr>
    </w:pPr>
  </w:p>
  <w:p w14:paraId="49CBC590" w14:textId="77777777" w:rsidR="005F3FCF" w:rsidRPr="005F3FCF" w:rsidRDefault="005F3FCF" w:rsidP="005F3FCF">
    <w:pPr>
      <w:spacing w:line="360" w:lineRule="auto"/>
      <w:rPr>
        <w:rFonts w:asciiTheme="minorHAnsi" w:hAnsiTheme="minorHAnsi"/>
        <w:color w:val="404040" w:themeColor="text1" w:themeTint="BF"/>
        <w:szCs w:val="20"/>
      </w:rPr>
    </w:pPr>
  </w:p>
  <w:p w14:paraId="2966F88F" w14:textId="77777777" w:rsidR="005F3FCF" w:rsidRPr="005F3FCF" w:rsidRDefault="005F3FCF" w:rsidP="005F3FCF">
    <w:pPr>
      <w:spacing w:line="360" w:lineRule="auto"/>
      <w:rPr>
        <w:rFonts w:asciiTheme="minorHAnsi" w:hAnsiTheme="minorHAnsi"/>
        <w:color w:val="404040" w:themeColor="text1" w:themeTint="BF"/>
        <w:szCs w:val="20"/>
      </w:rPr>
    </w:pPr>
  </w:p>
  <w:p w14:paraId="6E5A5838" w14:textId="77777777" w:rsidR="005F3FCF" w:rsidRPr="005F3FCF" w:rsidRDefault="005F3FCF" w:rsidP="005F3FCF">
    <w:pPr>
      <w:spacing w:line="360" w:lineRule="auto"/>
      <w:rPr>
        <w:rFonts w:asciiTheme="minorHAnsi" w:hAnsiTheme="minorHAnsi"/>
        <w:color w:val="404040" w:themeColor="text1" w:themeTint="BF"/>
        <w:szCs w:val="20"/>
      </w:rPr>
    </w:pPr>
  </w:p>
  <w:p w14:paraId="1AF7471F" w14:textId="77777777" w:rsidR="005F3FCF" w:rsidRPr="005F3FCF" w:rsidRDefault="005F3FCF" w:rsidP="005F3FCF">
    <w:pPr>
      <w:spacing w:line="360" w:lineRule="auto"/>
      <w:rPr>
        <w:rFonts w:asciiTheme="minorHAnsi" w:hAnsiTheme="minorHAnsi"/>
        <w:color w:val="404040" w:themeColor="text1" w:themeTint="BF"/>
        <w:szCs w:val="20"/>
      </w:rPr>
    </w:pPr>
  </w:p>
  <w:p w14:paraId="1B701D99" w14:textId="77777777" w:rsidR="005F3FCF" w:rsidRPr="005F3FCF" w:rsidRDefault="005F3FCF" w:rsidP="005F3FCF">
    <w:pPr>
      <w:spacing w:line="360" w:lineRule="auto"/>
      <w:rPr>
        <w:rFonts w:asciiTheme="minorHAnsi" w:hAnsiTheme="minorHAnsi"/>
        <w:color w:val="404040" w:themeColor="text1" w:themeTint="BF"/>
        <w:szCs w:val="20"/>
      </w:rPr>
    </w:pPr>
  </w:p>
  <w:p w14:paraId="372C25F0" w14:textId="77777777" w:rsidR="005F3FCF" w:rsidRPr="005F3FCF" w:rsidRDefault="005F3FCF" w:rsidP="005F3FCF">
    <w:pPr>
      <w:spacing w:line="360" w:lineRule="auto"/>
      <w:rPr>
        <w:rFonts w:asciiTheme="minorHAnsi" w:hAnsiTheme="minorHAnsi"/>
        <w:color w:val="404040" w:themeColor="text1" w:themeTint="BF"/>
        <w:szCs w:val="20"/>
      </w:rPr>
    </w:pPr>
  </w:p>
  <w:p w14:paraId="33B83A3C" w14:textId="77777777" w:rsidR="005F3FCF" w:rsidRPr="005F3FCF" w:rsidRDefault="005F3FCF" w:rsidP="005F3FCF">
    <w:pPr>
      <w:spacing w:line="360" w:lineRule="auto"/>
      <w:rPr>
        <w:rFonts w:asciiTheme="minorHAnsi" w:hAnsiTheme="minorHAnsi"/>
        <w:color w:val="404040" w:themeColor="text1" w:themeTint="BF"/>
        <w:szCs w:val="20"/>
      </w:rPr>
    </w:pPr>
  </w:p>
  <w:p w14:paraId="3D9EE5AA" w14:textId="77777777" w:rsidR="005F3FCF" w:rsidRPr="005F3FCF" w:rsidRDefault="005F3FCF" w:rsidP="005F3FCF">
    <w:pPr>
      <w:spacing w:line="360" w:lineRule="auto"/>
      <w:rPr>
        <w:rFonts w:asciiTheme="minorHAnsi" w:hAnsiTheme="minorHAnsi"/>
        <w:color w:val="404040" w:themeColor="text1" w:themeTint="BF"/>
        <w:szCs w:val="20"/>
      </w:rPr>
    </w:pPr>
  </w:p>
  <w:p w14:paraId="13DD8ABE" w14:textId="77777777" w:rsidR="005F3FCF" w:rsidRPr="005F3FCF" w:rsidRDefault="005F3FCF" w:rsidP="005F3FCF">
    <w:pPr>
      <w:spacing w:line="360" w:lineRule="auto"/>
      <w:rPr>
        <w:rFonts w:asciiTheme="minorHAnsi" w:hAnsiTheme="minorHAnsi"/>
        <w:color w:val="404040" w:themeColor="text1" w:themeTint="BF"/>
        <w:szCs w:val="20"/>
      </w:rPr>
    </w:pPr>
  </w:p>
  <w:p w14:paraId="352068A6" w14:textId="77777777" w:rsidR="005F3FCF" w:rsidRPr="005F3FCF" w:rsidRDefault="005F3FCF" w:rsidP="005F3FCF">
    <w:pPr>
      <w:spacing w:line="360" w:lineRule="auto"/>
      <w:rPr>
        <w:rFonts w:asciiTheme="minorHAnsi" w:hAnsiTheme="minorHAnsi"/>
        <w:color w:val="404040" w:themeColor="text1" w:themeTint="BF"/>
        <w:szCs w:val="20"/>
      </w:rPr>
    </w:pPr>
  </w:p>
  <w:p w14:paraId="375B890A" w14:textId="77777777" w:rsidR="005F3FCF" w:rsidRPr="005F3FCF" w:rsidRDefault="005F3FCF" w:rsidP="005F3FCF">
    <w:pPr>
      <w:spacing w:line="360" w:lineRule="auto"/>
      <w:rPr>
        <w:rFonts w:asciiTheme="minorHAnsi" w:hAnsiTheme="minorHAnsi"/>
        <w:color w:val="404040" w:themeColor="text1" w:themeTint="BF"/>
        <w:szCs w:val="20"/>
      </w:rPr>
    </w:pPr>
  </w:p>
  <w:p w14:paraId="4DA50B37" w14:textId="77777777" w:rsidR="005F3FCF" w:rsidRPr="005F3FCF" w:rsidRDefault="005F3FCF" w:rsidP="005F3FCF">
    <w:pPr>
      <w:spacing w:line="360" w:lineRule="auto"/>
      <w:rPr>
        <w:rFonts w:asciiTheme="minorHAnsi" w:hAnsiTheme="minorHAnsi"/>
        <w:color w:val="404040" w:themeColor="text1" w:themeTint="BF"/>
        <w:szCs w:val="20"/>
      </w:rPr>
    </w:pPr>
  </w:p>
  <w:p w14:paraId="4FAC1ADD" w14:textId="77777777" w:rsidR="005F3FCF" w:rsidRPr="005F3FCF" w:rsidRDefault="005F3FCF" w:rsidP="005F3FCF">
    <w:pPr>
      <w:spacing w:line="360" w:lineRule="auto"/>
      <w:rPr>
        <w:rFonts w:asciiTheme="minorHAnsi" w:hAnsiTheme="minorHAnsi"/>
        <w:color w:val="404040" w:themeColor="text1" w:themeTint="BF"/>
        <w:szCs w:val="20"/>
      </w:rPr>
    </w:pPr>
  </w:p>
  <w:p w14:paraId="188F80FB" w14:textId="77777777" w:rsidR="005F3FCF" w:rsidRPr="005F3FCF" w:rsidRDefault="005F3FCF" w:rsidP="005F3FCF">
    <w:pPr>
      <w:spacing w:line="360" w:lineRule="auto"/>
      <w:rPr>
        <w:rFonts w:asciiTheme="minorHAnsi" w:hAnsiTheme="minorHAnsi"/>
        <w:color w:val="404040" w:themeColor="text1" w:themeTint="BF"/>
        <w:szCs w:val="20"/>
      </w:rPr>
    </w:pPr>
  </w:p>
  <w:p w14:paraId="5453D7DA" w14:textId="77777777" w:rsidR="005F3FCF" w:rsidRPr="005F3FCF" w:rsidRDefault="005F3FCF" w:rsidP="005F3FCF">
    <w:pPr>
      <w:spacing w:line="360" w:lineRule="auto"/>
      <w:rPr>
        <w:rFonts w:asciiTheme="minorHAnsi" w:hAnsiTheme="minorHAnsi"/>
        <w:color w:val="404040" w:themeColor="text1" w:themeTint="BF"/>
        <w:szCs w:val="20"/>
      </w:rPr>
    </w:pPr>
  </w:p>
  <w:p w14:paraId="2F8CA8A7" w14:textId="77777777" w:rsidR="005F3FCF" w:rsidRPr="005F3FCF" w:rsidRDefault="005F3FCF" w:rsidP="005F3FCF">
    <w:pPr>
      <w:spacing w:line="360" w:lineRule="auto"/>
      <w:rPr>
        <w:rFonts w:asciiTheme="minorHAnsi" w:hAnsiTheme="minorHAnsi"/>
        <w:color w:val="404040" w:themeColor="text1" w:themeTint="BF"/>
        <w:szCs w:val="20"/>
      </w:rPr>
    </w:pPr>
  </w:p>
  <w:p w14:paraId="422EDC12" w14:textId="77777777" w:rsidR="005F3FCF" w:rsidRPr="005F3FCF" w:rsidRDefault="005F3FCF" w:rsidP="005F3FCF">
    <w:pPr>
      <w:spacing w:line="360" w:lineRule="auto"/>
      <w:rPr>
        <w:rFonts w:asciiTheme="minorHAnsi" w:hAnsiTheme="minorHAnsi"/>
        <w:color w:val="404040" w:themeColor="text1" w:themeTint="BF"/>
        <w:szCs w:val="20"/>
      </w:rPr>
    </w:pPr>
  </w:p>
  <w:p w14:paraId="1ABD6A5E" w14:textId="77777777" w:rsidR="005F3FCF" w:rsidRPr="005F3FCF" w:rsidRDefault="005F3FCF" w:rsidP="005F3FCF">
    <w:pPr>
      <w:spacing w:line="360" w:lineRule="auto"/>
      <w:rPr>
        <w:rFonts w:asciiTheme="minorHAnsi" w:hAnsiTheme="minorHAnsi"/>
        <w:color w:val="404040" w:themeColor="text1" w:themeTint="BF"/>
        <w:szCs w:val="20"/>
      </w:rPr>
    </w:pPr>
  </w:p>
  <w:p w14:paraId="6FA66B17" w14:textId="77777777" w:rsidR="005F3FCF" w:rsidRPr="005F3FCF" w:rsidRDefault="005F3FCF" w:rsidP="005F3FCF">
    <w:pPr>
      <w:spacing w:line="360" w:lineRule="auto"/>
      <w:rPr>
        <w:rFonts w:asciiTheme="minorHAnsi" w:hAnsiTheme="minorHAnsi"/>
        <w:color w:val="404040" w:themeColor="text1" w:themeTint="BF"/>
        <w:szCs w:val="20"/>
      </w:rPr>
    </w:pPr>
    <w:r w:rsidRPr="005F3FCF">
      <w:rPr>
        <w:rFonts w:asciiTheme="minorHAnsi" w:hAnsiTheme="minorHAnsi"/>
        <w:color w:val="404040" w:themeColor="text1" w:themeTint="BF"/>
        <w:szCs w:val="20"/>
      </w:rPr>
      <w:t xml:space="preserve">CR-55 HOPWA – 91.520 (e) </w:t>
    </w:r>
  </w:p>
  <w:p w14:paraId="071483C1" w14:textId="77777777" w:rsidR="00110B73" w:rsidRDefault="00110B73">
    <w:pPr>
      <w:pStyle w:val="Footer"/>
      <w:rPr>
        <w:color w:val="993300"/>
      </w:rPr>
    </w:pPr>
    <w:r>
      <w:fldChar w:fldCharType="end"/>
    </w:r>
    <w:r>
      <w:rPr>
        <w:color w:val="993300"/>
      </w:rPr>
      <w:t xml:space="preserve"> – 2010-2011</w:t>
    </w:r>
    <w:r>
      <w:rPr>
        <w:color w:val="993300"/>
      </w:rPr>
      <w:tab/>
    </w:r>
    <w:r>
      <w:rPr>
        <w:rStyle w:val="PageNumber"/>
        <w:color w:val="993300"/>
      </w:rPr>
      <w:fldChar w:fldCharType="begin"/>
    </w:r>
    <w:r>
      <w:rPr>
        <w:rStyle w:val="PageNumber"/>
        <w:color w:val="993300"/>
      </w:rPr>
      <w:instrText xml:space="preserve"> PAGE </w:instrText>
    </w:r>
    <w:r>
      <w:rPr>
        <w:rStyle w:val="PageNumber"/>
        <w:color w:val="993300"/>
      </w:rPr>
      <w:fldChar w:fldCharType="separate"/>
    </w:r>
    <w:r>
      <w:rPr>
        <w:rStyle w:val="PageNumber"/>
        <w:noProof/>
        <w:color w:val="993300"/>
      </w:rPr>
      <w:t>1</w:t>
    </w:r>
    <w:r>
      <w:rPr>
        <w:rStyle w:val="PageNumber"/>
        <w:color w:val="993300"/>
      </w:rPr>
      <w:fldChar w:fldCharType="end"/>
    </w:r>
    <w:r>
      <w:rPr>
        <w:rStyle w:val="PageNumber"/>
        <w:color w:val="993300"/>
      </w:rPr>
      <w:tab/>
    </w:r>
    <w:r>
      <w:rPr>
        <w:rStyle w:val="PageNumber"/>
        <w:color w:val="993300"/>
      </w:rPr>
      <w:fldChar w:fldCharType="begin"/>
    </w:r>
    <w:r>
      <w:rPr>
        <w:rStyle w:val="PageNumber"/>
        <w:color w:val="993300"/>
      </w:rPr>
      <w:instrText xml:space="preserve"> LINK Excel.Sheet.8 "\\\\slcinas2\\capplanning\\common\\2010 ConPlan\\1st Year CAPER\\1CPMP.xls" Links!R5C51 \a \t </w:instrText>
    </w:r>
    <w:r>
      <w:rPr>
        <w:rFonts w:ascii="Times New Roman" w:hAnsi="Times New Roman"/>
        <w:szCs w:val="20"/>
      </w:rPr>
      <w:fldChar w:fldCharType="separate"/>
    </w:r>
    <w:r>
      <w:rPr>
        <w:rFonts w:ascii="Times New Roman" w:hAnsi="Times New Roman"/>
        <w:b/>
        <w:bCs/>
        <w:szCs w:val="20"/>
      </w:rPr>
      <w:t>Error! Not a valid link.</w:t>
    </w:r>
    <w:r>
      <w:rPr>
        <w:rStyle w:val="PageNumber"/>
        <w:color w:val="9933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AF7A8" w14:textId="77777777" w:rsidR="00110B73" w:rsidRDefault="00110B73" w:rsidP="00F63646">
      <w:r>
        <w:separator/>
      </w:r>
    </w:p>
  </w:footnote>
  <w:footnote w:type="continuationSeparator" w:id="0">
    <w:p w14:paraId="76C942FA" w14:textId="77777777" w:rsidR="00110B73" w:rsidRDefault="00110B73" w:rsidP="00F63646">
      <w:r>
        <w:continuationSeparator/>
      </w:r>
    </w:p>
  </w:footnote>
  <w:footnote w:id="1">
    <w:p w14:paraId="3371A7CC" w14:textId="77777777" w:rsidR="00110B73" w:rsidRPr="00000919" w:rsidRDefault="00110B73" w:rsidP="00B10F1E">
      <w:pPr>
        <w:pStyle w:val="FootnoteText"/>
        <w:rPr>
          <w:rFonts w:ascii="Gotham Book" w:hAnsi="Gotham Book"/>
          <w:color w:val="404040" w:themeColor="text1" w:themeTint="BF"/>
          <w:sz w:val="14"/>
          <w:szCs w:val="14"/>
        </w:rPr>
      </w:pPr>
      <w:r w:rsidRPr="00000919">
        <w:rPr>
          <w:rStyle w:val="FootnoteReference"/>
          <w:rFonts w:ascii="Gotham Book" w:hAnsi="Gotham Book"/>
          <w:color w:val="404040" w:themeColor="text1" w:themeTint="BF"/>
          <w:sz w:val="14"/>
          <w:szCs w:val="14"/>
        </w:rPr>
        <w:footnoteRef/>
      </w:r>
      <w:r w:rsidRPr="00000919">
        <w:rPr>
          <w:rFonts w:ascii="Gotham Book" w:hAnsi="Gotham Book"/>
          <w:color w:val="404040" w:themeColor="text1" w:themeTint="BF"/>
          <w:sz w:val="14"/>
          <w:szCs w:val="14"/>
        </w:rPr>
        <w:t xml:space="preserve"> U.S. Department of Housing and Urban Development, Understanding the Neighborhood Effects of Concentrated Poverty, </w:t>
      </w:r>
      <w:r w:rsidRPr="00000919">
        <w:rPr>
          <w:rFonts w:ascii="Gotham Book" w:hAnsi="Gotham Book"/>
          <w:i/>
          <w:color w:val="404040" w:themeColor="text1" w:themeTint="BF"/>
          <w:sz w:val="14"/>
          <w:szCs w:val="14"/>
        </w:rPr>
        <w:t>Evidence Matters</w:t>
      </w:r>
      <w:r w:rsidRPr="00000919">
        <w:rPr>
          <w:rFonts w:ascii="Gotham Book" w:hAnsi="Gotham Book"/>
          <w:color w:val="404040" w:themeColor="text1" w:themeTint="BF"/>
          <w:sz w:val="14"/>
          <w:szCs w:val="14"/>
        </w:rPr>
        <w:t>, Winter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5CC35" w14:textId="77777777" w:rsidR="00110B73" w:rsidRDefault="00110B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0D0BD" w14:textId="4F52FAE6" w:rsidR="00110B73" w:rsidRDefault="00110B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C8F42" w14:textId="77777777" w:rsidR="00110B73" w:rsidRDefault="00110B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23E60"/>
    <w:multiLevelType w:val="hybridMultilevel"/>
    <w:tmpl w:val="76CE52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5C0CA4"/>
    <w:multiLevelType w:val="hybridMultilevel"/>
    <w:tmpl w:val="4B36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0401F"/>
    <w:multiLevelType w:val="hybridMultilevel"/>
    <w:tmpl w:val="733C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963B4"/>
    <w:multiLevelType w:val="hybridMultilevel"/>
    <w:tmpl w:val="37D07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382E1B"/>
    <w:multiLevelType w:val="hybridMultilevel"/>
    <w:tmpl w:val="FA0E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B6473"/>
    <w:multiLevelType w:val="hybridMultilevel"/>
    <w:tmpl w:val="A94C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00F52"/>
    <w:multiLevelType w:val="hybridMultilevel"/>
    <w:tmpl w:val="D9AE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C4DF1"/>
    <w:multiLevelType w:val="hybridMultilevel"/>
    <w:tmpl w:val="A530D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CB4E87"/>
    <w:multiLevelType w:val="hybridMultilevel"/>
    <w:tmpl w:val="AAD2C188"/>
    <w:lvl w:ilvl="0" w:tplc="7C368974">
      <w:start w:val="1"/>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7544FD"/>
    <w:multiLevelType w:val="hybridMultilevel"/>
    <w:tmpl w:val="149868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EA7418"/>
    <w:multiLevelType w:val="multilevel"/>
    <w:tmpl w:val="08980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A331F1"/>
    <w:multiLevelType w:val="hybridMultilevel"/>
    <w:tmpl w:val="6C5C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1B5EAE"/>
    <w:multiLevelType w:val="hybridMultilevel"/>
    <w:tmpl w:val="D1E0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87ADE"/>
    <w:multiLevelType w:val="hybridMultilevel"/>
    <w:tmpl w:val="EEB08A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B4025"/>
    <w:multiLevelType w:val="hybridMultilevel"/>
    <w:tmpl w:val="4AB8F7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A17443"/>
    <w:multiLevelType w:val="multilevel"/>
    <w:tmpl w:val="23D4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6532D8"/>
    <w:multiLevelType w:val="hybridMultilevel"/>
    <w:tmpl w:val="0D4E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24B8D"/>
    <w:multiLevelType w:val="hybridMultilevel"/>
    <w:tmpl w:val="55481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318C1"/>
    <w:multiLevelType w:val="hybridMultilevel"/>
    <w:tmpl w:val="B8B0E8B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D17AF"/>
    <w:multiLevelType w:val="multilevel"/>
    <w:tmpl w:val="9508D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493C4D"/>
    <w:multiLevelType w:val="multilevel"/>
    <w:tmpl w:val="0A92B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AC6388"/>
    <w:multiLevelType w:val="hybridMultilevel"/>
    <w:tmpl w:val="17347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051F3A"/>
    <w:multiLevelType w:val="singleLevel"/>
    <w:tmpl w:val="5C242F34"/>
    <w:lvl w:ilvl="0">
      <w:start w:val="2"/>
      <w:numFmt w:val="upperLetter"/>
      <w:pStyle w:val="Heading5"/>
      <w:lvlText w:val="%1."/>
      <w:legacy w:legacy="1" w:legacySpace="0" w:legacyIndent="360"/>
      <w:lvlJc w:val="left"/>
      <w:pPr>
        <w:ind w:left="360" w:hanging="360"/>
      </w:pPr>
      <w:rPr>
        <w:b/>
        <w:i w:val="0"/>
      </w:rPr>
    </w:lvl>
  </w:abstractNum>
  <w:abstractNum w:abstractNumId="23" w15:restartNumberingAfterBreak="0">
    <w:nsid w:val="5ED14446"/>
    <w:multiLevelType w:val="hybridMultilevel"/>
    <w:tmpl w:val="FEA48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2C5626B"/>
    <w:multiLevelType w:val="multilevel"/>
    <w:tmpl w:val="E776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B70DA6"/>
    <w:multiLevelType w:val="hybridMultilevel"/>
    <w:tmpl w:val="8892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9C438C"/>
    <w:multiLevelType w:val="hybridMultilevel"/>
    <w:tmpl w:val="34C8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C60494"/>
    <w:multiLevelType w:val="hybridMultilevel"/>
    <w:tmpl w:val="8046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8D5AE6"/>
    <w:multiLevelType w:val="hybridMultilevel"/>
    <w:tmpl w:val="FCDAF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B30A62"/>
    <w:multiLevelType w:val="hybridMultilevel"/>
    <w:tmpl w:val="19623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129797C"/>
    <w:multiLevelType w:val="hybridMultilevel"/>
    <w:tmpl w:val="BF3E47E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D13F6"/>
    <w:multiLevelType w:val="hybridMultilevel"/>
    <w:tmpl w:val="D5269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E64B84"/>
    <w:multiLevelType w:val="hybridMultilevel"/>
    <w:tmpl w:val="74E4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844CBF"/>
    <w:multiLevelType w:val="hybridMultilevel"/>
    <w:tmpl w:val="C0D68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8"/>
  </w:num>
  <w:num w:numId="4">
    <w:abstractNumId w:val="1"/>
  </w:num>
  <w:num w:numId="5">
    <w:abstractNumId w:val="0"/>
  </w:num>
  <w:num w:numId="6">
    <w:abstractNumId w:val="18"/>
  </w:num>
  <w:num w:numId="7">
    <w:abstractNumId w:val="30"/>
  </w:num>
  <w:num w:numId="8">
    <w:abstractNumId w:val="9"/>
  </w:num>
  <w:num w:numId="9">
    <w:abstractNumId w:val="12"/>
  </w:num>
  <w:num w:numId="10">
    <w:abstractNumId w:val="31"/>
  </w:num>
  <w:num w:numId="11">
    <w:abstractNumId w:val="23"/>
  </w:num>
  <w:num w:numId="12">
    <w:abstractNumId w:val="21"/>
  </w:num>
  <w:num w:numId="13">
    <w:abstractNumId w:val="26"/>
  </w:num>
  <w:num w:numId="14">
    <w:abstractNumId w:val="13"/>
  </w:num>
  <w:num w:numId="15">
    <w:abstractNumId w:val="27"/>
  </w:num>
  <w:num w:numId="16">
    <w:abstractNumId w:val="2"/>
  </w:num>
  <w:num w:numId="17">
    <w:abstractNumId w:val="5"/>
  </w:num>
  <w:num w:numId="18">
    <w:abstractNumId w:val="14"/>
  </w:num>
  <w:num w:numId="19">
    <w:abstractNumId w:val="4"/>
  </w:num>
  <w:num w:numId="20">
    <w:abstractNumId w:val="7"/>
  </w:num>
  <w:num w:numId="21">
    <w:abstractNumId w:val="33"/>
  </w:num>
  <w:num w:numId="22">
    <w:abstractNumId w:val="11"/>
  </w:num>
  <w:num w:numId="23">
    <w:abstractNumId w:val="15"/>
  </w:num>
  <w:num w:numId="24">
    <w:abstractNumId w:val="10"/>
  </w:num>
  <w:num w:numId="25">
    <w:abstractNumId w:val="19"/>
  </w:num>
  <w:num w:numId="26">
    <w:abstractNumId w:val="24"/>
  </w:num>
  <w:num w:numId="27">
    <w:abstractNumId w:val="20"/>
  </w:num>
  <w:num w:numId="28">
    <w:abstractNumId w:val="25"/>
  </w:num>
  <w:num w:numId="29">
    <w:abstractNumId w:val="6"/>
  </w:num>
  <w:num w:numId="30">
    <w:abstractNumId w:val="33"/>
  </w:num>
  <w:num w:numId="31">
    <w:abstractNumId w:val="11"/>
  </w:num>
  <w:num w:numId="32">
    <w:abstractNumId w:val="32"/>
  </w:num>
  <w:num w:numId="33">
    <w:abstractNumId w:val="28"/>
  </w:num>
  <w:num w:numId="34">
    <w:abstractNumId w:val="17"/>
  </w:num>
  <w:num w:numId="35">
    <w:abstractNumId w:val="3"/>
  </w:num>
  <w:num w:numId="36">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00"/>
  <w:displayHorizontalDrawingGridEvery w:val="2"/>
  <w:noPunctuationKerning/>
  <w:characterSpacingControl w:val="doNotCompress"/>
  <w:hdrShapeDefaults>
    <o:shapedefaults v:ext="edit" spidmax="28674"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646"/>
    <w:rsid w:val="0000181E"/>
    <w:rsid w:val="00001E9B"/>
    <w:rsid w:val="000021BA"/>
    <w:rsid w:val="000032F3"/>
    <w:rsid w:val="0000493F"/>
    <w:rsid w:val="000055C7"/>
    <w:rsid w:val="000056B6"/>
    <w:rsid w:val="00005742"/>
    <w:rsid w:val="00006082"/>
    <w:rsid w:val="0000634B"/>
    <w:rsid w:val="00006572"/>
    <w:rsid w:val="00007E86"/>
    <w:rsid w:val="00010F09"/>
    <w:rsid w:val="000130ED"/>
    <w:rsid w:val="000142CD"/>
    <w:rsid w:val="00014351"/>
    <w:rsid w:val="00014814"/>
    <w:rsid w:val="00015AB0"/>
    <w:rsid w:val="00015DA7"/>
    <w:rsid w:val="000163BB"/>
    <w:rsid w:val="000164F4"/>
    <w:rsid w:val="00016ACC"/>
    <w:rsid w:val="00020C55"/>
    <w:rsid w:val="00022F65"/>
    <w:rsid w:val="000231BB"/>
    <w:rsid w:val="00023930"/>
    <w:rsid w:val="00023E07"/>
    <w:rsid w:val="00023FC0"/>
    <w:rsid w:val="0002482A"/>
    <w:rsid w:val="00024CED"/>
    <w:rsid w:val="0002545B"/>
    <w:rsid w:val="00025D3C"/>
    <w:rsid w:val="0002600C"/>
    <w:rsid w:val="00026A83"/>
    <w:rsid w:val="00026AB0"/>
    <w:rsid w:val="000275E6"/>
    <w:rsid w:val="000277B9"/>
    <w:rsid w:val="00027ACA"/>
    <w:rsid w:val="00027DE5"/>
    <w:rsid w:val="0003036A"/>
    <w:rsid w:val="00030E0B"/>
    <w:rsid w:val="00031845"/>
    <w:rsid w:val="00031B3C"/>
    <w:rsid w:val="000322A2"/>
    <w:rsid w:val="00032B50"/>
    <w:rsid w:val="00032C31"/>
    <w:rsid w:val="00032C7C"/>
    <w:rsid w:val="00033327"/>
    <w:rsid w:val="00033748"/>
    <w:rsid w:val="00033A2D"/>
    <w:rsid w:val="00033D1D"/>
    <w:rsid w:val="00034877"/>
    <w:rsid w:val="000350AE"/>
    <w:rsid w:val="00036218"/>
    <w:rsid w:val="000362F9"/>
    <w:rsid w:val="000373C0"/>
    <w:rsid w:val="00040206"/>
    <w:rsid w:val="00041071"/>
    <w:rsid w:val="0004210D"/>
    <w:rsid w:val="00042829"/>
    <w:rsid w:val="00043205"/>
    <w:rsid w:val="0004401E"/>
    <w:rsid w:val="000449BF"/>
    <w:rsid w:val="00044ADB"/>
    <w:rsid w:val="0004558F"/>
    <w:rsid w:val="00046967"/>
    <w:rsid w:val="00047D60"/>
    <w:rsid w:val="0005023B"/>
    <w:rsid w:val="00050634"/>
    <w:rsid w:val="000509DA"/>
    <w:rsid w:val="000531D2"/>
    <w:rsid w:val="000541D7"/>
    <w:rsid w:val="00055F21"/>
    <w:rsid w:val="00056252"/>
    <w:rsid w:val="00056A25"/>
    <w:rsid w:val="00056A73"/>
    <w:rsid w:val="0005799E"/>
    <w:rsid w:val="0006012B"/>
    <w:rsid w:val="0006220F"/>
    <w:rsid w:val="0006343A"/>
    <w:rsid w:val="00064767"/>
    <w:rsid w:val="00065223"/>
    <w:rsid w:val="00066BBB"/>
    <w:rsid w:val="000673AC"/>
    <w:rsid w:val="0006760C"/>
    <w:rsid w:val="00067694"/>
    <w:rsid w:val="00067744"/>
    <w:rsid w:val="00067806"/>
    <w:rsid w:val="00067A34"/>
    <w:rsid w:val="00067D20"/>
    <w:rsid w:val="00067E02"/>
    <w:rsid w:val="00067E6F"/>
    <w:rsid w:val="00070305"/>
    <w:rsid w:val="00071089"/>
    <w:rsid w:val="00072E46"/>
    <w:rsid w:val="00073304"/>
    <w:rsid w:val="00073460"/>
    <w:rsid w:val="00073496"/>
    <w:rsid w:val="00073649"/>
    <w:rsid w:val="00073BA6"/>
    <w:rsid w:val="0007510D"/>
    <w:rsid w:val="000771CA"/>
    <w:rsid w:val="00077497"/>
    <w:rsid w:val="000774AE"/>
    <w:rsid w:val="000775C8"/>
    <w:rsid w:val="0008084D"/>
    <w:rsid w:val="0008178C"/>
    <w:rsid w:val="00081D0F"/>
    <w:rsid w:val="00081DAF"/>
    <w:rsid w:val="00082C24"/>
    <w:rsid w:val="00082EFD"/>
    <w:rsid w:val="00083372"/>
    <w:rsid w:val="00083D02"/>
    <w:rsid w:val="000843C2"/>
    <w:rsid w:val="00084CBE"/>
    <w:rsid w:val="00086191"/>
    <w:rsid w:val="000866D7"/>
    <w:rsid w:val="00086EB0"/>
    <w:rsid w:val="00090167"/>
    <w:rsid w:val="00090D17"/>
    <w:rsid w:val="00090DB1"/>
    <w:rsid w:val="00094190"/>
    <w:rsid w:val="0009478E"/>
    <w:rsid w:val="00095013"/>
    <w:rsid w:val="0009555C"/>
    <w:rsid w:val="000961B7"/>
    <w:rsid w:val="00096CAE"/>
    <w:rsid w:val="00096D4E"/>
    <w:rsid w:val="00097288"/>
    <w:rsid w:val="00097698"/>
    <w:rsid w:val="000979EE"/>
    <w:rsid w:val="000A0EC5"/>
    <w:rsid w:val="000A2A29"/>
    <w:rsid w:val="000A3040"/>
    <w:rsid w:val="000A329F"/>
    <w:rsid w:val="000A360E"/>
    <w:rsid w:val="000A4543"/>
    <w:rsid w:val="000A4A82"/>
    <w:rsid w:val="000A4E37"/>
    <w:rsid w:val="000A50B9"/>
    <w:rsid w:val="000A568A"/>
    <w:rsid w:val="000A6972"/>
    <w:rsid w:val="000A6E5D"/>
    <w:rsid w:val="000A7128"/>
    <w:rsid w:val="000B011C"/>
    <w:rsid w:val="000B09EB"/>
    <w:rsid w:val="000B1325"/>
    <w:rsid w:val="000B331C"/>
    <w:rsid w:val="000B35DB"/>
    <w:rsid w:val="000B36C3"/>
    <w:rsid w:val="000B48CB"/>
    <w:rsid w:val="000B6DFA"/>
    <w:rsid w:val="000B7119"/>
    <w:rsid w:val="000B7516"/>
    <w:rsid w:val="000B7D55"/>
    <w:rsid w:val="000C13AC"/>
    <w:rsid w:val="000C194B"/>
    <w:rsid w:val="000C256C"/>
    <w:rsid w:val="000C2D90"/>
    <w:rsid w:val="000C30F4"/>
    <w:rsid w:val="000C32D7"/>
    <w:rsid w:val="000C32DA"/>
    <w:rsid w:val="000C4BA6"/>
    <w:rsid w:val="000C597E"/>
    <w:rsid w:val="000C603E"/>
    <w:rsid w:val="000C722C"/>
    <w:rsid w:val="000C7A34"/>
    <w:rsid w:val="000C7CD4"/>
    <w:rsid w:val="000D0159"/>
    <w:rsid w:val="000D0376"/>
    <w:rsid w:val="000D1301"/>
    <w:rsid w:val="000D168A"/>
    <w:rsid w:val="000D1E43"/>
    <w:rsid w:val="000D30F1"/>
    <w:rsid w:val="000D36C6"/>
    <w:rsid w:val="000D36DF"/>
    <w:rsid w:val="000D3CC4"/>
    <w:rsid w:val="000D3F9D"/>
    <w:rsid w:val="000D40ED"/>
    <w:rsid w:val="000D42C3"/>
    <w:rsid w:val="000D4A46"/>
    <w:rsid w:val="000D6B37"/>
    <w:rsid w:val="000D71A7"/>
    <w:rsid w:val="000D76C7"/>
    <w:rsid w:val="000D7C52"/>
    <w:rsid w:val="000E1E88"/>
    <w:rsid w:val="000E21EB"/>
    <w:rsid w:val="000E24A8"/>
    <w:rsid w:val="000E2C2C"/>
    <w:rsid w:val="000E2F25"/>
    <w:rsid w:val="000E2FED"/>
    <w:rsid w:val="000E30D8"/>
    <w:rsid w:val="000E435F"/>
    <w:rsid w:val="000E43E9"/>
    <w:rsid w:val="000E4772"/>
    <w:rsid w:val="000E5A8A"/>
    <w:rsid w:val="000E5C43"/>
    <w:rsid w:val="000E637E"/>
    <w:rsid w:val="000E63D5"/>
    <w:rsid w:val="000E7495"/>
    <w:rsid w:val="000E7A4B"/>
    <w:rsid w:val="000F073B"/>
    <w:rsid w:val="000F2787"/>
    <w:rsid w:val="000F3358"/>
    <w:rsid w:val="000F395D"/>
    <w:rsid w:val="000F42B9"/>
    <w:rsid w:val="000F4833"/>
    <w:rsid w:val="000F4CA5"/>
    <w:rsid w:val="000F4EE5"/>
    <w:rsid w:val="000F6120"/>
    <w:rsid w:val="000F685D"/>
    <w:rsid w:val="000F689F"/>
    <w:rsid w:val="000F7547"/>
    <w:rsid w:val="000F79D2"/>
    <w:rsid w:val="001010BA"/>
    <w:rsid w:val="00102742"/>
    <w:rsid w:val="00102A7C"/>
    <w:rsid w:val="00103295"/>
    <w:rsid w:val="00103AAB"/>
    <w:rsid w:val="00104CA1"/>
    <w:rsid w:val="00105332"/>
    <w:rsid w:val="00105D83"/>
    <w:rsid w:val="001064C9"/>
    <w:rsid w:val="00106954"/>
    <w:rsid w:val="00106D2F"/>
    <w:rsid w:val="001108CB"/>
    <w:rsid w:val="00110B73"/>
    <w:rsid w:val="00111790"/>
    <w:rsid w:val="00112192"/>
    <w:rsid w:val="00113AD3"/>
    <w:rsid w:val="00114391"/>
    <w:rsid w:val="001164E6"/>
    <w:rsid w:val="00116DED"/>
    <w:rsid w:val="00120A06"/>
    <w:rsid w:val="001219AC"/>
    <w:rsid w:val="0012206B"/>
    <w:rsid w:val="0012255A"/>
    <w:rsid w:val="0012273A"/>
    <w:rsid w:val="001227DB"/>
    <w:rsid w:val="001228C4"/>
    <w:rsid w:val="00123C9D"/>
    <w:rsid w:val="00124FD3"/>
    <w:rsid w:val="00126094"/>
    <w:rsid w:val="0012642E"/>
    <w:rsid w:val="00126604"/>
    <w:rsid w:val="001272BC"/>
    <w:rsid w:val="00127304"/>
    <w:rsid w:val="00127562"/>
    <w:rsid w:val="00127AE0"/>
    <w:rsid w:val="00127DB7"/>
    <w:rsid w:val="00130134"/>
    <w:rsid w:val="001304D2"/>
    <w:rsid w:val="00131A09"/>
    <w:rsid w:val="00131B77"/>
    <w:rsid w:val="00132102"/>
    <w:rsid w:val="00132496"/>
    <w:rsid w:val="001326C8"/>
    <w:rsid w:val="00133020"/>
    <w:rsid w:val="00133C29"/>
    <w:rsid w:val="00133EB8"/>
    <w:rsid w:val="00134592"/>
    <w:rsid w:val="001348CD"/>
    <w:rsid w:val="00135512"/>
    <w:rsid w:val="001361BA"/>
    <w:rsid w:val="0013654A"/>
    <w:rsid w:val="00136E79"/>
    <w:rsid w:val="00137076"/>
    <w:rsid w:val="0013768A"/>
    <w:rsid w:val="00137DCC"/>
    <w:rsid w:val="0014061F"/>
    <w:rsid w:val="001408AC"/>
    <w:rsid w:val="001408D4"/>
    <w:rsid w:val="00141FCF"/>
    <w:rsid w:val="0014265C"/>
    <w:rsid w:val="00143265"/>
    <w:rsid w:val="00143615"/>
    <w:rsid w:val="001437E6"/>
    <w:rsid w:val="00144313"/>
    <w:rsid w:val="00144379"/>
    <w:rsid w:val="00144AE8"/>
    <w:rsid w:val="001456E0"/>
    <w:rsid w:val="00145E0F"/>
    <w:rsid w:val="00146939"/>
    <w:rsid w:val="0014777C"/>
    <w:rsid w:val="00150235"/>
    <w:rsid w:val="001503A5"/>
    <w:rsid w:val="0015078E"/>
    <w:rsid w:val="00150AEE"/>
    <w:rsid w:val="0015128C"/>
    <w:rsid w:val="00151458"/>
    <w:rsid w:val="00151EC3"/>
    <w:rsid w:val="001520E4"/>
    <w:rsid w:val="00152142"/>
    <w:rsid w:val="00153804"/>
    <w:rsid w:val="0015433E"/>
    <w:rsid w:val="001543FD"/>
    <w:rsid w:val="00155F77"/>
    <w:rsid w:val="00156F92"/>
    <w:rsid w:val="00157721"/>
    <w:rsid w:val="00157F36"/>
    <w:rsid w:val="001600CB"/>
    <w:rsid w:val="00160677"/>
    <w:rsid w:val="001606CA"/>
    <w:rsid w:val="001609E9"/>
    <w:rsid w:val="0016225C"/>
    <w:rsid w:val="001638EE"/>
    <w:rsid w:val="00163F40"/>
    <w:rsid w:val="00163FB3"/>
    <w:rsid w:val="00164762"/>
    <w:rsid w:val="00164B12"/>
    <w:rsid w:val="0016584D"/>
    <w:rsid w:val="00165E4C"/>
    <w:rsid w:val="00166ED1"/>
    <w:rsid w:val="0016744C"/>
    <w:rsid w:val="00170CF5"/>
    <w:rsid w:val="00170D9D"/>
    <w:rsid w:val="001711ED"/>
    <w:rsid w:val="00171835"/>
    <w:rsid w:val="00172634"/>
    <w:rsid w:val="00173438"/>
    <w:rsid w:val="00173826"/>
    <w:rsid w:val="001738CB"/>
    <w:rsid w:val="00173C81"/>
    <w:rsid w:val="001740F3"/>
    <w:rsid w:val="00174189"/>
    <w:rsid w:val="0017558A"/>
    <w:rsid w:val="00175E0A"/>
    <w:rsid w:val="00176311"/>
    <w:rsid w:val="00176D01"/>
    <w:rsid w:val="00177C32"/>
    <w:rsid w:val="001802BA"/>
    <w:rsid w:val="001819CE"/>
    <w:rsid w:val="0018243D"/>
    <w:rsid w:val="001825DD"/>
    <w:rsid w:val="00182DF3"/>
    <w:rsid w:val="001834C7"/>
    <w:rsid w:val="001840A9"/>
    <w:rsid w:val="0018434D"/>
    <w:rsid w:val="00184F68"/>
    <w:rsid w:val="001853B2"/>
    <w:rsid w:val="001856AE"/>
    <w:rsid w:val="00185C3B"/>
    <w:rsid w:val="00185DF6"/>
    <w:rsid w:val="001861C5"/>
    <w:rsid w:val="001901AF"/>
    <w:rsid w:val="00190B22"/>
    <w:rsid w:val="00191253"/>
    <w:rsid w:val="00191347"/>
    <w:rsid w:val="00191CE9"/>
    <w:rsid w:val="00192739"/>
    <w:rsid w:val="001929B6"/>
    <w:rsid w:val="001929B8"/>
    <w:rsid w:val="00193200"/>
    <w:rsid w:val="00193299"/>
    <w:rsid w:val="0019583C"/>
    <w:rsid w:val="00195AA0"/>
    <w:rsid w:val="00195DE2"/>
    <w:rsid w:val="00196F9D"/>
    <w:rsid w:val="001A0809"/>
    <w:rsid w:val="001A0C33"/>
    <w:rsid w:val="001A1437"/>
    <w:rsid w:val="001A149A"/>
    <w:rsid w:val="001A1743"/>
    <w:rsid w:val="001A1F24"/>
    <w:rsid w:val="001A3AF8"/>
    <w:rsid w:val="001A480E"/>
    <w:rsid w:val="001A4989"/>
    <w:rsid w:val="001A53C9"/>
    <w:rsid w:val="001A5596"/>
    <w:rsid w:val="001A598D"/>
    <w:rsid w:val="001A7496"/>
    <w:rsid w:val="001B03E5"/>
    <w:rsid w:val="001B1F7E"/>
    <w:rsid w:val="001B1FF8"/>
    <w:rsid w:val="001B31DE"/>
    <w:rsid w:val="001B39C6"/>
    <w:rsid w:val="001B68D9"/>
    <w:rsid w:val="001B7978"/>
    <w:rsid w:val="001B7D24"/>
    <w:rsid w:val="001C0480"/>
    <w:rsid w:val="001C17FB"/>
    <w:rsid w:val="001C1F4F"/>
    <w:rsid w:val="001C361C"/>
    <w:rsid w:val="001C38F4"/>
    <w:rsid w:val="001C5AF9"/>
    <w:rsid w:val="001C6045"/>
    <w:rsid w:val="001C644D"/>
    <w:rsid w:val="001D06B3"/>
    <w:rsid w:val="001D0EE0"/>
    <w:rsid w:val="001D267E"/>
    <w:rsid w:val="001D3395"/>
    <w:rsid w:val="001D3B63"/>
    <w:rsid w:val="001D4F85"/>
    <w:rsid w:val="001D537F"/>
    <w:rsid w:val="001D55DA"/>
    <w:rsid w:val="001D5A6B"/>
    <w:rsid w:val="001D626C"/>
    <w:rsid w:val="001D75D0"/>
    <w:rsid w:val="001E0C9C"/>
    <w:rsid w:val="001E1199"/>
    <w:rsid w:val="001E135E"/>
    <w:rsid w:val="001E2C57"/>
    <w:rsid w:val="001E3703"/>
    <w:rsid w:val="001E3804"/>
    <w:rsid w:val="001E4A0F"/>
    <w:rsid w:val="001E4C7D"/>
    <w:rsid w:val="001E61E3"/>
    <w:rsid w:val="001E67EF"/>
    <w:rsid w:val="001E7958"/>
    <w:rsid w:val="001F1721"/>
    <w:rsid w:val="001F2B06"/>
    <w:rsid w:val="001F2DE1"/>
    <w:rsid w:val="001F3693"/>
    <w:rsid w:val="001F4545"/>
    <w:rsid w:val="001F4E08"/>
    <w:rsid w:val="001F596D"/>
    <w:rsid w:val="001F6709"/>
    <w:rsid w:val="001F6D9C"/>
    <w:rsid w:val="001F724D"/>
    <w:rsid w:val="001F7DE2"/>
    <w:rsid w:val="0020022F"/>
    <w:rsid w:val="002004C6"/>
    <w:rsid w:val="0020194F"/>
    <w:rsid w:val="00201B5F"/>
    <w:rsid w:val="00201CDE"/>
    <w:rsid w:val="00202C3E"/>
    <w:rsid w:val="00202FC2"/>
    <w:rsid w:val="002030C6"/>
    <w:rsid w:val="0020362F"/>
    <w:rsid w:val="00204210"/>
    <w:rsid w:val="002042A6"/>
    <w:rsid w:val="00204B72"/>
    <w:rsid w:val="00204C58"/>
    <w:rsid w:val="00204C94"/>
    <w:rsid w:val="002053D6"/>
    <w:rsid w:val="00205BA9"/>
    <w:rsid w:val="00206FBC"/>
    <w:rsid w:val="00207E87"/>
    <w:rsid w:val="002105DB"/>
    <w:rsid w:val="00210F4B"/>
    <w:rsid w:val="002112FA"/>
    <w:rsid w:val="00211476"/>
    <w:rsid w:val="00211C07"/>
    <w:rsid w:val="00211C71"/>
    <w:rsid w:val="00212BF2"/>
    <w:rsid w:val="00214138"/>
    <w:rsid w:val="00214B62"/>
    <w:rsid w:val="00214E95"/>
    <w:rsid w:val="00214EA1"/>
    <w:rsid w:val="00215045"/>
    <w:rsid w:val="00215728"/>
    <w:rsid w:val="00215CF3"/>
    <w:rsid w:val="0021620E"/>
    <w:rsid w:val="00217DEC"/>
    <w:rsid w:val="002214CA"/>
    <w:rsid w:val="0022182F"/>
    <w:rsid w:val="0022197D"/>
    <w:rsid w:val="00221A98"/>
    <w:rsid w:val="00221B3E"/>
    <w:rsid w:val="00222A01"/>
    <w:rsid w:val="00224441"/>
    <w:rsid w:val="002256DC"/>
    <w:rsid w:val="00225C5A"/>
    <w:rsid w:val="00227FD6"/>
    <w:rsid w:val="0023065C"/>
    <w:rsid w:val="00231E0A"/>
    <w:rsid w:val="00232675"/>
    <w:rsid w:val="00232944"/>
    <w:rsid w:val="00232AA5"/>
    <w:rsid w:val="00232FE6"/>
    <w:rsid w:val="002336A4"/>
    <w:rsid w:val="00235670"/>
    <w:rsid w:val="00235CFF"/>
    <w:rsid w:val="002360A9"/>
    <w:rsid w:val="00236B2B"/>
    <w:rsid w:val="00237828"/>
    <w:rsid w:val="00240069"/>
    <w:rsid w:val="00241510"/>
    <w:rsid w:val="002415C0"/>
    <w:rsid w:val="002418DE"/>
    <w:rsid w:val="00241D38"/>
    <w:rsid w:val="00242373"/>
    <w:rsid w:val="00242AD9"/>
    <w:rsid w:val="002436E4"/>
    <w:rsid w:val="00244353"/>
    <w:rsid w:val="00244CF7"/>
    <w:rsid w:val="00244E64"/>
    <w:rsid w:val="002450FD"/>
    <w:rsid w:val="002458B0"/>
    <w:rsid w:val="0024684E"/>
    <w:rsid w:val="00250B5F"/>
    <w:rsid w:val="0025144B"/>
    <w:rsid w:val="00251B37"/>
    <w:rsid w:val="002540E7"/>
    <w:rsid w:val="0025491A"/>
    <w:rsid w:val="00254DD8"/>
    <w:rsid w:val="0025513E"/>
    <w:rsid w:val="00255342"/>
    <w:rsid w:val="0025569F"/>
    <w:rsid w:val="002559A0"/>
    <w:rsid w:val="0025622B"/>
    <w:rsid w:val="002562CF"/>
    <w:rsid w:val="00256F4C"/>
    <w:rsid w:val="00257641"/>
    <w:rsid w:val="00260C5C"/>
    <w:rsid w:val="00261A11"/>
    <w:rsid w:val="00262523"/>
    <w:rsid w:val="00262FB0"/>
    <w:rsid w:val="00262FF9"/>
    <w:rsid w:val="00263325"/>
    <w:rsid w:val="0026492D"/>
    <w:rsid w:val="00264ABB"/>
    <w:rsid w:val="002650E7"/>
    <w:rsid w:val="00265718"/>
    <w:rsid w:val="00265B74"/>
    <w:rsid w:val="00266F2C"/>
    <w:rsid w:val="00266FA9"/>
    <w:rsid w:val="00267019"/>
    <w:rsid w:val="00267569"/>
    <w:rsid w:val="002706E2"/>
    <w:rsid w:val="00270BB4"/>
    <w:rsid w:val="00271251"/>
    <w:rsid w:val="00271568"/>
    <w:rsid w:val="00271CB3"/>
    <w:rsid w:val="00271F7E"/>
    <w:rsid w:val="00272167"/>
    <w:rsid w:val="0027250F"/>
    <w:rsid w:val="0027273E"/>
    <w:rsid w:val="00272FDC"/>
    <w:rsid w:val="00274BD5"/>
    <w:rsid w:val="00274E26"/>
    <w:rsid w:val="00275167"/>
    <w:rsid w:val="00275BB1"/>
    <w:rsid w:val="00275D6E"/>
    <w:rsid w:val="00276AE4"/>
    <w:rsid w:val="00276C59"/>
    <w:rsid w:val="00277847"/>
    <w:rsid w:val="002778E9"/>
    <w:rsid w:val="00277A3A"/>
    <w:rsid w:val="00280387"/>
    <w:rsid w:val="002806C8"/>
    <w:rsid w:val="0028095B"/>
    <w:rsid w:val="00281344"/>
    <w:rsid w:val="00281ED5"/>
    <w:rsid w:val="002825B4"/>
    <w:rsid w:val="00283DC3"/>
    <w:rsid w:val="00284925"/>
    <w:rsid w:val="00284B82"/>
    <w:rsid w:val="00285C70"/>
    <w:rsid w:val="0028612B"/>
    <w:rsid w:val="00286870"/>
    <w:rsid w:val="00286D85"/>
    <w:rsid w:val="00287B24"/>
    <w:rsid w:val="00287EBD"/>
    <w:rsid w:val="00290182"/>
    <w:rsid w:val="002902EB"/>
    <w:rsid w:val="00291A70"/>
    <w:rsid w:val="00291FEA"/>
    <w:rsid w:val="0029205F"/>
    <w:rsid w:val="0029226C"/>
    <w:rsid w:val="0029275E"/>
    <w:rsid w:val="0029347E"/>
    <w:rsid w:val="00293B15"/>
    <w:rsid w:val="00293F46"/>
    <w:rsid w:val="00294B4D"/>
    <w:rsid w:val="00295724"/>
    <w:rsid w:val="00296259"/>
    <w:rsid w:val="002965CC"/>
    <w:rsid w:val="00296792"/>
    <w:rsid w:val="00297C58"/>
    <w:rsid w:val="002A05E9"/>
    <w:rsid w:val="002A119F"/>
    <w:rsid w:val="002A15C2"/>
    <w:rsid w:val="002A2A3B"/>
    <w:rsid w:val="002A5E93"/>
    <w:rsid w:val="002A612F"/>
    <w:rsid w:val="002A6C64"/>
    <w:rsid w:val="002A7A39"/>
    <w:rsid w:val="002A7D5A"/>
    <w:rsid w:val="002B0622"/>
    <w:rsid w:val="002B17BF"/>
    <w:rsid w:val="002B1ABD"/>
    <w:rsid w:val="002B1D45"/>
    <w:rsid w:val="002B23DB"/>
    <w:rsid w:val="002B25AC"/>
    <w:rsid w:val="002B2FB7"/>
    <w:rsid w:val="002B329B"/>
    <w:rsid w:val="002B34B4"/>
    <w:rsid w:val="002B3781"/>
    <w:rsid w:val="002B37AE"/>
    <w:rsid w:val="002B3B07"/>
    <w:rsid w:val="002B3CB0"/>
    <w:rsid w:val="002B4CBE"/>
    <w:rsid w:val="002B4F48"/>
    <w:rsid w:val="002B61FC"/>
    <w:rsid w:val="002B6945"/>
    <w:rsid w:val="002B7697"/>
    <w:rsid w:val="002B7A31"/>
    <w:rsid w:val="002C052A"/>
    <w:rsid w:val="002C0672"/>
    <w:rsid w:val="002C13C8"/>
    <w:rsid w:val="002C1B43"/>
    <w:rsid w:val="002C1F7D"/>
    <w:rsid w:val="002C32A3"/>
    <w:rsid w:val="002C34C5"/>
    <w:rsid w:val="002C361A"/>
    <w:rsid w:val="002C427C"/>
    <w:rsid w:val="002C481E"/>
    <w:rsid w:val="002C4B57"/>
    <w:rsid w:val="002C6A8A"/>
    <w:rsid w:val="002D014D"/>
    <w:rsid w:val="002D0218"/>
    <w:rsid w:val="002D2110"/>
    <w:rsid w:val="002D242C"/>
    <w:rsid w:val="002D45E9"/>
    <w:rsid w:val="002D472B"/>
    <w:rsid w:val="002D5779"/>
    <w:rsid w:val="002D652E"/>
    <w:rsid w:val="002D6AE0"/>
    <w:rsid w:val="002D6BF4"/>
    <w:rsid w:val="002D6ED4"/>
    <w:rsid w:val="002D76B6"/>
    <w:rsid w:val="002E0454"/>
    <w:rsid w:val="002E08E1"/>
    <w:rsid w:val="002E1B8A"/>
    <w:rsid w:val="002E40F1"/>
    <w:rsid w:val="002E47C6"/>
    <w:rsid w:val="002E4916"/>
    <w:rsid w:val="002E4FAA"/>
    <w:rsid w:val="002E5534"/>
    <w:rsid w:val="002E62AE"/>
    <w:rsid w:val="002F1D84"/>
    <w:rsid w:val="002F3555"/>
    <w:rsid w:val="002F5087"/>
    <w:rsid w:val="002F547F"/>
    <w:rsid w:val="002F5A40"/>
    <w:rsid w:val="002F627D"/>
    <w:rsid w:val="002F659B"/>
    <w:rsid w:val="002F6D56"/>
    <w:rsid w:val="002F6DD3"/>
    <w:rsid w:val="002F6F91"/>
    <w:rsid w:val="002F71C1"/>
    <w:rsid w:val="0030082B"/>
    <w:rsid w:val="00300ED2"/>
    <w:rsid w:val="00301BDB"/>
    <w:rsid w:val="00302490"/>
    <w:rsid w:val="00302F64"/>
    <w:rsid w:val="00304737"/>
    <w:rsid w:val="00304A30"/>
    <w:rsid w:val="00304F55"/>
    <w:rsid w:val="0030653E"/>
    <w:rsid w:val="00306A18"/>
    <w:rsid w:val="003072A7"/>
    <w:rsid w:val="003074A8"/>
    <w:rsid w:val="00307EC2"/>
    <w:rsid w:val="003107DC"/>
    <w:rsid w:val="00310F49"/>
    <w:rsid w:val="003122A7"/>
    <w:rsid w:val="00312F55"/>
    <w:rsid w:val="0031337C"/>
    <w:rsid w:val="0031459E"/>
    <w:rsid w:val="00314768"/>
    <w:rsid w:val="003153D0"/>
    <w:rsid w:val="00315549"/>
    <w:rsid w:val="0031607F"/>
    <w:rsid w:val="00316261"/>
    <w:rsid w:val="003162C4"/>
    <w:rsid w:val="00316ACE"/>
    <w:rsid w:val="00316C5F"/>
    <w:rsid w:val="003174EB"/>
    <w:rsid w:val="003179D7"/>
    <w:rsid w:val="00320312"/>
    <w:rsid w:val="00321131"/>
    <w:rsid w:val="00321DE2"/>
    <w:rsid w:val="00321F3B"/>
    <w:rsid w:val="003222B9"/>
    <w:rsid w:val="00322FFB"/>
    <w:rsid w:val="003230DE"/>
    <w:rsid w:val="00325D11"/>
    <w:rsid w:val="00326DAE"/>
    <w:rsid w:val="00326FCC"/>
    <w:rsid w:val="0032711A"/>
    <w:rsid w:val="00330427"/>
    <w:rsid w:val="00332502"/>
    <w:rsid w:val="0033261A"/>
    <w:rsid w:val="00333C7D"/>
    <w:rsid w:val="00334503"/>
    <w:rsid w:val="00334772"/>
    <w:rsid w:val="00335AF1"/>
    <w:rsid w:val="0033684E"/>
    <w:rsid w:val="00336A07"/>
    <w:rsid w:val="003373D3"/>
    <w:rsid w:val="003378D8"/>
    <w:rsid w:val="00340208"/>
    <w:rsid w:val="003407A1"/>
    <w:rsid w:val="003407B7"/>
    <w:rsid w:val="003408AD"/>
    <w:rsid w:val="00341061"/>
    <w:rsid w:val="0034162B"/>
    <w:rsid w:val="00342FCE"/>
    <w:rsid w:val="00345200"/>
    <w:rsid w:val="00345CD2"/>
    <w:rsid w:val="0034622F"/>
    <w:rsid w:val="003503C6"/>
    <w:rsid w:val="00350CA6"/>
    <w:rsid w:val="003515D5"/>
    <w:rsid w:val="00351BAB"/>
    <w:rsid w:val="00352BCE"/>
    <w:rsid w:val="00353DBA"/>
    <w:rsid w:val="00353ECA"/>
    <w:rsid w:val="003547CB"/>
    <w:rsid w:val="003553CD"/>
    <w:rsid w:val="0035556A"/>
    <w:rsid w:val="0035639E"/>
    <w:rsid w:val="003567A8"/>
    <w:rsid w:val="00356FC3"/>
    <w:rsid w:val="00357980"/>
    <w:rsid w:val="00357EBC"/>
    <w:rsid w:val="00360FA3"/>
    <w:rsid w:val="0036145A"/>
    <w:rsid w:val="00361E6E"/>
    <w:rsid w:val="003622DF"/>
    <w:rsid w:val="003627F3"/>
    <w:rsid w:val="00363BE7"/>
    <w:rsid w:val="003641CD"/>
    <w:rsid w:val="003649F9"/>
    <w:rsid w:val="00364A7E"/>
    <w:rsid w:val="00366093"/>
    <w:rsid w:val="00367645"/>
    <w:rsid w:val="00367DE1"/>
    <w:rsid w:val="00367F06"/>
    <w:rsid w:val="0037086F"/>
    <w:rsid w:val="00370962"/>
    <w:rsid w:val="00370AC2"/>
    <w:rsid w:val="003717DD"/>
    <w:rsid w:val="00372F51"/>
    <w:rsid w:val="00373A3A"/>
    <w:rsid w:val="00373B3D"/>
    <w:rsid w:val="00373B5D"/>
    <w:rsid w:val="00373D4A"/>
    <w:rsid w:val="00374186"/>
    <w:rsid w:val="00375976"/>
    <w:rsid w:val="00375C52"/>
    <w:rsid w:val="00376C22"/>
    <w:rsid w:val="0037753F"/>
    <w:rsid w:val="00381558"/>
    <w:rsid w:val="0038255C"/>
    <w:rsid w:val="00382F17"/>
    <w:rsid w:val="00383367"/>
    <w:rsid w:val="00387AEE"/>
    <w:rsid w:val="00387DED"/>
    <w:rsid w:val="0039007E"/>
    <w:rsid w:val="00390742"/>
    <w:rsid w:val="003911A6"/>
    <w:rsid w:val="00394C69"/>
    <w:rsid w:val="00395791"/>
    <w:rsid w:val="00395D92"/>
    <w:rsid w:val="00396656"/>
    <w:rsid w:val="00396689"/>
    <w:rsid w:val="003969AE"/>
    <w:rsid w:val="003A0C90"/>
    <w:rsid w:val="003A18D6"/>
    <w:rsid w:val="003A2F4D"/>
    <w:rsid w:val="003A3757"/>
    <w:rsid w:val="003A3AB8"/>
    <w:rsid w:val="003A446A"/>
    <w:rsid w:val="003A4928"/>
    <w:rsid w:val="003A4CCD"/>
    <w:rsid w:val="003A4F42"/>
    <w:rsid w:val="003A5562"/>
    <w:rsid w:val="003A5BD1"/>
    <w:rsid w:val="003A5C34"/>
    <w:rsid w:val="003A6895"/>
    <w:rsid w:val="003A74E6"/>
    <w:rsid w:val="003A79E7"/>
    <w:rsid w:val="003A7BD1"/>
    <w:rsid w:val="003B0F9D"/>
    <w:rsid w:val="003B14CC"/>
    <w:rsid w:val="003B16A7"/>
    <w:rsid w:val="003B1A0E"/>
    <w:rsid w:val="003B2801"/>
    <w:rsid w:val="003B2EFA"/>
    <w:rsid w:val="003B3CEA"/>
    <w:rsid w:val="003B4C1A"/>
    <w:rsid w:val="003B4D26"/>
    <w:rsid w:val="003B538F"/>
    <w:rsid w:val="003B63DA"/>
    <w:rsid w:val="003C0A06"/>
    <w:rsid w:val="003C134C"/>
    <w:rsid w:val="003C175F"/>
    <w:rsid w:val="003C1770"/>
    <w:rsid w:val="003C19B5"/>
    <w:rsid w:val="003C229E"/>
    <w:rsid w:val="003C2962"/>
    <w:rsid w:val="003C3CE6"/>
    <w:rsid w:val="003C4710"/>
    <w:rsid w:val="003C61DF"/>
    <w:rsid w:val="003D0A55"/>
    <w:rsid w:val="003D0E79"/>
    <w:rsid w:val="003D1588"/>
    <w:rsid w:val="003D1D04"/>
    <w:rsid w:val="003D44AB"/>
    <w:rsid w:val="003D5FD1"/>
    <w:rsid w:val="003D61F6"/>
    <w:rsid w:val="003D64DB"/>
    <w:rsid w:val="003D6823"/>
    <w:rsid w:val="003D68B5"/>
    <w:rsid w:val="003D6B09"/>
    <w:rsid w:val="003D7004"/>
    <w:rsid w:val="003D7CAD"/>
    <w:rsid w:val="003E029A"/>
    <w:rsid w:val="003E0EFB"/>
    <w:rsid w:val="003E175A"/>
    <w:rsid w:val="003E273B"/>
    <w:rsid w:val="003E2DE6"/>
    <w:rsid w:val="003E33CC"/>
    <w:rsid w:val="003E3861"/>
    <w:rsid w:val="003E416C"/>
    <w:rsid w:val="003E421E"/>
    <w:rsid w:val="003E4A8A"/>
    <w:rsid w:val="003E575D"/>
    <w:rsid w:val="003E5788"/>
    <w:rsid w:val="003E657A"/>
    <w:rsid w:val="003E6AF5"/>
    <w:rsid w:val="003E6D03"/>
    <w:rsid w:val="003F009B"/>
    <w:rsid w:val="003F076D"/>
    <w:rsid w:val="003F0A66"/>
    <w:rsid w:val="003F2453"/>
    <w:rsid w:val="003F24FB"/>
    <w:rsid w:val="003F41EC"/>
    <w:rsid w:val="003F4708"/>
    <w:rsid w:val="003F65E8"/>
    <w:rsid w:val="003F6901"/>
    <w:rsid w:val="003F6C8C"/>
    <w:rsid w:val="003F6D38"/>
    <w:rsid w:val="003F708D"/>
    <w:rsid w:val="00400B84"/>
    <w:rsid w:val="00400C3F"/>
    <w:rsid w:val="00400CD6"/>
    <w:rsid w:val="00401B68"/>
    <w:rsid w:val="00401C72"/>
    <w:rsid w:val="00402AF4"/>
    <w:rsid w:val="004030D8"/>
    <w:rsid w:val="00403180"/>
    <w:rsid w:val="00403360"/>
    <w:rsid w:val="004037FD"/>
    <w:rsid w:val="00404184"/>
    <w:rsid w:val="00404D9D"/>
    <w:rsid w:val="00405A09"/>
    <w:rsid w:val="00405D74"/>
    <w:rsid w:val="00406371"/>
    <w:rsid w:val="004068DB"/>
    <w:rsid w:val="00406D11"/>
    <w:rsid w:val="00407732"/>
    <w:rsid w:val="00411475"/>
    <w:rsid w:val="00411EFB"/>
    <w:rsid w:val="00412B56"/>
    <w:rsid w:val="00413549"/>
    <w:rsid w:val="00414B90"/>
    <w:rsid w:val="00416296"/>
    <w:rsid w:val="004167D7"/>
    <w:rsid w:val="00416E81"/>
    <w:rsid w:val="00417371"/>
    <w:rsid w:val="004175F1"/>
    <w:rsid w:val="00417889"/>
    <w:rsid w:val="004178BE"/>
    <w:rsid w:val="00417D31"/>
    <w:rsid w:val="00423450"/>
    <w:rsid w:val="00424330"/>
    <w:rsid w:val="00424F05"/>
    <w:rsid w:val="00426030"/>
    <w:rsid w:val="0042624E"/>
    <w:rsid w:val="00426861"/>
    <w:rsid w:val="00426BF0"/>
    <w:rsid w:val="0042700B"/>
    <w:rsid w:val="00427423"/>
    <w:rsid w:val="0042793C"/>
    <w:rsid w:val="00427CD9"/>
    <w:rsid w:val="00431315"/>
    <w:rsid w:val="00432AAF"/>
    <w:rsid w:val="00433150"/>
    <w:rsid w:val="00433E09"/>
    <w:rsid w:val="00434698"/>
    <w:rsid w:val="00434CEE"/>
    <w:rsid w:val="00435AD3"/>
    <w:rsid w:val="00435EEF"/>
    <w:rsid w:val="00437D98"/>
    <w:rsid w:val="00440BA4"/>
    <w:rsid w:val="00440FE5"/>
    <w:rsid w:val="004430E4"/>
    <w:rsid w:val="00443FBF"/>
    <w:rsid w:val="00444169"/>
    <w:rsid w:val="00445D34"/>
    <w:rsid w:val="00446153"/>
    <w:rsid w:val="00446B84"/>
    <w:rsid w:val="004508EE"/>
    <w:rsid w:val="00450C75"/>
    <w:rsid w:val="00452786"/>
    <w:rsid w:val="004539EC"/>
    <w:rsid w:val="00453CB8"/>
    <w:rsid w:val="004546D8"/>
    <w:rsid w:val="00454745"/>
    <w:rsid w:val="00454D9A"/>
    <w:rsid w:val="00456720"/>
    <w:rsid w:val="00456775"/>
    <w:rsid w:val="0045775E"/>
    <w:rsid w:val="00457A30"/>
    <w:rsid w:val="0046052A"/>
    <w:rsid w:val="00461E68"/>
    <w:rsid w:val="004621AF"/>
    <w:rsid w:val="004625A0"/>
    <w:rsid w:val="004629DB"/>
    <w:rsid w:val="00462C4A"/>
    <w:rsid w:val="00462F43"/>
    <w:rsid w:val="0046302A"/>
    <w:rsid w:val="004633B8"/>
    <w:rsid w:val="0046395D"/>
    <w:rsid w:val="00463C16"/>
    <w:rsid w:val="00464B98"/>
    <w:rsid w:val="00465988"/>
    <w:rsid w:val="00466B2A"/>
    <w:rsid w:val="00466F85"/>
    <w:rsid w:val="0046781D"/>
    <w:rsid w:val="004705FD"/>
    <w:rsid w:val="004707AF"/>
    <w:rsid w:val="004712D6"/>
    <w:rsid w:val="004713AE"/>
    <w:rsid w:val="004713B0"/>
    <w:rsid w:val="00471508"/>
    <w:rsid w:val="00471ED6"/>
    <w:rsid w:val="004721D4"/>
    <w:rsid w:val="004728D8"/>
    <w:rsid w:val="004729A5"/>
    <w:rsid w:val="0047301F"/>
    <w:rsid w:val="00473050"/>
    <w:rsid w:val="00475171"/>
    <w:rsid w:val="004760D2"/>
    <w:rsid w:val="00476D9B"/>
    <w:rsid w:val="00480009"/>
    <w:rsid w:val="004802A3"/>
    <w:rsid w:val="00480C70"/>
    <w:rsid w:val="00481BFC"/>
    <w:rsid w:val="0048257A"/>
    <w:rsid w:val="00484052"/>
    <w:rsid w:val="004843E6"/>
    <w:rsid w:val="00484812"/>
    <w:rsid w:val="00484F7F"/>
    <w:rsid w:val="00485467"/>
    <w:rsid w:val="0048602D"/>
    <w:rsid w:val="00486345"/>
    <w:rsid w:val="0048674F"/>
    <w:rsid w:val="0048693C"/>
    <w:rsid w:val="00492296"/>
    <w:rsid w:val="00493CF2"/>
    <w:rsid w:val="00494ED4"/>
    <w:rsid w:val="00495303"/>
    <w:rsid w:val="00495CDA"/>
    <w:rsid w:val="00497418"/>
    <w:rsid w:val="004A000A"/>
    <w:rsid w:val="004A03F2"/>
    <w:rsid w:val="004A09FE"/>
    <w:rsid w:val="004A1935"/>
    <w:rsid w:val="004A2052"/>
    <w:rsid w:val="004A2AC5"/>
    <w:rsid w:val="004A3232"/>
    <w:rsid w:val="004A3424"/>
    <w:rsid w:val="004A36EE"/>
    <w:rsid w:val="004A41DC"/>
    <w:rsid w:val="004A4A04"/>
    <w:rsid w:val="004A5090"/>
    <w:rsid w:val="004A64C4"/>
    <w:rsid w:val="004A67C3"/>
    <w:rsid w:val="004A67D1"/>
    <w:rsid w:val="004A6C0F"/>
    <w:rsid w:val="004A7B93"/>
    <w:rsid w:val="004B015D"/>
    <w:rsid w:val="004B2462"/>
    <w:rsid w:val="004B2767"/>
    <w:rsid w:val="004B3132"/>
    <w:rsid w:val="004B34DC"/>
    <w:rsid w:val="004B3D85"/>
    <w:rsid w:val="004B408B"/>
    <w:rsid w:val="004B446F"/>
    <w:rsid w:val="004B4481"/>
    <w:rsid w:val="004B6092"/>
    <w:rsid w:val="004B6914"/>
    <w:rsid w:val="004B6DCE"/>
    <w:rsid w:val="004B6DCF"/>
    <w:rsid w:val="004B71E7"/>
    <w:rsid w:val="004B7D2B"/>
    <w:rsid w:val="004B7DAF"/>
    <w:rsid w:val="004C0411"/>
    <w:rsid w:val="004C0464"/>
    <w:rsid w:val="004C0503"/>
    <w:rsid w:val="004C2E23"/>
    <w:rsid w:val="004C31DF"/>
    <w:rsid w:val="004C3347"/>
    <w:rsid w:val="004C34D3"/>
    <w:rsid w:val="004C3E25"/>
    <w:rsid w:val="004C413F"/>
    <w:rsid w:val="004C472F"/>
    <w:rsid w:val="004C4C87"/>
    <w:rsid w:val="004C5367"/>
    <w:rsid w:val="004C5478"/>
    <w:rsid w:val="004C6990"/>
    <w:rsid w:val="004C6E54"/>
    <w:rsid w:val="004C76C2"/>
    <w:rsid w:val="004D0AF1"/>
    <w:rsid w:val="004D1B2D"/>
    <w:rsid w:val="004D2B71"/>
    <w:rsid w:val="004D2C25"/>
    <w:rsid w:val="004D3681"/>
    <w:rsid w:val="004D3C64"/>
    <w:rsid w:val="004D437D"/>
    <w:rsid w:val="004D4E22"/>
    <w:rsid w:val="004D4E3C"/>
    <w:rsid w:val="004D50AF"/>
    <w:rsid w:val="004D5E36"/>
    <w:rsid w:val="004D5FEF"/>
    <w:rsid w:val="004D6645"/>
    <w:rsid w:val="004D6ED7"/>
    <w:rsid w:val="004D6FD3"/>
    <w:rsid w:val="004D7644"/>
    <w:rsid w:val="004E13B0"/>
    <w:rsid w:val="004E205A"/>
    <w:rsid w:val="004E2221"/>
    <w:rsid w:val="004E2B95"/>
    <w:rsid w:val="004E2DCE"/>
    <w:rsid w:val="004E2FB1"/>
    <w:rsid w:val="004E39BF"/>
    <w:rsid w:val="004E3D14"/>
    <w:rsid w:val="004E3E9E"/>
    <w:rsid w:val="004E4845"/>
    <w:rsid w:val="004E572C"/>
    <w:rsid w:val="004E5C0F"/>
    <w:rsid w:val="004E688A"/>
    <w:rsid w:val="004E695B"/>
    <w:rsid w:val="004E77EA"/>
    <w:rsid w:val="004E7C09"/>
    <w:rsid w:val="004F14BB"/>
    <w:rsid w:val="004F24BF"/>
    <w:rsid w:val="004F2B03"/>
    <w:rsid w:val="004F2B6E"/>
    <w:rsid w:val="004F2E52"/>
    <w:rsid w:val="004F3C2B"/>
    <w:rsid w:val="004F455C"/>
    <w:rsid w:val="004F57BB"/>
    <w:rsid w:val="004F5A11"/>
    <w:rsid w:val="004F5D4F"/>
    <w:rsid w:val="004F66C0"/>
    <w:rsid w:val="004F7C30"/>
    <w:rsid w:val="004F7D69"/>
    <w:rsid w:val="00500A13"/>
    <w:rsid w:val="00500F45"/>
    <w:rsid w:val="0050132A"/>
    <w:rsid w:val="005015CF"/>
    <w:rsid w:val="0050216B"/>
    <w:rsid w:val="00504299"/>
    <w:rsid w:val="00504342"/>
    <w:rsid w:val="005053E8"/>
    <w:rsid w:val="00505DF0"/>
    <w:rsid w:val="00506748"/>
    <w:rsid w:val="005068B5"/>
    <w:rsid w:val="005109CC"/>
    <w:rsid w:val="00510FE4"/>
    <w:rsid w:val="00511048"/>
    <w:rsid w:val="00511247"/>
    <w:rsid w:val="00511430"/>
    <w:rsid w:val="005118B0"/>
    <w:rsid w:val="005119A4"/>
    <w:rsid w:val="00511A72"/>
    <w:rsid w:val="0051203C"/>
    <w:rsid w:val="00512308"/>
    <w:rsid w:val="00512369"/>
    <w:rsid w:val="00513088"/>
    <w:rsid w:val="00513091"/>
    <w:rsid w:val="0051352B"/>
    <w:rsid w:val="005144A2"/>
    <w:rsid w:val="00514D14"/>
    <w:rsid w:val="00514D3C"/>
    <w:rsid w:val="00514F4F"/>
    <w:rsid w:val="005152E9"/>
    <w:rsid w:val="00515C75"/>
    <w:rsid w:val="00515E52"/>
    <w:rsid w:val="00516D5A"/>
    <w:rsid w:val="00516F18"/>
    <w:rsid w:val="005170E1"/>
    <w:rsid w:val="00517C15"/>
    <w:rsid w:val="00520152"/>
    <w:rsid w:val="005217C5"/>
    <w:rsid w:val="00521AB7"/>
    <w:rsid w:val="00521E6D"/>
    <w:rsid w:val="0052207E"/>
    <w:rsid w:val="005225FC"/>
    <w:rsid w:val="00522921"/>
    <w:rsid w:val="00522CB6"/>
    <w:rsid w:val="00523609"/>
    <w:rsid w:val="005244B1"/>
    <w:rsid w:val="00525065"/>
    <w:rsid w:val="00525175"/>
    <w:rsid w:val="005264D4"/>
    <w:rsid w:val="0052754F"/>
    <w:rsid w:val="0052769F"/>
    <w:rsid w:val="00527BF5"/>
    <w:rsid w:val="00527D8E"/>
    <w:rsid w:val="00527D9A"/>
    <w:rsid w:val="00530341"/>
    <w:rsid w:val="005303FB"/>
    <w:rsid w:val="00531616"/>
    <w:rsid w:val="00533043"/>
    <w:rsid w:val="0053319E"/>
    <w:rsid w:val="00533578"/>
    <w:rsid w:val="00533853"/>
    <w:rsid w:val="00533FDC"/>
    <w:rsid w:val="00534DC5"/>
    <w:rsid w:val="00534F1D"/>
    <w:rsid w:val="005352F4"/>
    <w:rsid w:val="00535642"/>
    <w:rsid w:val="00536301"/>
    <w:rsid w:val="00536527"/>
    <w:rsid w:val="00540392"/>
    <w:rsid w:val="005413EA"/>
    <w:rsid w:val="00541931"/>
    <w:rsid w:val="00541ACD"/>
    <w:rsid w:val="00541D52"/>
    <w:rsid w:val="0054254E"/>
    <w:rsid w:val="0054416E"/>
    <w:rsid w:val="005444A1"/>
    <w:rsid w:val="00545073"/>
    <w:rsid w:val="005457CD"/>
    <w:rsid w:val="0054611D"/>
    <w:rsid w:val="00546405"/>
    <w:rsid w:val="005465A8"/>
    <w:rsid w:val="00547824"/>
    <w:rsid w:val="00547FF3"/>
    <w:rsid w:val="005503B9"/>
    <w:rsid w:val="0055056F"/>
    <w:rsid w:val="00550617"/>
    <w:rsid w:val="00552DE2"/>
    <w:rsid w:val="0055384D"/>
    <w:rsid w:val="00555C7C"/>
    <w:rsid w:val="00555EA5"/>
    <w:rsid w:val="00555F91"/>
    <w:rsid w:val="00556157"/>
    <w:rsid w:val="005561B5"/>
    <w:rsid w:val="00556870"/>
    <w:rsid w:val="005575E9"/>
    <w:rsid w:val="00557773"/>
    <w:rsid w:val="00557EBD"/>
    <w:rsid w:val="00560326"/>
    <w:rsid w:val="00561222"/>
    <w:rsid w:val="00561F24"/>
    <w:rsid w:val="0056238E"/>
    <w:rsid w:val="00562F7C"/>
    <w:rsid w:val="005638BB"/>
    <w:rsid w:val="00563BBD"/>
    <w:rsid w:val="00563C4C"/>
    <w:rsid w:val="00563FD3"/>
    <w:rsid w:val="0056419A"/>
    <w:rsid w:val="005642FE"/>
    <w:rsid w:val="00564586"/>
    <w:rsid w:val="00564F31"/>
    <w:rsid w:val="0056704C"/>
    <w:rsid w:val="00567778"/>
    <w:rsid w:val="005703A8"/>
    <w:rsid w:val="00570B47"/>
    <w:rsid w:val="0057104B"/>
    <w:rsid w:val="00571D1F"/>
    <w:rsid w:val="00572F4D"/>
    <w:rsid w:val="00573EEF"/>
    <w:rsid w:val="00574A2D"/>
    <w:rsid w:val="00574BEB"/>
    <w:rsid w:val="00574C1B"/>
    <w:rsid w:val="00574C56"/>
    <w:rsid w:val="0057527E"/>
    <w:rsid w:val="00575C4E"/>
    <w:rsid w:val="0057608B"/>
    <w:rsid w:val="005760DF"/>
    <w:rsid w:val="005764F2"/>
    <w:rsid w:val="00576A29"/>
    <w:rsid w:val="00577967"/>
    <w:rsid w:val="00580CC1"/>
    <w:rsid w:val="0058223C"/>
    <w:rsid w:val="005835E5"/>
    <w:rsid w:val="00583F6F"/>
    <w:rsid w:val="00584379"/>
    <w:rsid w:val="00584819"/>
    <w:rsid w:val="00584D76"/>
    <w:rsid w:val="00585F1C"/>
    <w:rsid w:val="00586E85"/>
    <w:rsid w:val="00587237"/>
    <w:rsid w:val="00587437"/>
    <w:rsid w:val="00587504"/>
    <w:rsid w:val="00587EAE"/>
    <w:rsid w:val="0059000B"/>
    <w:rsid w:val="00590BE5"/>
    <w:rsid w:val="00590DCF"/>
    <w:rsid w:val="0059235F"/>
    <w:rsid w:val="00592541"/>
    <w:rsid w:val="00592A14"/>
    <w:rsid w:val="00593019"/>
    <w:rsid w:val="00593081"/>
    <w:rsid w:val="005932E7"/>
    <w:rsid w:val="005942A3"/>
    <w:rsid w:val="005945B3"/>
    <w:rsid w:val="00596369"/>
    <w:rsid w:val="00596617"/>
    <w:rsid w:val="00596BFA"/>
    <w:rsid w:val="005A0734"/>
    <w:rsid w:val="005A1D53"/>
    <w:rsid w:val="005A212C"/>
    <w:rsid w:val="005A33CF"/>
    <w:rsid w:val="005A4560"/>
    <w:rsid w:val="005A48D9"/>
    <w:rsid w:val="005A514B"/>
    <w:rsid w:val="005A5827"/>
    <w:rsid w:val="005A5BBE"/>
    <w:rsid w:val="005A5BDC"/>
    <w:rsid w:val="005A5F32"/>
    <w:rsid w:val="005A60F6"/>
    <w:rsid w:val="005A75B3"/>
    <w:rsid w:val="005A75D9"/>
    <w:rsid w:val="005A76E6"/>
    <w:rsid w:val="005A7CB2"/>
    <w:rsid w:val="005B050C"/>
    <w:rsid w:val="005B0855"/>
    <w:rsid w:val="005B0EA8"/>
    <w:rsid w:val="005B11C3"/>
    <w:rsid w:val="005B3856"/>
    <w:rsid w:val="005B5CA4"/>
    <w:rsid w:val="005B5DF4"/>
    <w:rsid w:val="005B716A"/>
    <w:rsid w:val="005B79A7"/>
    <w:rsid w:val="005C0678"/>
    <w:rsid w:val="005C15FA"/>
    <w:rsid w:val="005C2078"/>
    <w:rsid w:val="005C2F75"/>
    <w:rsid w:val="005C3232"/>
    <w:rsid w:val="005C3DCA"/>
    <w:rsid w:val="005C486B"/>
    <w:rsid w:val="005C4F23"/>
    <w:rsid w:val="005C51EE"/>
    <w:rsid w:val="005C55CD"/>
    <w:rsid w:val="005C5820"/>
    <w:rsid w:val="005C6559"/>
    <w:rsid w:val="005C6AC5"/>
    <w:rsid w:val="005C7F60"/>
    <w:rsid w:val="005D0400"/>
    <w:rsid w:val="005D0830"/>
    <w:rsid w:val="005D1144"/>
    <w:rsid w:val="005D1462"/>
    <w:rsid w:val="005D238D"/>
    <w:rsid w:val="005D2391"/>
    <w:rsid w:val="005D2446"/>
    <w:rsid w:val="005D33CC"/>
    <w:rsid w:val="005D3B0F"/>
    <w:rsid w:val="005D41CA"/>
    <w:rsid w:val="005D479D"/>
    <w:rsid w:val="005D525B"/>
    <w:rsid w:val="005D621C"/>
    <w:rsid w:val="005D668A"/>
    <w:rsid w:val="005D6A4E"/>
    <w:rsid w:val="005D6B4D"/>
    <w:rsid w:val="005D7A86"/>
    <w:rsid w:val="005E2BFA"/>
    <w:rsid w:val="005E3090"/>
    <w:rsid w:val="005E3162"/>
    <w:rsid w:val="005E35DB"/>
    <w:rsid w:val="005E45F4"/>
    <w:rsid w:val="005E47FB"/>
    <w:rsid w:val="005E523E"/>
    <w:rsid w:val="005E69B2"/>
    <w:rsid w:val="005E7B0A"/>
    <w:rsid w:val="005E7E4C"/>
    <w:rsid w:val="005E7FD4"/>
    <w:rsid w:val="005F17D1"/>
    <w:rsid w:val="005F2339"/>
    <w:rsid w:val="005F2433"/>
    <w:rsid w:val="005F2D38"/>
    <w:rsid w:val="005F3CE2"/>
    <w:rsid w:val="005F3FCF"/>
    <w:rsid w:val="005F4043"/>
    <w:rsid w:val="005F45A1"/>
    <w:rsid w:val="005F4E39"/>
    <w:rsid w:val="005F59D2"/>
    <w:rsid w:val="005F5FEE"/>
    <w:rsid w:val="005F7210"/>
    <w:rsid w:val="005F7444"/>
    <w:rsid w:val="005F7799"/>
    <w:rsid w:val="005F79D8"/>
    <w:rsid w:val="0060113D"/>
    <w:rsid w:val="00601D43"/>
    <w:rsid w:val="00602649"/>
    <w:rsid w:val="00602BF0"/>
    <w:rsid w:val="00602DAA"/>
    <w:rsid w:val="00602DE6"/>
    <w:rsid w:val="00604C13"/>
    <w:rsid w:val="0060593F"/>
    <w:rsid w:val="00605ED9"/>
    <w:rsid w:val="00605F17"/>
    <w:rsid w:val="006060B0"/>
    <w:rsid w:val="00607B0B"/>
    <w:rsid w:val="006100C7"/>
    <w:rsid w:val="00611C09"/>
    <w:rsid w:val="00612C45"/>
    <w:rsid w:val="00612DCE"/>
    <w:rsid w:val="00613011"/>
    <w:rsid w:val="00613A40"/>
    <w:rsid w:val="006142A2"/>
    <w:rsid w:val="006146EB"/>
    <w:rsid w:val="00615683"/>
    <w:rsid w:val="00615C96"/>
    <w:rsid w:val="006163EE"/>
    <w:rsid w:val="0061672F"/>
    <w:rsid w:val="00616E21"/>
    <w:rsid w:val="00617D55"/>
    <w:rsid w:val="006201F9"/>
    <w:rsid w:val="00620274"/>
    <w:rsid w:val="00620C2C"/>
    <w:rsid w:val="0062131B"/>
    <w:rsid w:val="0062180E"/>
    <w:rsid w:val="00621ADB"/>
    <w:rsid w:val="00622BA9"/>
    <w:rsid w:val="00623AA3"/>
    <w:rsid w:val="00624220"/>
    <w:rsid w:val="00624DF0"/>
    <w:rsid w:val="00624FD9"/>
    <w:rsid w:val="00625008"/>
    <w:rsid w:val="00625A9F"/>
    <w:rsid w:val="00625AD4"/>
    <w:rsid w:val="00626113"/>
    <w:rsid w:val="00626139"/>
    <w:rsid w:val="00626951"/>
    <w:rsid w:val="00627562"/>
    <w:rsid w:val="0062789B"/>
    <w:rsid w:val="00630EE4"/>
    <w:rsid w:val="0063120B"/>
    <w:rsid w:val="00632254"/>
    <w:rsid w:val="006333B1"/>
    <w:rsid w:val="0063354F"/>
    <w:rsid w:val="00633C66"/>
    <w:rsid w:val="006340BC"/>
    <w:rsid w:val="0063473D"/>
    <w:rsid w:val="006348BF"/>
    <w:rsid w:val="00634F49"/>
    <w:rsid w:val="00635694"/>
    <w:rsid w:val="006366DF"/>
    <w:rsid w:val="00636734"/>
    <w:rsid w:val="00636A76"/>
    <w:rsid w:val="00636F32"/>
    <w:rsid w:val="00637102"/>
    <w:rsid w:val="006372C0"/>
    <w:rsid w:val="00637E0A"/>
    <w:rsid w:val="00640009"/>
    <w:rsid w:val="00641A97"/>
    <w:rsid w:val="00641EEA"/>
    <w:rsid w:val="00642459"/>
    <w:rsid w:val="00642904"/>
    <w:rsid w:val="006429D6"/>
    <w:rsid w:val="00643F30"/>
    <w:rsid w:val="006443A4"/>
    <w:rsid w:val="00644D31"/>
    <w:rsid w:val="00644F9F"/>
    <w:rsid w:val="006459AC"/>
    <w:rsid w:val="00646126"/>
    <w:rsid w:val="0064667C"/>
    <w:rsid w:val="00646834"/>
    <w:rsid w:val="00646836"/>
    <w:rsid w:val="00646878"/>
    <w:rsid w:val="006473C1"/>
    <w:rsid w:val="00650B44"/>
    <w:rsid w:val="00651E0A"/>
    <w:rsid w:val="00651FE1"/>
    <w:rsid w:val="00652BE6"/>
    <w:rsid w:val="00653C9F"/>
    <w:rsid w:val="006552C1"/>
    <w:rsid w:val="006558D0"/>
    <w:rsid w:val="00655DB4"/>
    <w:rsid w:val="006570F2"/>
    <w:rsid w:val="0065753F"/>
    <w:rsid w:val="00660D91"/>
    <w:rsid w:val="00661104"/>
    <w:rsid w:val="00662E50"/>
    <w:rsid w:val="0066335B"/>
    <w:rsid w:val="00663F5C"/>
    <w:rsid w:val="00666A02"/>
    <w:rsid w:val="00666A1F"/>
    <w:rsid w:val="00666EEB"/>
    <w:rsid w:val="006672F7"/>
    <w:rsid w:val="006675FF"/>
    <w:rsid w:val="0066793B"/>
    <w:rsid w:val="006679D5"/>
    <w:rsid w:val="00667BFC"/>
    <w:rsid w:val="00670209"/>
    <w:rsid w:val="00670515"/>
    <w:rsid w:val="00670D29"/>
    <w:rsid w:val="00670FF4"/>
    <w:rsid w:val="006717E6"/>
    <w:rsid w:val="006723EF"/>
    <w:rsid w:val="006741D5"/>
    <w:rsid w:val="00674926"/>
    <w:rsid w:val="00674BA9"/>
    <w:rsid w:val="00674D36"/>
    <w:rsid w:val="00674E20"/>
    <w:rsid w:val="00675100"/>
    <w:rsid w:val="0067544B"/>
    <w:rsid w:val="006759DB"/>
    <w:rsid w:val="00675C7F"/>
    <w:rsid w:val="00676155"/>
    <w:rsid w:val="00677B62"/>
    <w:rsid w:val="00677B69"/>
    <w:rsid w:val="00680AD5"/>
    <w:rsid w:val="00680CE5"/>
    <w:rsid w:val="006813F9"/>
    <w:rsid w:val="006814FC"/>
    <w:rsid w:val="0068188B"/>
    <w:rsid w:val="0068203D"/>
    <w:rsid w:val="00682162"/>
    <w:rsid w:val="00682637"/>
    <w:rsid w:val="00682F00"/>
    <w:rsid w:val="00683846"/>
    <w:rsid w:val="00683EBA"/>
    <w:rsid w:val="00684BBF"/>
    <w:rsid w:val="00686BD9"/>
    <w:rsid w:val="00686E14"/>
    <w:rsid w:val="00687567"/>
    <w:rsid w:val="00691912"/>
    <w:rsid w:val="00692205"/>
    <w:rsid w:val="006928CC"/>
    <w:rsid w:val="006937F4"/>
    <w:rsid w:val="00693ED4"/>
    <w:rsid w:val="00695162"/>
    <w:rsid w:val="00695E60"/>
    <w:rsid w:val="00696220"/>
    <w:rsid w:val="00697158"/>
    <w:rsid w:val="006A0300"/>
    <w:rsid w:val="006A087F"/>
    <w:rsid w:val="006A0B1E"/>
    <w:rsid w:val="006A11BB"/>
    <w:rsid w:val="006A1385"/>
    <w:rsid w:val="006A1765"/>
    <w:rsid w:val="006A181B"/>
    <w:rsid w:val="006A2D7B"/>
    <w:rsid w:val="006A3184"/>
    <w:rsid w:val="006A3AEE"/>
    <w:rsid w:val="006A3B2C"/>
    <w:rsid w:val="006A40F7"/>
    <w:rsid w:val="006A45A5"/>
    <w:rsid w:val="006A52C3"/>
    <w:rsid w:val="006A61B1"/>
    <w:rsid w:val="006A63D7"/>
    <w:rsid w:val="006A6962"/>
    <w:rsid w:val="006B1928"/>
    <w:rsid w:val="006B2AC2"/>
    <w:rsid w:val="006B2BE3"/>
    <w:rsid w:val="006B3781"/>
    <w:rsid w:val="006B3826"/>
    <w:rsid w:val="006B3A43"/>
    <w:rsid w:val="006B3E1B"/>
    <w:rsid w:val="006B4D90"/>
    <w:rsid w:val="006B72BC"/>
    <w:rsid w:val="006B7BA0"/>
    <w:rsid w:val="006B7CCF"/>
    <w:rsid w:val="006C071C"/>
    <w:rsid w:val="006C140A"/>
    <w:rsid w:val="006C1926"/>
    <w:rsid w:val="006C2051"/>
    <w:rsid w:val="006C28FB"/>
    <w:rsid w:val="006C3003"/>
    <w:rsid w:val="006C3AD8"/>
    <w:rsid w:val="006C46F2"/>
    <w:rsid w:val="006C527A"/>
    <w:rsid w:val="006C5B0F"/>
    <w:rsid w:val="006C65AB"/>
    <w:rsid w:val="006C6CAD"/>
    <w:rsid w:val="006C75E9"/>
    <w:rsid w:val="006D00B8"/>
    <w:rsid w:val="006D0395"/>
    <w:rsid w:val="006D04DE"/>
    <w:rsid w:val="006D1E8A"/>
    <w:rsid w:val="006D2BAB"/>
    <w:rsid w:val="006D303E"/>
    <w:rsid w:val="006D3133"/>
    <w:rsid w:val="006D3A89"/>
    <w:rsid w:val="006D3CC4"/>
    <w:rsid w:val="006D5B1E"/>
    <w:rsid w:val="006D5CB8"/>
    <w:rsid w:val="006D6064"/>
    <w:rsid w:val="006D6346"/>
    <w:rsid w:val="006D6CD1"/>
    <w:rsid w:val="006D7B99"/>
    <w:rsid w:val="006E0B03"/>
    <w:rsid w:val="006E0B95"/>
    <w:rsid w:val="006E3E24"/>
    <w:rsid w:val="006E4511"/>
    <w:rsid w:val="006E4FE3"/>
    <w:rsid w:val="006E67A0"/>
    <w:rsid w:val="006E7090"/>
    <w:rsid w:val="006E7D32"/>
    <w:rsid w:val="006E7D93"/>
    <w:rsid w:val="006F045C"/>
    <w:rsid w:val="006F0586"/>
    <w:rsid w:val="006F0C51"/>
    <w:rsid w:val="006F0DED"/>
    <w:rsid w:val="006F1479"/>
    <w:rsid w:val="006F195A"/>
    <w:rsid w:val="006F1967"/>
    <w:rsid w:val="006F1B6A"/>
    <w:rsid w:val="006F2EDD"/>
    <w:rsid w:val="006F4602"/>
    <w:rsid w:val="006F4A91"/>
    <w:rsid w:val="006F4E8C"/>
    <w:rsid w:val="006F61A9"/>
    <w:rsid w:val="006F61BC"/>
    <w:rsid w:val="006F6564"/>
    <w:rsid w:val="006F70EF"/>
    <w:rsid w:val="006F7190"/>
    <w:rsid w:val="006F7BA9"/>
    <w:rsid w:val="006F7F74"/>
    <w:rsid w:val="00700273"/>
    <w:rsid w:val="007007F4"/>
    <w:rsid w:val="00700C47"/>
    <w:rsid w:val="007010BE"/>
    <w:rsid w:val="00701711"/>
    <w:rsid w:val="00701F4F"/>
    <w:rsid w:val="00701F81"/>
    <w:rsid w:val="007025DB"/>
    <w:rsid w:val="007026F3"/>
    <w:rsid w:val="00702C4E"/>
    <w:rsid w:val="00702D48"/>
    <w:rsid w:val="00702F7B"/>
    <w:rsid w:val="00703773"/>
    <w:rsid w:val="00706B62"/>
    <w:rsid w:val="0071184B"/>
    <w:rsid w:val="00711B87"/>
    <w:rsid w:val="00711E46"/>
    <w:rsid w:val="00712159"/>
    <w:rsid w:val="00712930"/>
    <w:rsid w:val="007132E0"/>
    <w:rsid w:val="00713348"/>
    <w:rsid w:val="007135F0"/>
    <w:rsid w:val="007158FE"/>
    <w:rsid w:val="00717168"/>
    <w:rsid w:val="00720D4C"/>
    <w:rsid w:val="007231AD"/>
    <w:rsid w:val="007234ED"/>
    <w:rsid w:val="00723CCC"/>
    <w:rsid w:val="00724C2F"/>
    <w:rsid w:val="007252D7"/>
    <w:rsid w:val="007254E0"/>
    <w:rsid w:val="007259A0"/>
    <w:rsid w:val="0072633A"/>
    <w:rsid w:val="007263F0"/>
    <w:rsid w:val="00726979"/>
    <w:rsid w:val="0072699F"/>
    <w:rsid w:val="00726BEB"/>
    <w:rsid w:val="00726C5F"/>
    <w:rsid w:val="007307D0"/>
    <w:rsid w:val="007325B5"/>
    <w:rsid w:val="00732E68"/>
    <w:rsid w:val="0073326B"/>
    <w:rsid w:val="00733A92"/>
    <w:rsid w:val="00734C91"/>
    <w:rsid w:val="007351A2"/>
    <w:rsid w:val="00735A53"/>
    <w:rsid w:val="00736047"/>
    <w:rsid w:val="0073652B"/>
    <w:rsid w:val="007367C5"/>
    <w:rsid w:val="00736E44"/>
    <w:rsid w:val="00736FA8"/>
    <w:rsid w:val="007400D9"/>
    <w:rsid w:val="00740752"/>
    <w:rsid w:val="00740DD7"/>
    <w:rsid w:val="007422F4"/>
    <w:rsid w:val="007425CD"/>
    <w:rsid w:val="00742781"/>
    <w:rsid w:val="00742AF5"/>
    <w:rsid w:val="007430C0"/>
    <w:rsid w:val="007435D9"/>
    <w:rsid w:val="00743774"/>
    <w:rsid w:val="00743993"/>
    <w:rsid w:val="007447F8"/>
    <w:rsid w:val="00744F99"/>
    <w:rsid w:val="007451D6"/>
    <w:rsid w:val="00745606"/>
    <w:rsid w:val="00747417"/>
    <w:rsid w:val="00747452"/>
    <w:rsid w:val="00747AE0"/>
    <w:rsid w:val="00747C03"/>
    <w:rsid w:val="007507AE"/>
    <w:rsid w:val="0075092B"/>
    <w:rsid w:val="00751AB4"/>
    <w:rsid w:val="00751D36"/>
    <w:rsid w:val="0075205B"/>
    <w:rsid w:val="00752709"/>
    <w:rsid w:val="00752B9B"/>
    <w:rsid w:val="007532A4"/>
    <w:rsid w:val="007534B6"/>
    <w:rsid w:val="0075438A"/>
    <w:rsid w:val="007545E6"/>
    <w:rsid w:val="00754787"/>
    <w:rsid w:val="007568C3"/>
    <w:rsid w:val="007607EC"/>
    <w:rsid w:val="00760B99"/>
    <w:rsid w:val="007623B6"/>
    <w:rsid w:val="0076261B"/>
    <w:rsid w:val="007642B2"/>
    <w:rsid w:val="007643F4"/>
    <w:rsid w:val="00764628"/>
    <w:rsid w:val="0076721D"/>
    <w:rsid w:val="00767EE8"/>
    <w:rsid w:val="007701DB"/>
    <w:rsid w:val="00770615"/>
    <w:rsid w:val="007706E3"/>
    <w:rsid w:val="00770BA6"/>
    <w:rsid w:val="00770F39"/>
    <w:rsid w:val="00770FF6"/>
    <w:rsid w:val="00771152"/>
    <w:rsid w:val="00772A77"/>
    <w:rsid w:val="00773824"/>
    <w:rsid w:val="00773E1C"/>
    <w:rsid w:val="007743E0"/>
    <w:rsid w:val="00774865"/>
    <w:rsid w:val="00774AE5"/>
    <w:rsid w:val="00774B0F"/>
    <w:rsid w:val="00776DD5"/>
    <w:rsid w:val="007800E3"/>
    <w:rsid w:val="00781795"/>
    <w:rsid w:val="00782A5C"/>
    <w:rsid w:val="00782E47"/>
    <w:rsid w:val="00783EA6"/>
    <w:rsid w:val="00784757"/>
    <w:rsid w:val="00785252"/>
    <w:rsid w:val="00785614"/>
    <w:rsid w:val="00785D69"/>
    <w:rsid w:val="00786447"/>
    <w:rsid w:val="00786608"/>
    <w:rsid w:val="00787611"/>
    <w:rsid w:val="00791275"/>
    <w:rsid w:val="00791C88"/>
    <w:rsid w:val="00793523"/>
    <w:rsid w:val="007939CB"/>
    <w:rsid w:val="00794A24"/>
    <w:rsid w:val="00794C89"/>
    <w:rsid w:val="00795862"/>
    <w:rsid w:val="00796CC0"/>
    <w:rsid w:val="007A0251"/>
    <w:rsid w:val="007A0D16"/>
    <w:rsid w:val="007A2DC0"/>
    <w:rsid w:val="007A2E1A"/>
    <w:rsid w:val="007A3A84"/>
    <w:rsid w:val="007A4B75"/>
    <w:rsid w:val="007A5ADA"/>
    <w:rsid w:val="007A5D19"/>
    <w:rsid w:val="007A674E"/>
    <w:rsid w:val="007A6B9A"/>
    <w:rsid w:val="007A6BC1"/>
    <w:rsid w:val="007A702B"/>
    <w:rsid w:val="007A7A14"/>
    <w:rsid w:val="007A7CCF"/>
    <w:rsid w:val="007B0E17"/>
    <w:rsid w:val="007B201D"/>
    <w:rsid w:val="007B2416"/>
    <w:rsid w:val="007B2B0C"/>
    <w:rsid w:val="007B3B49"/>
    <w:rsid w:val="007B3CB2"/>
    <w:rsid w:val="007B5B44"/>
    <w:rsid w:val="007B5CDE"/>
    <w:rsid w:val="007B5DC1"/>
    <w:rsid w:val="007B636C"/>
    <w:rsid w:val="007B637A"/>
    <w:rsid w:val="007B652F"/>
    <w:rsid w:val="007B73C0"/>
    <w:rsid w:val="007B7424"/>
    <w:rsid w:val="007C06C9"/>
    <w:rsid w:val="007C0C68"/>
    <w:rsid w:val="007C10F2"/>
    <w:rsid w:val="007C1950"/>
    <w:rsid w:val="007C1B68"/>
    <w:rsid w:val="007C1E0E"/>
    <w:rsid w:val="007C2EC4"/>
    <w:rsid w:val="007C2EE1"/>
    <w:rsid w:val="007C388F"/>
    <w:rsid w:val="007C4BCC"/>
    <w:rsid w:val="007C4FB6"/>
    <w:rsid w:val="007C597C"/>
    <w:rsid w:val="007C5CBF"/>
    <w:rsid w:val="007C734E"/>
    <w:rsid w:val="007D0701"/>
    <w:rsid w:val="007D1710"/>
    <w:rsid w:val="007D2ADD"/>
    <w:rsid w:val="007D2E9A"/>
    <w:rsid w:val="007D2FAC"/>
    <w:rsid w:val="007D4E14"/>
    <w:rsid w:val="007D54BE"/>
    <w:rsid w:val="007D60F0"/>
    <w:rsid w:val="007D6612"/>
    <w:rsid w:val="007D6915"/>
    <w:rsid w:val="007D6CFC"/>
    <w:rsid w:val="007E00B7"/>
    <w:rsid w:val="007E0E05"/>
    <w:rsid w:val="007E0F6C"/>
    <w:rsid w:val="007E1491"/>
    <w:rsid w:val="007E170A"/>
    <w:rsid w:val="007E1CE1"/>
    <w:rsid w:val="007E4A3A"/>
    <w:rsid w:val="007E64EC"/>
    <w:rsid w:val="007E6B6D"/>
    <w:rsid w:val="007E7723"/>
    <w:rsid w:val="007E7AC2"/>
    <w:rsid w:val="007E7E34"/>
    <w:rsid w:val="007F210F"/>
    <w:rsid w:val="007F252F"/>
    <w:rsid w:val="007F3C0E"/>
    <w:rsid w:val="007F41F9"/>
    <w:rsid w:val="007F5407"/>
    <w:rsid w:val="007F5644"/>
    <w:rsid w:val="007F5D47"/>
    <w:rsid w:val="007F5DC4"/>
    <w:rsid w:val="007F6785"/>
    <w:rsid w:val="007F751E"/>
    <w:rsid w:val="007F7561"/>
    <w:rsid w:val="007F775A"/>
    <w:rsid w:val="007F7C09"/>
    <w:rsid w:val="00801998"/>
    <w:rsid w:val="00803059"/>
    <w:rsid w:val="00803812"/>
    <w:rsid w:val="00803B7C"/>
    <w:rsid w:val="0080464E"/>
    <w:rsid w:val="0080481C"/>
    <w:rsid w:val="008049E4"/>
    <w:rsid w:val="00804D49"/>
    <w:rsid w:val="00804D8B"/>
    <w:rsid w:val="00805DDF"/>
    <w:rsid w:val="008078EC"/>
    <w:rsid w:val="008107CC"/>
    <w:rsid w:val="00810816"/>
    <w:rsid w:val="00811432"/>
    <w:rsid w:val="00811945"/>
    <w:rsid w:val="00812BBA"/>
    <w:rsid w:val="00812DD2"/>
    <w:rsid w:val="0081327B"/>
    <w:rsid w:val="008149FA"/>
    <w:rsid w:val="00815446"/>
    <w:rsid w:val="008155C3"/>
    <w:rsid w:val="008162C5"/>
    <w:rsid w:val="00816745"/>
    <w:rsid w:val="00816F29"/>
    <w:rsid w:val="008204FC"/>
    <w:rsid w:val="0082064B"/>
    <w:rsid w:val="00820763"/>
    <w:rsid w:val="00820D87"/>
    <w:rsid w:val="00820F07"/>
    <w:rsid w:val="00821BE4"/>
    <w:rsid w:val="00821CA7"/>
    <w:rsid w:val="00821F32"/>
    <w:rsid w:val="00824103"/>
    <w:rsid w:val="00824389"/>
    <w:rsid w:val="008246B5"/>
    <w:rsid w:val="008252E8"/>
    <w:rsid w:val="008264D4"/>
    <w:rsid w:val="0083017B"/>
    <w:rsid w:val="0083027C"/>
    <w:rsid w:val="00830736"/>
    <w:rsid w:val="0083088D"/>
    <w:rsid w:val="00830F89"/>
    <w:rsid w:val="0083274F"/>
    <w:rsid w:val="008328D9"/>
    <w:rsid w:val="008342BC"/>
    <w:rsid w:val="00834734"/>
    <w:rsid w:val="00834C2C"/>
    <w:rsid w:val="00834FED"/>
    <w:rsid w:val="0083540A"/>
    <w:rsid w:val="0083614D"/>
    <w:rsid w:val="008366AB"/>
    <w:rsid w:val="008368DB"/>
    <w:rsid w:val="008373B6"/>
    <w:rsid w:val="00837C3A"/>
    <w:rsid w:val="00837E04"/>
    <w:rsid w:val="008402F9"/>
    <w:rsid w:val="00840952"/>
    <w:rsid w:val="00842E85"/>
    <w:rsid w:val="00846A1D"/>
    <w:rsid w:val="00847704"/>
    <w:rsid w:val="00851565"/>
    <w:rsid w:val="00852116"/>
    <w:rsid w:val="00852DC6"/>
    <w:rsid w:val="00852E1D"/>
    <w:rsid w:val="00853E38"/>
    <w:rsid w:val="0085435C"/>
    <w:rsid w:val="00855871"/>
    <w:rsid w:val="008558B7"/>
    <w:rsid w:val="00855C5B"/>
    <w:rsid w:val="008562E2"/>
    <w:rsid w:val="00857860"/>
    <w:rsid w:val="00857949"/>
    <w:rsid w:val="00857E9D"/>
    <w:rsid w:val="00861872"/>
    <w:rsid w:val="00862C3E"/>
    <w:rsid w:val="00863800"/>
    <w:rsid w:val="00863B2C"/>
    <w:rsid w:val="008644AD"/>
    <w:rsid w:val="008647C2"/>
    <w:rsid w:val="008650BC"/>
    <w:rsid w:val="00865387"/>
    <w:rsid w:val="0086545E"/>
    <w:rsid w:val="008656D9"/>
    <w:rsid w:val="00865712"/>
    <w:rsid w:val="00866E68"/>
    <w:rsid w:val="008672EF"/>
    <w:rsid w:val="00867E31"/>
    <w:rsid w:val="0087000E"/>
    <w:rsid w:val="00870265"/>
    <w:rsid w:val="008703EF"/>
    <w:rsid w:val="00870D5F"/>
    <w:rsid w:val="00870E04"/>
    <w:rsid w:val="008723B5"/>
    <w:rsid w:val="00872A7C"/>
    <w:rsid w:val="00872C7D"/>
    <w:rsid w:val="00874E18"/>
    <w:rsid w:val="00875BD0"/>
    <w:rsid w:val="008772DF"/>
    <w:rsid w:val="00877A72"/>
    <w:rsid w:val="00877E4D"/>
    <w:rsid w:val="00880985"/>
    <w:rsid w:val="00882C27"/>
    <w:rsid w:val="00883747"/>
    <w:rsid w:val="00883BAC"/>
    <w:rsid w:val="00884939"/>
    <w:rsid w:val="0088517C"/>
    <w:rsid w:val="00886CFC"/>
    <w:rsid w:val="00886ED3"/>
    <w:rsid w:val="008872C9"/>
    <w:rsid w:val="00887AF3"/>
    <w:rsid w:val="00890278"/>
    <w:rsid w:val="0089071B"/>
    <w:rsid w:val="00891C37"/>
    <w:rsid w:val="00891D1E"/>
    <w:rsid w:val="0089225C"/>
    <w:rsid w:val="00892C65"/>
    <w:rsid w:val="00893345"/>
    <w:rsid w:val="00893ED1"/>
    <w:rsid w:val="008941A3"/>
    <w:rsid w:val="008941C8"/>
    <w:rsid w:val="008947E0"/>
    <w:rsid w:val="00897020"/>
    <w:rsid w:val="008973CB"/>
    <w:rsid w:val="008A02A5"/>
    <w:rsid w:val="008A086A"/>
    <w:rsid w:val="008A0C5D"/>
    <w:rsid w:val="008A1178"/>
    <w:rsid w:val="008A1426"/>
    <w:rsid w:val="008A3038"/>
    <w:rsid w:val="008A390D"/>
    <w:rsid w:val="008A3A44"/>
    <w:rsid w:val="008A3B9B"/>
    <w:rsid w:val="008A3DA5"/>
    <w:rsid w:val="008A4563"/>
    <w:rsid w:val="008A493D"/>
    <w:rsid w:val="008A4A7E"/>
    <w:rsid w:val="008A4B0F"/>
    <w:rsid w:val="008A5C1A"/>
    <w:rsid w:val="008A68A2"/>
    <w:rsid w:val="008B0049"/>
    <w:rsid w:val="008B068E"/>
    <w:rsid w:val="008B15BC"/>
    <w:rsid w:val="008B17CF"/>
    <w:rsid w:val="008B5103"/>
    <w:rsid w:val="008B516F"/>
    <w:rsid w:val="008B5253"/>
    <w:rsid w:val="008B5634"/>
    <w:rsid w:val="008B5C46"/>
    <w:rsid w:val="008B7F27"/>
    <w:rsid w:val="008C000D"/>
    <w:rsid w:val="008C07C8"/>
    <w:rsid w:val="008C0D2C"/>
    <w:rsid w:val="008C0E7A"/>
    <w:rsid w:val="008C10DF"/>
    <w:rsid w:val="008C1ACC"/>
    <w:rsid w:val="008C2954"/>
    <w:rsid w:val="008C295E"/>
    <w:rsid w:val="008C3536"/>
    <w:rsid w:val="008C40B6"/>
    <w:rsid w:val="008C4ADF"/>
    <w:rsid w:val="008C4B27"/>
    <w:rsid w:val="008C5018"/>
    <w:rsid w:val="008C6AA5"/>
    <w:rsid w:val="008C6D95"/>
    <w:rsid w:val="008C6ECC"/>
    <w:rsid w:val="008C6F44"/>
    <w:rsid w:val="008C74C4"/>
    <w:rsid w:val="008C79D1"/>
    <w:rsid w:val="008D000A"/>
    <w:rsid w:val="008D0257"/>
    <w:rsid w:val="008D093D"/>
    <w:rsid w:val="008D2D5D"/>
    <w:rsid w:val="008D31F8"/>
    <w:rsid w:val="008D3B30"/>
    <w:rsid w:val="008D4B49"/>
    <w:rsid w:val="008D4C4A"/>
    <w:rsid w:val="008D531F"/>
    <w:rsid w:val="008D54BF"/>
    <w:rsid w:val="008D5C50"/>
    <w:rsid w:val="008D61E6"/>
    <w:rsid w:val="008D7C48"/>
    <w:rsid w:val="008D7E58"/>
    <w:rsid w:val="008D7E7C"/>
    <w:rsid w:val="008E13E6"/>
    <w:rsid w:val="008E14D3"/>
    <w:rsid w:val="008E1C65"/>
    <w:rsid w:val="008E1D84"/>
    <w:rsid w:val="008E25A1"/>
    <w:rsid w:val="008E2D16"/>
    <w:rsid w:val="008E3E5E"/>
    <w:rsid w:val="008E5761"/>
    <w:rsid w:val="008E6134"/>
    <w:rsid w:val="008F107F"/>
    <w:rsid w:val="008F18F7"/>
    <w:rsid w:val="008F1C48"/>
    <w:rsid w:val="008F21BF"/>
    <w:rsid w:val="008F24D9"/>
    <w:rsid w:val="008F37F8"/>
    <w:rsid w:val="008F3F8E"/>
    <w:rsid w:val="008F4217"/>
    <w:rsid w:val="008F52DF"/>
    <w:rsid w:val="008F5D9E"/>
    <w:rsid w:val="008F61C5"/>
    <w:rsid w:val="008F636A"/>
    <w:rsid w:val="008F643A"/>
    <w:rsid w:val="008F6CB1"/>
    <w:rsid w:val="008F7251"/>
    <w:rsid w:val="008F7386"/>
    <w:rsid w:val="008F73B3"/>
    <w:rsid w:val="008F7602"/>
    <w:rsid w:val="008F78D1"/>
    <w:rsid w:val="008F7CD1"/>
    <w:rsid w:val="0090016D"/>
    <w:rsid w:val="00900DFF"/>
    <w:rsid w:val="00900E51"/>
    <w:rsid w:val="00903538"/>
    <w:rsid w:val="00903610"/>
    <w:rsid w:val="009037F2"/>
    <w:rsid w:val="00903998"/>
    <w:rsid w:val="00905267"/>
    <w:rsid w:val="00905996"/>
    <w:rsid w:val="00906138"/>
    <w:rsid w:val="0090615E"/>
    <w:rsid w:val="0090626A"/>
    <w:rsid w:val="009069E6"/>
    <w:rsid w:val="00910A16"/>
    <w:rsid w:val="00910AF7"/>
    <w:rsid w:val="00911453"/>
    <w:rsid w:val="00912A60"/>
    <w:rsid w:val="00912AEC"/>
    <w:rsid w:val="009135C6"/>
    <w:rsid w:val="00913654"/>
    <w:rsid w:val="0091389F"/>
    <w:rsid w:val="009138B8"/>
    <w:rsid w:val="00913EBE"/>
    <w:rsid w:val="009161F7"/>
    <w:rsid w:val="009164C1"/>
    <w:rsid w:val="0091669B"/>
    <w:rsid w:val="00916C3C"/>
    <w:rsid w:val="00916D51"/>
    <w:rsid w:val="00916DE2"/>
    <w:rsid w:val="009171AA"/>
    <w:rsid w:val="00917226"/>
    <w:rsid w:val="00921221"/>
    <w:rsid w:val="0092182E"/>
    <w:rsid w:val="00927BFC"/>
    <w:rsid w:val="00927E36"/>
    <w:rsid w:val="00930063"/>
    <w:rsid w:val="00930399"/>
    <w:rsid w:val="00932320"/>
    <w:rsid w:val="00933937"/>
    <w:rsid w:val="0093398F"/>
    <w:rsid w:val="00933A71"/>
    <w:rsid w:val="009356A5"/>
    <w:rsid w:val="00935812"/>
    <w:rsid w:val="00935CBC"/>
    <w:rsid w:val="00935E6D"/>
    <w:rsid w:val="009378C1"/>
    <w:rsid w:val="009378EC"/>
    <w:rsid w:val="00941D01"/>
    <w:rsid w:val="00942BC9"/>
    <w:rsid w:val="0094315F"/>
    <w:rsid w:val="0094333C"/>
    <w:rsid w:val="009445E4"/>
    <w:rsid w:val="0094466B"/>
    <w:rsid w:val="00944A81"/>
    <w:rsid w:val="0094511E"/>
    <w:rsid w:val="00945169"/>
    <w:rsid w:val="00945972"/>
    <w:rsid w:val="00945B7E"/>
    <w:rsid w:val="00945E66"/>
    <w:rsid w:val="00946F5A"/>
    <w:rsid w:val="00947C0C"/>
    <w:rsid w:val="00947C20"/>
    <w:rsid w:val="0095002E"/>
    <w:rsid w:val="009504E2"/>
    <w:rsid w:val="0095075A"/>
    <w:rsid w:val="0095110F"/>
    <w:rsid w:val="009513C0"/>
    <w:rsid w:val="00952043"/>
    <w:rsid w:val="00952939"/>
    <w:rsid w:val="00952CA2"/>
    <w:rsid w:val="009535E5"/>
    <w:rsid w:val="00953EC4"/>
    <w:rsid w:val="009541C0"/>
    <w:rsid w:val="00956526"/>
    <w:rsid w:val="00957563"/>
    <w:rsid w:val="00957F3E"/>
    <w:rsid w:val="00960384"/>
    <w:rsid w:val="009605B2"/>
    <w:rsid w:val="009605D2"/>
    <w:rsid w:val="00960658"/>
    <w:rsid w:val="009620C8"/>
    <w:rsid w:val="0096249A"/>
    <w:rsid w:val="009629AD"/>
    <w:rsid w:val="00963DDC"/>
    <w:rsid w:val="009640F8"/>
    <w:rsid w:val="00965606"/>
    <w:rsid w:val="009711CF"/>
    <w:rsid w:val="00971E0E"/>
    <w:rsid w:val="00972342"/>
    <w:rsid w:val="009723CE"/>
    <w:rsid w:val="00972E5E"/>
    <w:rsid w:val="00973B69"/>
    <w:rsid w:val="00975614"/>
    <w:rsid w:val="00975BD1"/>
    <w:rsid w:val="00976172"/>
    <w:rsid w:val="00977CEF"/>
    <w:rsid w:val="00977E41"/>
    <w:rsid w:val="0098114C"/>
    <w:rsid w:val="009816FE"/>
    <w:rsid w:val="009819C0"/>
    <w:rsid w:val="009819C1"/>
    <w:rsid w:val="00981BC9"/>
    <w:rsid w:val="00981C97"/>
    <w:rsid w:val="0098265D"/>
    <w:rsid w:val="009826E4"/>
    <w:rsid w:val="00982C94"/>
    <w:rsid w:val="0098370B"/>
    <w:rsid w:val="00983EFB"/>
    <w:rsid w:val="00984432"/>
    <w:rsid w:val="00984AF8"/>
    <w:rsid w:val="00985002"/>
    <w:rsid w:val="00985638"/>
    <w:rsid w:val="009858DA"/>
    <w:rsid w:val="00991130"/>
    <w:rsid w:val="009913D8"/>
    <w:rsid w:val="009928E7"/>
    <w:rsid w:val="00992FC4"/>
    <w:rsid w:val="00993C59"/>
    <w:rsid w:val="009948DB"/>
    <w:rsid w:val="00994C6C"/>
    <w:rsid w:val="009952E5"/>
    <w:rsid w:val="00996521"/>
    <w:rsid w:val="009969A6"/>
    <w:rsid w:val="009977EC"/>
    <w:rsid w:val="009A05E0"/>
    <w:rsid w:val="009A143F"/>
    <w:rsid w:val="009A1DC6"/>
    <w:rsid w:val="009A30EA"/>
    <w:rsid w:val="009A3606"/>
    <w:rsid w:val="009A3AC6"/>
    <w:rsid w:val="009A3B64"/>
    <w:rsid w:val="009A42FB"/>
    <w:rsid w:val="009A607F"/>
    <w:rsid w:val="009A6B22"/>
    <w:rsid w:val="009A734F"/>
    <w:rsid w:val="009A77F5"/>
    <w:rsid w:val="009B29D5"/>
    <w:rsid w:val="009B2D22"/>
    <w:rsid w:val="009B3F8A"/>
    <w:rsid w:val="009B588C"/>
    <w:rsid w:val="009B5CC5"/>
    <w:rsid w:val="009B6049"/>
    <w:rsid w:val="009B65FB"/>
    <w:rsid w:val="009B7261"/>
    <w:rsid w:val="009C0C18"/>
    <w:rsid w:val="009C20F4"/>
    <w:rsid w:val="009C28BF"/>
    <w:rsid w:val="009C2F28"/>
    <w:rsid w:val="009C3D2F"/>
    <w:rsid w:val="009C5A2F"/>
    <w:rsid w:val="009C614F"/>
    <w:rsid w:val="009C68B5"/>
    <w:rsid w:val="009C6EE1"/>
    <w:rsid w:val="009C6FCA"/>
    <w:rsid w:val="009D002D"/>
    <w:rsid w:val="009D0148"/>
    <w:rsid w:val="009D0161"/>
    <w:rsid w:val="009D1B41"/>
    <w:rsid w:val="009D20C2"/>
    <w:rsid w:val="009D20C4"/>
    <w:rsid w:val="009D2C2B"/>
    <w:rsid w:val="009D355E"/>
    <w:rsid w:val="009D3A2E"/>
    <w:rsid w:val="009D442C"/>
    <w:rsid w:val="009D493E"/>
    <w:rsid w:val="009D4A67"/>
    <w:rsid w:val="009D531B"/>
    <w:rsid w:val="009D610A"/>
    <w:rsid w:val="009D629A"/>
    <w:rsid w:val="009D6C46"/>
    <w:rsid w:val="009D6E4D"/>
    <w:rsid w:val="009E000B"/>
    <w:rsid w:val="009E0A96"/>
    <w:rsid w:val="009E0C9D"/>
    <w:rsid w:val="009E114D"/>
    <w:rsid w:val="009E2A1D"/>
    <w:rsid w:val="009E3033"/>
    <w:rsid w:val="009E3803"/>
    <w:rsid w:val="009E3CD2"/>
    <w:rsid w:val="009E422B"/>
    <w:rsid w:val="009E4485"/>
    <w:rsid w:val="009E45D8"/>
    <w:rsid w:val="009E4AAD"/>
    <w:rsid w:val="009E510B"/>
    <w:rsid w:val="009E672C"/>
    <w:rsid w:val="009E6A2D"/>
    <w:rsid w:val="009E78C6"/>
    <w:rsid w:val="009E7E14"/>
    <w:rsid w:val="009E7EDC"/>
    <w:rsid w:val="009F05A6"/>
    <w:rsid w:val="009F07C2"/>
    <w:rsid w:val="009F14A6"/>
    <w:rsid w:val="009F1732"/>
    <w:rsid w:val="009F182D"/>
    <w:rsid w:val="009F1976"/>
    <w:rsid w:val="009F2B44"/>
    <w:rsid w:val="009F3E80"/>
    <w:rsid w:val="009F4570"/>
    <w:rsid w:val="009F475B"/>
    <w:rsid w:val="009F58F6"/>
    <w:rsid w:val="009F61E9"/>
    <w:rsid w:val="009F6FC6"/>
    <w:rsid w:val="009F793E"/>
    <w:rsid w:val="00A010AA"/>
    <w:rsid w:val="00A0169E"/>
    <w:rsid w:val="00A01835"/>
    <w:rsid w:val="00A01A17"/>
    <w:rsid w:val="00A01BD0"/>
    <w:rsid w:val="00A02291"/>
    <w:rsid w:val="00A029B7"/>
    <w:rsid w:val="00A02FD5"/>
    <w:rsid w:val="00A03CDA"/>
    <w:rsid w:val="00A044E0"/>
    <w:rsid w:val="00A04DD2"/>
    <w:rsid w:val="00A04E75"/>
    <w:rsid w:val="00A05381"/>
    <w:rsid w:val="00A05C1D"/>
    <w:rsid w:val="00A06D85"/>
    <w:rsid w:val="00A072B0"/>
    <w:rsid w:val="00A106D8"/>
    <w:rsid w:val="00A10BF0"/>
    <w:rsid w:val="00A11058"/>
    <w:rsid w:val="00A11943"/>
    <w:rsid w:val="00A11ECE"/>
    <w:rsid w:val="00A12410"/>
    <w:rsid w:val="00A128F3"/>
    <w:rsid w:val="00A12BB8"/>
    <w:rsid w:val="00A12E2D"/>
    <w:rsid w:val="00A13702"/>
    <w:rsid w:val="00A13E63"/>
    <w:rsid w:val="00A14785"/>
    <w:rsid w:val="00A14A0C"/>
    <w:rsid w:val="00A14A6D"/>
    <w:rsid w:val="00A14C1A"/>
    <w:rsid w:val="00A15CB8"/>
    <w:rsid w:val="00A161A5"/>
    <w:rsid w:val="00A161B9"/>
    <w:rsid w:val="00A164C3"/>
    <w:rsid w:val="00A170E5"/>
    <w:rsid w:val="00A17C86"/>
    <w:rsid w:val="00A17F51"/>
    <w:rsid w:val="00A20FC0"/>
    <w:rsid w:val="00A214F7"/>
    <w:rsid w:val="00A2190B"/>
    <w:rsid w:val="00A21D21"/>
    <w:rsid w:val="00A22B47"/>
    <w:rsid w:val="00A23440"/>
    <w:rsid w:val="00A23E1C"/>
    <w:rsid w:val="00A23E62"/>
    <w:rsid w:val="00A2550F"/>
    <w:rsid w:val="00A257DB"/>
    <w:rsid w:val="00A26817"/>
    <w:rsid w:val="00A26F80"/>
    <w:rsid w:val="00A272E0"/>
    <w:rsid w:val="00A31C8F"/>
    <w:rsid w:val="00A32760"/>
    <w:rsid w:val="00A33C04"/>
    <w:rsid w:val="00A3463C"/>
    <w:rsid w:val="00A34948"/>
    <w:rsid w:val="00A3498F"/>
    <w:rsid w:val="00A34E0D"/>
    <w:rsid w:val="00A35C5F"/>
    <w:rsid w:val="00A35C9C"/>
    <w:rsid w:val="00A37160"/>
    <w:rsid w:val="00A4015F"/>
    <w:rsid w:val="00A40944"/>
    <w:rsid w:val="00A40CE8"/>
    <w:rsid w:val="00A412E5"/>
    <w:rsid w:val="00A41442"/>
    <w:rsid w:val="00A42932"/>
    <w:rsid w:val="00A43897"/>
    <w:rsid w:val="00A45659"/>
    <w:rsid w:val="00A46050"/>
    <w:rsid w:val="00A47926"/>
    <w:rsid w:val="00A47C55"/>
    <w:rsid w:val="00A5365E"/>
    <w:rsid w:val="00A53A29"/>
    <w:rsid w:val="00A53A92"/>
    <w:rsid w:val="00A54122"/>
    <w:rsid w:val="00A5523C"/>
    <w:rsid w:val="00A555BE"/>
    <w:rsid w:val="00A5582A"/>
    <w:rsid w:val="00A60631"/>
    <w:rsid w:val="00A62D64"/>
    <w:rsid w:val="00A64F19"/>
    <w:rsid w:val="00A65647"/>
    <w:rsid w:val="00A6584A"/>
    <w:rsid w:val="00A665EC"/>
    <w:rsid w:val="00A66CCE"/>
    <w:rsid w:val="00A66D11"/>
    <w:rsid w:val="00A67BF1"/>
    <w:rsid w:val="00A717D2"/>
    <w:rsid w:val="00A72BC6"/>
    <w:rsid w:val="00A73152"/>
    <w:rsid w:val="00A737C8"/>
    <w:rsid w:val="00A73C6E"/>
    <w:rsid w:val="00A750C4"/>
    <w:rsid w:val="00A7529B"/>
    <w:rsid w:val="00A76075"/>
    <w:rsid w:val="00A76C19"/>
    <w:rsid w:val="00A802A0"/>
    <w:rsid w:val="00A80377"/>
    <w:rsid w:val="00A81658"/>
    <w:rsid w:val="00A81BA2"/>
    <w:rsid w:val="00A8268D"/>
    <w:rsid w:val="00A83678"/>
    <w:rsid w:val="00A84EA0"/>
    <w:rsid w:val="00A8516A"/>
    <w:rsid w:val="00A8517D"/>
    <w:rsid w:val="00A85B26"/>
    <w:rsid w:val="00A85BE4"/>
    <w:rsid w:val="00A866E8"/>
    <w:rsid w:val="00A86D76"/>
    <w:rsid w:val="00A8756D"/>
    <w:rsid w:val="00A87688"/>
    <w:rsid w:val="00A8782E"/>
    <w:rsid w:val="00A9016C"/>
    <w:rsid w:val="00A907D6"/>
    <w:rsid w:val="00A909B1"/>
    <w:rsid w:val="00A90D98"/>
    <w:rsid w:val="00A923D1"/>
    <w:rsid w:val="00A9311B"/>
    <w:rsid w:val="00A93EDF"/>
    <w:rsid w:val="00A948C0"/>
    <w:rsid w:val="00A956CD"/>
    <w:rsid w:val="00A95B87"/>
    <w:rsid w:val="00A96526"/>
    <w:rsid w:val="00A966B4"/>
    <w:rsid w:val="00A96B31"/>
    <w:rsid w:val="00A97635"/>
    <w:rsid w:val="00A97ADB"/>
    <w:rsid w:val="00AA09B5"/>
    <w:rsid w:val="00AA2E1E"/>
    <w:rsid w:val="00AA2FC7"/>
    <w:rsid w:val="00AA3678"/>
    <w:rsid w:val="00AA3BB9"/>
    <w:rsid w:val="00AA4F75"/>
    <w:rsid w:val="00AA51CA"/>
    <w:rsid w:val="00AA5406"/>
    <w:rsid w:val="00AA565E"/>
    <w:rsid w:val="00AA5E6B"/>
    <w:rsid w:val="00AA6C02"/>
    <w:rsid w:val="00AA7396"/>
    <w:rsid w:val="00AA7D63"/>
    <w:rsid w:val="00AA7F17"/>
    <w:rsid w:val="00AB02BC"/>
    <w:rsid w:val="00AB0D29"/>
    <w:rsid w:val="00AB1265"/>
    <w:rsid w:val="00AB1E97"/>
    <w:rsid w:val="00AB2F65"/>
    <w:rsid w:val="00AB3162"/>
    <w:rsid w:val="00AB3393"/>
    <w:rsid w:val="00AB37FB"/>
    <w:rsid w:val="00AB39EF"/>
    <w:rsid w:val="00AB3B17"/>
    <w:rsid w:val="00AB469A"/>
    <w:rsid w:val="00AB558E"/>
    <w:rsid w:val="00AB5770"/>
    <w:rsid w:val="00AB6061"/>
    <w:rsid w:val="00AB6F1B"/>
    <w:rsid w:val="00AB7F8C"/>
    <w:rsid w:val="00AC0B9D"/>
    <w:rsid w:val="00AC11BF"/>
    <w:rsid w:val="00AC137F"/>
    <w:rsid w:val="00AC14E6"/>
    <w:rsid w:val="00AC2D35"/>
    <w:rsid w:val="00AC3255"/>
    <w:rsid w:val="00AC41DE"/>
    <w:rsid w:val="00AC4CA7"/>
    <w:rsid w:val="00AC4D16"/>
    <w:rsid w:val="00AC4D99"/>
    <w:rsid w:val="00AC53E2"/>
    <w:rsid w:val="00AC55C6"/>
    <w:rsid w:val="00AC574B"/>
    <w:rsid w:val="00AC5F7A"/>
    <w:rsid w:val="00AC63D1"/>
    <w:rsid w:val="00AC66D5"/>
    <w:rsid w:val="00AC6F74"/>
    <w:rsid w:val="00AD02A4"/>
    <w:rsid w:val="00AD03A5"/>
    <w:rsid w:val="00AD0580"/>
    <w:rsid w:val="00AD11C3"/>
    <w:rsid w:val="00AD1600"/>
    <w:rsid w:val="00AD29AB"/>
    <w:rsid w:val="00AD3AEE"/>
    <w:rsid w:val="00AD42DD"/>
    <w:rsid w:val="00AD4CBA"/>
    <w:rsid w:val="00AD5600"/>
    <w:rsid w:val="00AD5D30"/>
    <w:rsid w:val="00AD5F34"/>
    <w:rsid w:val="00AD6DAC"/>
    <w:rsid w:val="00AE1648"/>
    <w:rsid w:val="00AE1E16"/>
    <w:rsid w:val="00AE214A"/>
    <w:rsid w:val="00AE2437"/>
    <w:rsid w:val="00AE262C"/>
    <w:rsid w:val="00AE3AA7"/>
    <w:rsid w:val="00AE457B"/>
    <w:rsid w:val="00AE520D"/>
    <w:rsid w:val="00AE58BF"/>
    <w:rsid w:val="00AE59B3"/>
    <w:rsid w:val="00AE5D3D"/>
    <w:rsid w:val="00AE6216"/>
    <w:rsid w:val="00AE7110"/>
    <w:rsid w:val="00AE75E7"/>
    <w:rsid w:val="00AF0215"/>
    <w:rsid w:val="00AF030F"/>
    <w:rsid w:val="00AF0315"/>
    <w:rsid w:val="00AF0DD9"/>
    <w:rsid w:val="00AF231F"/>
    <w:rsid w:val="00AF369C"/>
    <w:rsid w:val="00AF457E"/>
    <w:rsid w:val="00AF4F6A"/>
    <w:rsid w:val="00AF4FB8"/>
    <w:rsid w:val="00AF51B1"/>
    <w:rsid w:val="00AF53F2"/>
    <w:rsid w:val="00AF622B"/>
    <w:rsid w:val="00AF6442"/>
    <w:rsid w:val="00AF6CDB"/>
    <w:rsid w:val="00AF7544"/>
    <w:rsid w:val="00AF78AC"/>
    <w:rsid w:val="00B01C07"/>
    <w:rsid w:val="00B02200"/>
    <w:rsid w:val="00B0313D"/>
    <w:rsid w:val="00B036A6"/>
    <w:rsid w:val="00B039D6"/>
    <w:rsid w:val="00B042D0"/>
    <w:rsid w:val="00B06A42"/>
    <w:rsid w:val="00B06B5D"/>
    <w:rsid w:val="00B07AE9"/>
    <w:rsid w:val="00B100C5"/>
    <w:rsid w:val="00B1048F"/>
    <w:rsid w:val="00B10F04"/>
    <w:rsid w:val="00B10F1E"/>
    <w:rsid w:val="00B10FF4"/>
    <w:rsid w:val="00B123FF"/>
    <w:rsid w:val="00B12F1E"/>
    <w:rsid w:val="00B13BE8"/>
    <w:rsid w:val="00B13FFF"/>
    <w:rsid w:val="00B14FD6"/>
    <w:rsid w:val="00B1567A"/>
    <w:rsid w:val="00B156AF"/>
    <w:rsid w:val="00B15D76"/>
    <w:rsid w:val="00B16949"/>
    <w:rsid w:val="00B17172"/>
    <w:rsid w:val="00B17311"/>
    <w:rsid w:val="00B175BA"/>
    <w:rsid w:val="00B200BB"/>
    <w:rsid w:val="00B206DC"/>
    <w:rsid w:val="00B24215"/>
    <w:rsid w:val="00B24E8D"/>
    <w:rsid w:val="00B25E58"/>
    <w:rsid w:val="00B2691B"/>
    <w:rsid w:val="00B273CA"/>
    <w:rsid w:val="00B274B2"/>
    <w:rsid w:val="00B277AC"/>
    <w:rsid w:val="00B27DCB"/>
    <w:rsid w:val="00B301CA"/>
    <w:rsid w:val="00B30716"/>
    <w:rsid w:val="00B31114"/>
    <w:rsid w:val="00B31F0F"/>
    <w:rsid w:val="00B31F9D"/>
    <w:rsid w:val="00B3495E"/>
    <w:rsid w:val="00B34AB1"/>
    <w:rsid w:val="00B34CEE"/>
    <w:rsid w:val="00B35E82"/>
    <w:rsid w:val="00B36A47"/>
    <w:rsid w:val="00B36EBA"/>
    <w:rsid w:val="00B37402"/>
    <w:rsid w:val="00B3775B"/>
    <w:rsid w:val="00B40A3B"/>
    <w:rsid w:val="00B41597"/>
    <w:rsid w:val="00B429F4"/>
    <w:rsid w:val="00B42CE9"/>
    <w:rsid w:val="00B4372F"/>
    <w:rsid w:val="00B44010"/>
    <w:rsid w:val="00B447D6"/>
    <w:rsid w:val="00B45796"/>
    <w:rsid w:val="00B45BF9"/>
    <w:rsid w:val="00B45C11"/>
    <w:rsid w:val="00B46200"/>
    <w:rsid w:val="00B46251"/>
    <w:rsid w:val="00B47294"/>
    <w:rsid w:val="00B47315"/>
    <w:rsid w:val="00B47977"/>
    <w:rsid w:val="00B47DFD"/>
    <w:rsid w:val="00B516E3"/>
    <w:rsid w:val="00B52321"/>
    <w:rsid w:val="00B52836"/>
    <w:rsid w:val="00B53A07"/>
    <w:rsid w:val="00B53CA6"/>
    <w:rsid w:val="00B54C8D"/>
    <w:rsid w:val="00B5501A"/>
    <w:rsid w:val="00B55F7C"/>
    <w:rsid w:val="00B56665"/>
    <w:rsid w:val="00B57270"/>
    <w:rsid w:val="00B6017B"/>
    <w:rsid w:val="00B6077A"/>
    <w:rsid w:val="00B61E95"/>
    <w:rsid w:val="00B61F8C"/>
    <w:rsid w:val="00B62391"/>
    <w:rsid w:val="00B63036"/>
    <w:rsid w:val="00B6546D"/>
    <w:rsid w:val="00B65788"/>
    <w:rsid w:val="00B65E0A"/>
    <w:rsid w:val="00B66CA8"/>
    <w:rsid w:val="00B703D9"/>
    <w:rsid w:val="00B70AD2"/>
    <w:rsid w:val="00B712FF"/>
    <w:rsid w:val="00B71C55"/>
    <w:rsid w:val="00B74CB3"/>
    <w:rsid w:val="00B75224"/>
    <w:rsid w:val="00B7529A"/>
    <w:rsid w:val="00B752A1"/>
    <w:rsid w:val="00B75392"/>
    <w:rsid w:val="00B756CE"/>
    <w:rsid w:val="00B760F3"/>
    <w:rsid w:val="00B76179"/>
    <w:rsid w:val="00B7632E"/>
    <w:rsid w:val="00B76A8A"/>
    <w:rsid w:val="00B7751A"/>
    <w:rsid w:val="00B77EDC"/>
    <w:rsid w:val="00B77F71"/>
    <w:rsid w:val="00B809EE"/>
    <w:rsid w:val="00B80E65"/>
    <w:rsid w:val="00B811C5"/>
    <w:rsid w:val="00B82886"/>
    <w:rsid w:val="00B82C4C"/>
    <w:rsid w:val="00B8367F"/>
    <w:rsid w:val="00B84784"/>
    <w:rsid w:val="00B85286"/>
    <w:rsid w:val="00B85FFD"/>
    <w:rsid w:val="00B86414"/>
    <w:rsid w:val="00B86497"/>
    <w:rsid w:val="00B8697A"/>
    <w:rsid w:val="00B87B51"/>
    <w:rsid w:val="00B90E94"/>
    <w:rsid w:val="00B910A6"/>
    <w:rsid w:val="00B9136F"/>
    <w:rsid w:val="00B9221C"/>
    <w:rsid w:val="00B934B3"/>
    <w:rsid w:val="00B93CA7"/>
    <w:rsid w:val="00B94231"/>
    <w:rsid w:val="00B94EC7"/>
    <w:rsid w:val="00B95B55"/>
    <w:rsid w:val="00B95E93"/>
    <w:rsid w:val="00B97951"/>
    <w:rsid w:val="00B97AE7"/>
    <w:rsid w:val="00BA0E9C"/>
    <w:rsid w:val="00BA0FC7"/>
    <w:rsid w:val="00BA1061"/>
    <w:rsid w:val="00BA217B"/>
    <w:rsid w:val="00BA2B90"/>
    <w:rsid w:val="00BA320B"/>
    <w:rsid w:val="00BA335B"/>
    <w:rsid w:val="00BA343D"/>
    <w:rsid w:val="00BA34F6"/>
    <w:rsid w:val="00BA4D54"/>
    <w:rsid w:val="00BA59AF"/>
    <w:rsid w:val="00BA5B15"/>
    <w:rsid w:val="00BA5F9B"/>
    <w:rsid w:val="00BA63E0"/>
    <w:rsid w:val="00BA6506"/>
    <w:rsid w:val="00BA7F12"/>
    <w:rsid w:val="00BA7F25"/>
    <w:rsid w:val="00BB1F5B"/>
    <w:rsid w:val="00BB27E1"/>
    <w:rsid w:val="00BB3A19"/>
    <w:rsid w:val="00BB43FF"/>
    <w:rsid w:val="00BB4AE4"/>
    <w:rsid w:val="00BB5827"/>
    <w:rsid w:val="00BB5834"/>
    <w:rsid w:val="00BB6D58"/>
    <w:rsid w:val="00BB6DDD"/>
    <w:rsid w:val="00BB77EF"/>
    <w:rsid w:val="00BB7931"/>
    <w:rsid w:val="00BB7C2E"/>
    <w:rsid w:val="00BC0420"/>
    <w:rsid w:val="00BC0436"/>
    <w:rsid w:val="00BC04F8"/>
    <w:rsid w:val="00BC06A5"/>
    <w:rsid w:val="00BC1728"/>
    <w:rsid w:val="00BC2137"/>
    <w:rsid w:val="00BC31F4"/>
    <w:rsid w:val="00BC34F9"/>
    <w:rsid w:val="00BC3612"/>
    <w:rsid w:val="00BC3B34"/>
    <w:rsid w:val="00BC4380"/>
    <w:rsid w:val="00BC4542"/>
    <w:rsid w:val="00BC4819"/>
    <w:rsid w:val="00BC48E8"/>
    <w:rsid w:val="00BC4B2C"/>
    <w:rsid w:val="00BC5E54"/>
    <w:rsid w:val="00BC6632"/>
    <w:rsid w:val="00BC6783"/>
    <w:rsid w:val="00BC69B8"/>
    <w:rsid w:val="00BC6F8D"/>
    <w:rsid w:val="00BC7313"/>
    <w:rsid w:val="00BC7671"/>
    <w:rsid w:val="00BC7DFF"/>
    <w:rsid w:val="00BD0936"/>
    <w:rsid w:val="00BD096E"/>
    <w:rsid w:val="00BD0C89"/>
    <w:rsid w:val="00BD155E"/>
    <w:rsid w:val="00BD1899"/>
    <w:rsid w:val="00BD1BDE"/>
    <w:rsid w:val="00BD266E"/>
    <w:rsid w:val="00BD26E0"/>
    <w:rsid w:val="00BD3211"/>
    <w:rsid w:val="00BD4340"/>
    <w:rsid w:val="00BD4D4E"/>
    <w:rsid w:val="00BD7694"/>
    <w:rsid w:val="00BE109E"/>
    <w:rsid w:val="00BE2DE2"/>
    <w:rsid w:val="00BE2E5E"/>
    <w:rsid w:val="00BE39D6"/>
    <w:rsid w:val="00BE4086"/>
    <w:rsid w:val="00BE525C"/>
    <w:rsid w:val="00BE6923"/>
    <w:rsid w:val="00BE6DE8"/>
    <w:rsid w:val="00BE727A"/>
    <w:rsid w:val="00BE790C"/>
    <w:rsid w:val="00BF0388"/>
    <w:rsid w:val="00BF0781"/>
    <w:rsid w:val="00BF0945"/>
    <w:rsid w:val="00BF0A49"/>
    <w:rsid w:val="00BF0A6E"/>
    <w:rsid w:val="00BF0C7A"/>
    <w:rsid w:val="00BF17D3"/>
    <w:rsid w:val="00BF1E57"/>
    <w:rsid w:val="00BF3042"/>
    <w:rsid w:val="00BF3AF3"/>
    <w:rsid w:val="00BF4763"/>
    <w:rsid w:val="00BF5F66"/>
    <w:rsid w:val="00BF62C9"/>
    <w:rsid w:val="00C000A9"/>
    <w:rsid w:val="00C00622"/>
    <w:rsid w:val="00C00B47"/>
    <w:rsid w:val="00C01769"/>
    <w:rsid w:val="00C01B70"/>
    <w:rsid w:val="00C0220F"/>
    <w:rsid w:val="00C03216"/>
    <w:rsid w:val="00C0353E"/>
    <w:rsid w:val="00C03729"/>
    <w:rsid w:val="00C03857"/>
    <w:rsid w:val="00C03AC8"/>
    <w:rsid w:val="00C03F33"/>
    <w:rsid w:val="00C04465"/>
    <w:rsid w:val="00C0447D"/>
    <w:rsid w:val="00C04D17"/>
    <w:rsid w:val="00C0643A"/>
    <w:rsid w:val="00C06534"/>
    <w:rsid w:val="00C06A51"/>
    <w:rsid w:val="00C07A72"/>
    <w:rsid w:val="00C1060E"/>
    <w:rsid w:val="00C11E3E"/>
    <w:rsid w:val="00C129A3"/>
    <w:rsid w:val="00C1302B"/>
    <w:rsid w:val="00C13A72"/>
    <w:rsid w:val="00C13D87"/>
    <w:rsid w:val="00C14172"/>
    <w:rsid w:val="00C144F0"/>
    <w:rsid w:val="00C159FB"/>
    <w:rsid w:val="00C1627C"/>
    <w:rsid w:val="00C16BFB"/>
    <w:rsid w:val="00C16F41"/>
    <w:rsid w:val="00C1714D"/>
    <w:rsid w:val="00C1758F"/>
    <w:rsid w:val="00C17CE2"/>
    <w:rsid w:val="00C203F9"/>
    <w:rsid w:val="00C2068E"/>
    <w:rsid w:val="00C211B5"/>
    <w:rsid w:val="00C23207"/>
    <w:rsid w:val="00C233AC"/>
    <w:rsid w:val="00C23B57"/>
    <w:rsid w:val="00C24239"/>
    <w:rsid w:val="00C250C2"/>
    <w:rsid w:val="00C25E58"/>
    <w:rsid w:val="00C25EAC"/>
    <w:rsid w:val="00C26013"/>
    <w:rsid w:val="00C26382"/>
    <w:rsid w:val="00C271B1"/>
    <w:rsid w:val="00C30C29"/>
    <w:rsid w:val="00C346F0"/>
    <w:rsid w:val="00C34A0F"/>
    <w:rsid w:val="00C34AEA"/>
    <w:rsid w:val="00C35101"/>
    <w:rsid w:val="00C35639"/>
    <w:rsid w:val="00C35AAF"/>
    <w:rsid w:val="00C35F2F"/>
    <w:rsid w:val="00C3636B"/>
    <w:rsid w:val="00C377D6"/>
    <w:rsid w:val="00C377F2"/>
    <w:rsid w:val="00C40B04"/>
    <w:rsid w:val="00C40CE7"/>
    <w:rsid w:val="00C41488"/>
    <w:rsid w:val="00C4197E"/>
    <w:rsid w:val="00C41D15"/>
    <w:rsid w:val="00C42BDC"/>
    <w:rsid w:val="00C43452"/>
    <w:rsid w:val="00C44DEF"/>
    <w:rsid w:val="00C45600"/>
    <w:rsid w:val="00C4594E"/>
    <w:rsid w:val="00C45DE3"/>
    <w:rsid w:val="00C45E02"/>
    <w:rsid w:val="00C45F7F"/>
    <w:rsid w:val="00C46149"/>
    <w:rsid w:val="00C46C27"/>
    <w:rsid w:val="00C47050"/>
    <w:rsid w:val="00C47227"/>
    <w:rsid w:val="00C479CE"/>
    <w:rsid w:val="00C5009F"/>
    <w:rsid w:val="00C513F4"/>
    <w:rsid w:val="00C518A3"/>
    <w:rsid w:val="00C51E05"/>
    <w:rsid w:val="00C51EFD"/>
    <w:rsid w:val="00C52DDD"/>
    <w:rsid w:val="00C53E08"/>
    <w:rsid w:val="00C55DCE"/>
    <w:rsid w:val="00C56D8C"/>
    <w:rsid w:val="00C56F61"/>
    <w:rsid w:val="00C6138D"/>
    <w:rsid w:val="00C618DC"/>
    <w:rsid w:val="00C6272D"/>
    <w:rsid w:val="00C62DCE"/>
    <w:rsid w:val="00C6324A"/>
    <w:rsid w:val="00C64A59"/>
    <w:rsid w:val="00C677A1"/>
    <w:rsid w:val="00C704F8"/>
    <w:rsid w:val="00C70537"/>
    <w:rsid w:val="00C70DE4"/>
    <w:rsid w:val="00C71E61"/>
    <w:rsid w:val="00C725F6"/>
    <w:rsid w:val="00C72B49"/>
    <w:rsid w:val="00C73722"/>
    <w:rsid w:val="00C7438C"/>
    <w:rsid w:val="00C74924"/>
    <w:rsid w:val="00C754BD"/>
    <w:rsid w:val="00C7575B"/>
    <w:rsid w:val="00C76592"/>
    <w:rsid w:val="00C77088"/>
    <w:rsid w:val="00C774C0"/>
    <w:rsid w:val="00C779B4"/>
    <w:rsid w:val="00C80B03"/>
    <w:rsid w:val="00C811DD"/>
    <w:rsid w:val="00C81C26"/>
    <w:rsid w:val="00C8295C"/>
    <w:rsid w:val="00C83460"/>
    <w:rsid w:val="00C8350B"/>
    <w:rsid w:val="00C8365D"/>
    <w:rsid w:val="00C83740"/>
    <w:rsid w:val="00C83F97"/>
    <w:rsid w:val="00C85272"/>
    <w:rsid w:val="00C865B9"/>
    <w:rsid w:val="00C8689C"/>
    <w:rsid w:val="00C90702"/>
    <w:rsid w:val="00C90E7C"/>
    <w:rsid w:val="00C90F39"/>
    <w:rsid w:val="00C91F30"/>
    <w:rsid w:val="00C92277"/>
    <w:rsid w:val="00C92490"/>
    <w:rsid w:val="00C9262B"/>
    <w:rsid w:val="00C92BE6"/>
    <w:rsid w:val="00C92C26"/>
    <w:rsid w:val="00C9316A"/>
    <w:rsid w:val="00C93EC0"/>
    <w:rsid w:val="00C94AB4"/>
    <w:rsid w:val="00C952E8"/>
    <w:rsid w:val="00C95B37"/>
    <w:rsid w:val="00C95D56"/>
    <w:rsid w:val="00C95F23"/>
    <w:rsid w:val="00C97344"/>
    <w:rsid w:val="00C974E1"/>
    <w:rsid w:val="00C97C08"/>
    <w:rsid w:val="00CA0270"/>
    <w:rsid w:val="00CA0F7F"/>
    <w:rsid w:val="00CA2281"/>
    <w:rsid w:val="00CA2FC2"/>
    <w:rsid w:val="00CA30E0"/>
    <w:rsid w:val="00CA3919"/>
    <w:rsid w:val="00CA495E"/>
    <w:rsid w:val="00CA554D"/>
    <w:rsid w:val="00CA57CB"/>
    <w:rsid w:val="00CA63DD"/>
    <w:rsid w:val="00CA6416"/>
    <w:rsid w:val="00CA6AFD"/>
    <w:rsid w:val="00CA6DDE"/>
    <w:rsid w:val="00CA7A4C"/>
    <w:rsid w:val="00CA7B1E"/>
    <w:rsid w:val="00CB0FAB"/>
    <w:rsid w:val="00CB190F"/>
    <w:rsid w:val="00CB2A4D"/>
    <w:rsid w:val="00CB3BDD"/>
    <w:rsid w:val="00CB3C5F"/>
    <w:rsid w:val="00CB5995"/>
    <w:rsid w:val="00CC03AC"/>
    <w:rsid w:val="00CC03DD"/>
    <w:rsid w:val="00CC0765"/>
    <w:rsid w:val="00CC0831"/>
    <w:rsid w:val="00CC0D28"/>
    <w:rsid w:val="00CC1937"/>
    <w:rsid w:val="00CC2146"/>
    <w:rsid w:val="00CC2B54"/>
    <w:rsid w:val="00CC32B5"/>
    <w:rsid w:val="00CC4D77"/>
    <w:rsid w:val="00CC5426"/>
    <w:rsid w:val="00CC56E6"/>
    <w:rsid w:val="00CC69DD"/>
    <w:rsid w:val="00CC6DA0"/>
    <w:rsid w:val="00CC7054"/>
    <w:rsid w:val="00CD00FA"/>
    <w:rsid w:val="00CD027B"/>
    <w:rsid w:val="00CD0CF9"/>
    <w:rsid w:val="00CD13E6"/>
    <w:rsid w:val="00CD215D"/>
    <w:rsid w:val="00CD26A4"/>
    <w:rsid w:val="00CD2C7C"/>
    <w:rsid w:val="00CD413F"/>
    <w:rsid w:val="00CD5D8A"/>
    <w:rsid w:val="00CE21A8"/>
    <w:rsid w:val="00CE2341"/>
    <w:rsid w:val="00CE28FA"/>
    <w:rsid w:val="00CE3207"/>
    <w:rsid w:val="00CE32FD"/>
    <w:rsid w:val="00CE3B02"/>
    <w:rsid w:val="00CE3B65"/>
    <w:rsid w:val="00CE4953"/>
    <w:rsid w:val="00CE4A3E"/>
    <w:rsid w:val="00CE5857"/>
    <w:rsid w:val="00CE5DAD"/>
    <w:rsid w:val="00CE5E4A"/>
    <w:rsid w:val="00CE6560"/>
    <w:rsid w:val="00CE6961"/>
    <w:rsid w:val="00CE70DE"/>
    <w:rsid w:val="00CE79D1"/>
    <w:rsid w:val="00CE7BB7"/>
    <w:rsid w:val="00CF0F2C"/>
    <w:rsid w:val="00CF24E7"/>
    <w:rsid w:val="00CF27BD"/>
    <w:rsid w:val="00CF3644"/>
    <w:rsid w:val="00CF3CCC"/>
    <w:rsid w:val="00CF4224"/>
    <w:rsid w:val="00CF4C28"/>
    <w:rsid w:val="00CF5E8B"/>
    <w:rsid w:val="00CF634C"/>
    <w:rsid w:val="00CF67CB"/>
    <w:rsid w:val="00CF720F"/>
    <w:rsid w:val="00D01520"/>
    <w:rsid w:val="00D02A40"/>
    <w:rsid w:val="00D03E36"/>
    <w:rsid w:val="00D03E37"/>
    <w:rsid w:val="00D048F8"/>
    <w:rsid w:val="00D0573C"/>
    <w:rsid w:val="00D061E6"/>
    <w:rsid w:val="00D07732"/>
    <w:rsid w:val="00D1002E"/>
    <w:rsid w:val="00D12763"/>
    <w:rsid w:val="00D150D7"/>
    <w:rsid w:val="00D15448"/>
    <w:rsid w:val="00D15572"/>
    <w:rsid w:val="00D15600"/>
    <w:rsid w:val="00D16767"/>
    <w:rsid w:val="00D16948"/>
    <w:rsid w:val="00D16CCE"/>
    <w:rsid w:val="00D17640"/>
    <w:rsid w:val="00D1791E"/>
    <w:rsid w:val="00D17D0A"/>
    <w:rsid w:val="00D2128D"/>
    <w:rsid w:val="00D21B76"/>
    <w:rsid w:val="00D228E3"/>
    <w:rsid w:val="00D22CC3"/>
    <w:rsid w:val="00D23C0F"/>
    <w:rsid w:val="00D23F65"/>
    <w:rsid w:val="00D24732"/>
    <w:rsid w:val="00D24F8F"/>
    <w:rsid w:val="00D253D0"/>
    <w:rsid w:val="00D25654"/>
    <w:rsid w:val="00D25680"/>
    <w:rsid w:val="00D25952"/>
    <w:rsid w:val="00D25DF1"/>
    <w:rsid w:val="00D2622C"/>
    <w:rsid w:val="00D26772"/>
    <w:rsid w:val="00D267AB"/>
    <w:rsid w:val="00D26816"/>
    <w:rsid w:val="00D274E8"/>
    <w:rsid w:val="00D2777D"/>
    <w:rsid w:val="00D278AC"/>
    <w:rsid w:val="00D27B80"/>
    <w:rsid w:val="00D27BA3"/>
    <w:rsid w:val="00D3009C"/>
    <w:rsid w:val="00D303E4"/>
    <w:rsid w:val="00D3041A"/>
    <w:rsid w:val="00D310EF"/>
    <w:rsid w:val="00D31352"/>
    <w:rsid w:val="00D316B5"/>
    <w:rsid w:val="00D32F95"/>
    <w:rsid w:val="00D34CF0"/>
    <w:rsid w:val="00D3514B"/>
    <w:rsid w:val="00D35B7C"/>
    <w:rsid w:val="00D35CB1"/>
    <w:rsid w:val="00D36106"/>
    <w:rsid w:val="00D372E2"/>
    <w:rsid w:val="00D409EB"/>
    <w:rsid w:val="00D40F78"/>
    <w:rsid w:val="00D41925"/>
    <w:rsid w:val="00D41C84"/>
    <w:rsid w:val="00D41EC8"/>
    <w:rsid w:val="00D4224A"/>
    <w:rsid w:val="00D44CAC"/>
    <w:rsid w:val="00D4515C"/>
    <w:rsid w:val="00D46272"/>
    <w:rsid w:val="00D4679A"/>
    <w:rsid w:val="00D468FC"/>
    <w:rsid w:val="00D46CBE"/>
    <w:rsid w:val="00D47107"/>
    <w:rsid w:val="00D47A8F"/>
    <w:rsid w:val="00D50432"/>
    <w:rsid w:val="00D506AB"/>
    <w:rsid w:val="00D5080E"/>
    <w:rsid w:val="00D51DAC"/>
    <w:rsid w:val="00D51E41"/>
    <w:rsid w:val="00D52212"/>
    <w:rsid w:val="00D5258C"/>
    <w:rsid w:val="00D53931"/>
    <w:rsid w:val="00D5570E"/>
    <w:rsid w:val="00D55BD7"/>
    <w:rsid w:val="00D56153"/>
    <w:rsid w:val="00D56E53"/>
    <w:rsid w:val="00D570F2"/>
    <w:rsid w:val="00D57199"/>
    <w:rsid w:val="00D57850"/>
    <w:rsid w:val="00D57D24"/>
    <w:rsid w:val="00D60A11"/>
    <w:rsid w:val="00D60E81"/>
    <w:rsid w:val="00D61F46"/>
    <w:rsid w:val="00D622F0"/>
    <w:rsid w:val="00D62662"/>
    <w:rsid w:val="00D62CF7"/>
    <w:rsid w:val="00D676F8"/>
    <w:rsid w:val="00D705B7"/>
    <w:rsid w:val="00D70641"/>
    <w:rsid w:val="00D70793"/>
    <w:rsid w:val="00D70CE6"/>
    <w:rsid w:val="00D712FC"/>
    <w:rsid w:val="00D71AA0"/>
    <w:rsid w:val="00D72E0F"/>
    <w:rsid w:val="00D73E23"/>
    <w:rsid w:val="00D73F6A"/>
    <w:rsid w:val="00D742B8"/>
    <w:rsid w:val="00D7498F"/>
    <w:rsid w:val="00D7637B"/>
    <w:rsid w:val="00D77549"/>
    <w:rsid w:val="00D80D43"/>
    <w:rsid w:val="00D8216D"/>
    <w:rsid w:val="00D82493"/>
    <w:rsid w:val="00D827A3"/>
    <w:rsid w:val="00D83527"/>
    <w:rsid w:val="00D83D94"/>
    <w:rsid w:val="00D842E9"/>
    <w:rsid w:val="00D85477"/>
    <w:rsid w:val="00D86180"/>
    <w:rsid w:val="00D865F1"/>
    <w:rsid w:val="00D8671D"/>
    <w:rsid w:val="00D87750"/>
    <w:rsid w:val="00D90E45"/>
    <w:rsid w:val="00D90F00"/>
    <w:rsid w:val="00D91644"/>
    <w:rsid w:val="00D91999"/>
    <w:rsid w:val="00D91A96"/>
    <w:rsid w:val="00D91D91"/>
    <w:rsid w:val="00D928E4"/>
    <w:rsid w:val="00D93495"/>
    <w:rsid w:val="00D95CA9"/>
    <w:rsid w:val="00D967BE"/>
    <w:rsid w:val="00D96DEA"/>
    <w:rsid w:val="00D97C5B"/>
    <w:rsid w:val="00D97CA4"/>
    <w:rsid w:val="00D97DB9"/>
    <w:rsid w:val="00DA0031"/>
    <w:rsid w:val="00DA077D"/>
    <w:rsid w:val="00DA09CA"/>
    <w:rsid w:val="00DA137D"/>
    <w:rsid w:val="00DA2A3F"/>
    <w:rsid w:val="00DA2F72"/>
    <w:rsid w:val="00DA3868"/>
    <w:rsid w:val="00DA3E51"/>
    <w:rsid w:val="00DA47C5"/>
    <w:rsid w:val="00DA4C0D"/>
    <w:rsid w:val="00DA4D62"/>
    <w:rsid w:val="00DA52B9"/>
    <w:rsid w:val="00DA5366"/>
    <w:rsid w:val="00DA58CB"/>
    <w:rsid w:val="00DA5AE7"/>
    <w:rsid w:val="00DA6372"/>
    <w:rsid w:val="00DA650C"/>
    <w:rsid w:val="00DA73CD"/>
    <w:rsid w:val="00DA7A88"/>
    <w:rsid w:val="00DB032C"/>
    <w:rsid w:val="00DB0756"/>
    <w:rsid w:val="00DB0D80"/>
    <w:rsid w:val="00DB1063"/>
    <w:rsid w:val="00DB26E6"/>
    <w:rsid w:val="00DB351C"/>
    <w:rsid w:val="00DB3819"/>
    <w:rsid w:val="00DB44E2"/>
    <w:rsid w:val="00DB49CA"/>
    <w:rsid w:val="00DB4E64"/>
    <w:rsid w:val="00DB6036"/>
    <w:rsid w:val="00DB6383"/>
    <w:rsid w:val="00DB76A1"/>
    <w:rsid w:val="00DC04A1"/>
    <w:rsid w:val="00DC1FC7"/>
    <w:rsid w:val="00DC3F86"/>
    <w:rsid w:val="00DC43EF"/>
    <w:rsid w:val="00DC5A34"/>
    <w:rsid w:val="00DC5B44"/>
    <w:rsid w:val="00DC6328"/>
    <w:rsid w:val="00DC66C5"/>
    <w:rsid w:val="00DC7176"/>
    <w:rsid w:val="00DC759C"/>
    <w:rsid w:val="00DD01CA"/>
    <w:rsid w:val="00DD0C46"/>
    <w:rsid w:val="00DD180D"/>
    <w:rsid w:val="00DD2AA1"/>
    <w:rsid w:val="00DD4119"/>
    <w:rsid w:val="00DD4B95"/>
    <w:rsid w:val="00DD4BE0"/>
    <w:rsid w:val="00DD50F1"/>
    <w:rsid w:val="00DD5CBA"/>
    <w:rsid w:val="00DD5E5A"/>
    <w:rsid w:val="00DD61E2"/>
    <w:rsid w:val="00DD6247"/>
    <w:rsid w:val="00DD6B36"/>
    <w:rsid w:val="00DD7D4C"/>
    <w:rsid w:val="00DE0A01"/>
    <w:rsid w:val="00DE109D"/>
    <w:rsid w:val="00DE12D2"/>
    <w:rsid w:val="00DE16B2"/>
    <w:rsid w:val="00DE1A30"/>
    <w:rsid w:val="00DE2626"/>
    <w:rsid w:val="00DE2639"/>
    <w:rsid w:val="00DE2A8B"/>
    <w:rsid w:val="00DE2D2F"/>
    <w:rsid w:val="00DE32F5"/>
    <w:rsid w:val="00DE3675"/>
    <w:rsid w:val="00DE388C"/>
    <w:rsid w:val="00DE38F6"/>
    <w:rsid w:val="00DE648F"/>
    <w:rsid w:val="00DE64F5"/>
    <w:rsid w:val="00DE675F"/>
    <w:rsid w:val="00DE6F80"/>
    <w:rsid w:val="00DE75FB"/>
    <w:rsid w:val="00DE7C91"/>
    <w:rsid w:val="00DF12C5"/>
    <w:rsid w:val="00DF13A4"/>
    <w:rsid w:val="00DF2CFA"/>
    <w:rsid w:val="00DF3DD9"/>
    <w:rsid w:val="00DF3EFF"/>
    <w:rsid w:val="00DF4268"/>
    <w:rsid w:val="00DF5322"/>
    <w:rsid w:val="00DF5468"/>
    <w:rsid w:val="00DF5513"/>
    <w:rsid w:val="00DF5ACA"/>
    <w:rsid w:val="00DF7B4E"/>
    <w:rsid w:val="00DF7BFA"/>
    <w:rsid w:val="00E000C2"/>
    <w:rsid w:val="00E002B2"/>
    <w:rsid w:val="00E014B5"/>
    <w:rsid w:val="00E03E8F"/>
    <w:rsid w:val="00E03F06"/>
    <w:rsid w:val="00E043C9"/>
    <w:rsid w:val="00E0495A"/>
    <w:rsid w:val="00E05647"/>
    <w:rsid w:val="00E0608D"/>
    <w:rsid w:val="00E06B36"/>
    <w:rsid w:val="00E06B4A"/>
    <w:rsid w:val="00E06C83"/>
    <w:rsid w:val="00E07B44"/>
    <w:rsid w:val="00E10126"/>
    <w:rsid w:val="00E109D2"/>
    <w:rsid w:val="00E11009"/>
    <w:rsid w:val="00E112BD"/>
    <w:rsid w:val="00E117F5"/>
    <w:rsid w:val="00E1257C"/>
    <w:rsid w:val="00E13F10"/>
    <w:rsid w:val="00E14B71"/>
    <w:rsid w:val="00E15832"/>
    <w:rsid w:val="00E1592F"/>
    <w:rsid w:val="00E1620C"/>
    <w:rsid w:val="00E16613"/>
    <w:rsid w:val="00E16D3F"/>
    <w:rsid w:val="00E1772E"/>
    <w:rsid w:val="00E178E0"/>
    <w:rsid w:val="00E2000D"/>
    <w:rsid w:val="00E20499"/>
    <w:rsid w:val="00E21442"/>
    <w:rsid w:val="00E22C47"/>
    <w:rsid w:val="00E246BC"/>
    <w:rsid w:val="00E24C92"/>
    <w:rsid w:val="00E25256"/>
    <w:rsid w:val="00E253DF"/>
    <w:rsid w:val="00E27ADE"/>
    <w:rsid w:val="00E3010E"/>
    <w:rsid w:val="00E303FF"/>
    <w:rsid w:val="00E32DFF"/>
    <w:rsid w:val="00E34A75"/>
    <w:rsid w:val="00E34E19"/>
    <w:rsid w:val="00E34F20"/>
    <w:rsid w:val="00E35238"/>
    <w:rsid w:val="00E35698"/>
    <w:rsid w:val="00E3584C"/>
    <w:rsid w:val="00E35CE9"/>
    <w:rsid w:val="00E3698A"/>
    <w:rsid w:val="00E36A46"/>
    <w:rsid w:val="00E36A52"/>
    <w:rsid w:val="00E373F1"/>
    <w:rsid w:val="00E409E9"/>
    <w:rsid w:val="00E40A54"/>
    <w:rsid w:val="00E40C0E"/>
    <w:rsid w:val="00E413BE"/>
    <w:rsid w:val="00E43140"/>
    <w:rsid w:val="00E435A1"/>
    <w:rsid w:val="00E4500D"/>
    <w:rsid w:val="00E453E5"/>
    <w:rsid w:val="00E457EF"/>
    <w:rsid w:val="00E458F3"/>
    <w:rsid w:val="00E45934"/>
    <w:rsid w:val="00E45E3B"/>
    <w:rsid w:val="00E4643E"/>
    <w:rsid w:val="00E469F1"/>
    <w:rsid w:val="00E46A30"/>
    <w:rsid w:val="00E508CF"/>
    <w:rsid w:val="00E5130F"/>
    <w:rsid w:val="00E5175E"/>
    <w:rsid w:val="00E5188D"/>
    <w:rsid w:val="00E51C2D"/>
    <w:rsid w:val="00E52320"/>
    <w:rsid w:val="00E52E06"/>
    <w:rsid w:val="00E53932"/>
    <w:rsid w:val="00E546F1"/>
    <w:rsid w:val="00E55A19"/>
    <w:rsid w:val="00E56C9A"/>
    <w:rsid w:val="00E577D9"/>
    <w:rsid w:val="00E578C4"/>
    <w:rsid w:val="00E606C3"/>
    <w:rsid w:val="00E60721"/>
    <w:rsid w:val="00E6083D"/>
    <w:rsid w:val="00E60E72"/>
    <w:rsid w:val="00E6130B"/>
    <w:rsid w:val="00E61DD8"/>
    <w:rsid w:val="00E62DC5"/>
    <w:rsid w:val="00E6339F"/>
    <w:rsid w:val="00E64DEB"/>
    <w:rsid w:val="00E64FF6"/>
    <w:rsid w:val="00E65ABD"/>
    <w:rsid w:val="00E6635D"/>
    <w:rsid w:val="00E67038"/>
    <w:rsid w:val="00E703AC"/>
    <w:rsid w:val="00E7247A"/>
    <w:rsid w:val="00E73662"/>
    <w:rsid w:val="00E7381B"/>
    <w:rsid w:val="00E74E21"/>
    <w:rsid w:val="00E76141"/>
    <w:rsid w:val="00E761CC"/>
    <w:rsid w:val="00E765F6"/>
    <w:rsid w:val="00E82018"/>
    <w:rsid w:val="00E842E4"/>
    <w:rsid w:val="00E8463C"/>
    <w:rsid w:val="00E8484A"/>
    <w:rsid w:val="00E84902"/>
    <w:rsid w:val="00E85022"/>
    <w:rsid w:val="00E854C0"/>
    <w:rsid w:val="00E85AED"/>
    <w:rsid w:val="00E85CFD"/>
    <w:rsid w:val="00E86AA4"/>
    <w:rsid w:val="00E86F0F"/>
    <w:rsid w:val="00E87463"/>
    <w:rsid w:val="00E9058B"/>
    <w:rsid w:val="00E91976"/>
    <w:rsid w:val="00E91E59"/>
    <w:rsid w:val="00E9332A"/>
    <w:rsid w:val="00E9383F"/>
    <w:rsid w:val="00E93EC6"/>
    <w:rsid w:val="00E94715"/>
    <w:rsid w:val="00E9586C"/>
    <w:rsid w:val="00E973A0"/>
    <w:rsid w:val="00EA25CE"/>
    <w:rsid w:val="00EA2F1E"/>
    <w:rsid w:val="00EA2FCD"/>
    <w:rsid w:val="00EA3F1F"/>
    <w:rsid w:val="00EA4241"/>
    <w:rsid w:val="00EA5204"/>
    <w:rsid w:val="00EA5978"/>
    <w:rsid w:val="00EA6EF0"/>
    <w:rsid w:val="00EA7E08"/>
    <w:rsid w:val="00EB09FD"/>
    <w:rsid w:val="00EB1702"/>
    <w:rsid w:val="00EB4571"/>
    <w:rsid w:val="00EB4B80"/>
    <w:rsid w:val="00EB5253"/>
    <w:rsid w:val="00EB55B8"/>
    <w:rsid w:val="00EB595A"/>
    <w:rsid w:val="00EB5D29"/>
    <w:rsid w:val="00EB6131"/>
    <w:rsid w:val="00EB7314"/>
    <w:rsid w:val="00EC03FC"/>
    <w:rsid w:val="00EC08D5"/>
    <w:rsid w:val="00EC0CA8"/>
    <w:rsid w:val="00EC1966"/>
    <w:rsid w:val="00EC1B61"/>
    <w:rsid w:val="00EC262D"/>
    <w:rsid w:val="00EC44E1"/>
    <w:rsid w:val="00EC4D6D"/>
    <w:rsid w:val="00EC52A3"/>
    <w:rsid w:val="00EC52AC"/>
    <w:rsid w:val="00EC558B"/>
    <w:rsid w:val="00EC5596"/>
    <w:rsid w:val="00EC57C4"/>
    <w:rsid w:val="00EC5BA7"/>
    <w:rsid w:val="00EC64E9"/>
    <w:rsid w:val="00EC6EAC"/>
    <w:rsid w:val="00ED0121"/>
    <w:rsid w:val="00ED1038"/>
    <w:rsid w:val="00ED22EC"/>
    <w:rsid w:val="00ED341D"/>
    <w:rsid w:val="00ED3CBF"/>
    <w:rsid w:val="00ED4A78"/>
    <w:rsid w:val="00ED4DCE"/>
    <w:rsid w:val="00ED5778"/>
    <w:rsid w:val="00ED5A96"/>
    <w:rsid w:val="00ED7E52"/>
    <w:rsid w:val="00EE02C7"/>
    <w:rsid w:val="00EE0975"/>
    <w:rsid w:val="00EE1BEC"/>
    <w:rsid w:val="00EE36A4"/>
    <w:rsid w:val="00EE3A17"/>
    <w:rsid w:val="00EE3F96"/>
    <w:rsid w:val="00EE528E"/>
    <w:rsid w:val="00EE61EF"/>
    <w:rsid w:val="00EE669B"/>
    <w:rsid w:val="00EE6B71"/>
    <w:rsid w:val="00EE6CFD"/>
    <w:rsid w:val="00EE7977"/>
    <w:rsid w:val="00EE7982"/>
    <w:rsid w:val="00EE7CCB"/>
    <w:rsid w:val="00EF0173"/>
    <w:rsid w:val="00EF0258"/>
    <w:rsid w:val="00EF0A7E"/>
    <w:rsid w:val="00EF1930"/>
    <w:rsid w:val="00EF24C0"/>
    <w:rsid w:val="00EF329C"/>
    <w:rsid w:val="00EF3638"/>
    <w:rsid w:val="00EF37B7"/>
    <w:rsid w:val="00EF392B"/>
    <w:rsid w:val="00EF4C51"/>
    <w:rsid w:val="00EF7AAA"/>
    <w:rsid w:val="00EF7EA4"/>
    <w:rsid w:val="00F00594"/>
    <w:rsid w:val="00F0059B"/>
    <w:rsid w:val="00F006DA"/>
    <w:rsid w:val="00F00FD0"/>
    <w:rsid w:val="00F01629"/>
    <w:rsid w:val="00F0186C"/>
    <w:rsid w:val="00F01E3E"/>
    <w:rsid w:val="00F01E9C"/>
    <w:rsid w:val="00F02B6B"/>
    <w:rsid w:val="00F03CD1"/>
    <w:rsid w:val="00F0490B"/>
    <w:rsid w:val="00F049ED"/>
    <w:rsid w:val="00F061ED"/>
    <w:rsid w:val="00F06ACE"/>
    <w:rsid w:val="00F06AFF"/>
    <w:rsid w:val="00F10331"/>
    <w:rsid w:val="00F109C0"/>
    <w:rsid w:val="00F11D5F"/>
    <w:rsid w:val="00F121DB"/>
    <w:rsid w:val="00F122A9"/>
    <w:rsid w:val="00F12605"/>
    <w:rsid w:val="00F12628"/>
    <w:rsid w:val="00F139A9"/>
    <w:rsid w:val="00F14911"/>
    <w:rsid w:val="00F14B13"/>
    <w:rsid w:val="00F14C82"/>
    <w:rsid w:val="00F1688E"/>
    <w:rsid w:val="00F21C26"/>
    <w:rsid w:val="00F22205"/>
    <w:rsid w:val="00F22A87"/>
    <w:rsid w:val="00F22B28"/>
    <w:rsid w:val="00F24859"/>
    <w:rsid w:val="00F24BA9"/>
    <w:rsid w:val="00F26786"/>
    <w:rsid w:val="00F304C8"/>
    <w:rsid w:val="00F30DB4"/>
    <w:rsid w:val="00F30F72"/>
    <w:rsid w:val="00F31616"/>
    <w:rsid w:val="00F320EF"/>
    <w:rsid w:val="00F32464"/>
    <w:rsid w:val="00F32ABB"/>
    <w:rsid w:val="00F33126"/>
    <w:rsid w:val="00F33DAC"/>
    <w:rsid w:val="00F346AF"/>
    <w:rsid w:val="00F350F2"/>
    <w:rsid w:val="00F355FE"/>
    <w:rsid w:val="00F37093"/>
    <w:rsid w:val="00F40425"/>
    <w:rsid w:val="00F40580"/>
    <w:rsid w:val="00F4216B"/>
    <w:rsid w:val="00F42C0F"/>
    <w:rsid w:val="00F430F0"/>
    <w:rsid w:val="00F4317B"/>
    <w:rsid w:val="00F437B5"/>
    <w:rsid w:val="00F43C98"/>
    <w:rsid w:val="00F44157"/>
    <w:rsid w:val="00F446A9"/>
    <w:rsid w:val="00F44C09"/>
    <w:rsid w:val="00F4634A"/>
    <w:rsid w:val="00F46F5E"/>
    <w:rsid w:val="00F503C7"/>
    <w:rsid w:val="00F50ED6"/>
    <w:rsid w:val="00F511EB"/>
    <w:rsid w:val="00F512EF"/>
    <w:rsid w:val="00F51398"/>
    <w:rsid w:val="00F52C51"/>
    <w:rsid w:val="00F5317B"/>
    <w:rsid w:val="00F53703"/>
    <w:rsid w:val="00F54856"/>
    <w:rsid w:val="00F54D21"/>
    <w:rsid w:val="00F55C61"/>
    <w:rsid w:val="00F56302"/>
    <w:rsid w:val="00F5641C"/>
    <w:rsid w:val="00F56777"/>
    <w:rsid w:val="00F574BD"/>
    <w:rsid w:val="00F574D2"/>
    <w:rsid w:val="00F57699"/>
    <w:rsid w:val="00F57E6B"/>
    <w:rsid w:val="00F6065B"/>
    <w:rsid w:val="00F606E8"/>
    <w:rsid w:val="00F607A3"/>
    <w:rsid w:val="00F612D3"/>
    <w:rsid w:val="00F6153D"/>
    <w:rsid w:val="00F61691"/>
    <w:rsid w:val="00F627FF"/>
    <w:rsid w:val="00F62818"/>
    <w:rsid w:val="00F62DCC"/>
    <w:rsid w:val="00F62DD5"/>
    <w:rsid w:val="00F632BB"/>
    <w:rsid w:val="00F63646"/>
    <w:rsid w:val="00F6553E"/>
    <w:rsid w:val="00F65674"/>
    <w:rsid w:val="00F659A2"/>
    <w:rsid w:val="00F660A4"/>
    <w:rsid w:val="00F662F3"/>
    <w:rsid w:val="00F6672E"/>
    <w:rsid w:val="00F67544"/>
    <w:rsid w:val="00F67A36"/>
    <w:rsid w:val="00F711CD"/>
    <w:rsid w:val="00F712F8"/>
    <w:rsid w:val="00F722BC"/>
    <w:rsid w:val="00F72CFC"/>
    <w:rsid w:val="00F73029"/>
    <w:rsid w:val="00F743FC"/>
    <w:rsid w:val="00F7459B"/>
    <w:rsid w:val="00F74A1A"/>
    <w:rsid w:val="00F76E97"/>
    <w:rsid w:val="00F7751B"/>
    <w:rsid w:val="00F77904"/>
    <w:rsid w:val="00F803D2"/>
    <w:rsid w:val="00F80A68"/>
    <w:rsid w:val="00F80FFC"/>
    <w:rsid w:val="00F813C8"/>
    <w:rsid w:val="00F81ABF"/>
    <w:rsid w:val="00F828F8"/>
    <w:rsid w:val="00F83604"/>
    <w:rsid w:val="00F8373B"/>
    <w:rsid w:val="00F842C2"/>
    <w:rsid w:val="00F848E5"/>
    <w:rsid w:val="00F85380"/>
    <w:rsid w:val="00F85506"/>
    <w:rsid w:val="00F85717"/>
    <w:rsid w:val="00F86E0D"/>
    <w:rsid w:val="00F9015F"/>
    <w:rsid w:val="00F901FB"/>
    <w:rsid w:val="00F90CA1"/>
    <w:rsid w:val="00F90E84"/>
    <w:rsid w:val="00F915C0"/>
    <w:rsid w:val="00F9355B"/>
    <w:rsid w:val="00F93964"/>
    <w:rsid w:val="00F93CFA"/>
    <w:rsid w:val="00F93D4D"/>
    <w:rsid w:val="00F93FD0"/>
    <w:rsid w:val="00F94B40"/>
    <w:rsid w:val="00F956B7"/>
    <w:rsid w:val="00F959E6"/>
    <w:rsid w:val="00F95B22"/>
    <w:rsid w:val="00F96048"/>
    <w:rsid w:val="00F97437"/>
    <w:rsid w:val="00F97B4C"/>
    <w:rsid w:val="00FA07C4"/>
    <w:rsid w:val="00FA0DEC"/>
    <w:rsid w:val="00FA178F"/>
    <w:rsid w:val="00FA2548"/>
    <w:rsid w:val="00FA2757"/>
    <w:rsid w:val="00FA2C88"/>
    <w:rsid w:val="00FA438B"/>
    <w:rsid w:val="00FA44EC"/>
    <w:rsid w:val="00FA4633"/>
    <w:rsid w:val="00FA48ED"/>
    <w:rsid w:val="00FA635C"/>
    <w:rsid w:val="00FA6370"/>
    <w:rsid w:val="00FA6844"/>
    <w:rsid w:val="00FA6CE3"/>
    <w:rsid w:val="00FA72CA"/>
    <w:rsid w:val="00FB022D"/>
    <w:rsid w:val="00FB199B"/>
    <w:rsid w:val="00FB22C2"/>
    <w:rsid w:val="00FB32F3"/>
    <w:rsid w:val="00FB34B5"/>
    <w:rsid w:val="00FB4054"/>
    <w:rsid w:val="00FB5011"/>
    <w:rsid w:val="00FB6050"/>
    <w:rsid w:val="00FC0410"/>
    <w:rsid w:val="00FC089B"/>
    <w:rsid w:val="00FC09DE"/>
    <w:rsid w:val="00FC327B"/>
    <w:rsid w:val="00FC3448"/>
    <w:rsid w:val="00FC370D"/>
    <w:rsid w:val="00FC4F7D"/>
    <w:rsid w:val="00FC6551"/>
    <w:rsid w:val="00FC6F3A"/>
    <w:rsid w:val="00FC71C9"/>
    <w:rsid w:val="00FC74B3"/>
    <w:rsid w:val="00FC766E"/>
    <w:rsid w:val="00FD050F"/>
    <w:rsid w:val="00FD0A93"/>
    <w:rsid w:val="00FD0D6E"/>
    <w:rsid w:val="00FD4147"/>
    <w:rsid w:val="00FD464F"/>
    <w:rsid w:val="00FD5F76"/>
    <w:rsid w:val="00FD6434"/>
    <w:rsid w:val="00FE0F88"/>
    <w:rsid w:val="00FE19B0"/>
    <w:rsid w:val="00FE1B9D"/>
    <w:rsid w:val="00FE2039"/>
    <w:rsid w:val="00FE227E"/>
    <w:rsid w:val="00FE2EBD"/>
    <w:rsid w:val="00FE3905"/>
    <w:rsid w:val="00FE3DFE"/>
    <w:rsid w:val="00FE433F"/>
    <w:rsid w:val="00FE45AD"/>
    <w:rsid w:val="00FE7458"/>
    <w:rsid w:val="00FE7ABF"/>
    <w:rsid w:val="00FE7C64"/>
    <w:rsid w:val="00FF0D9C"/>
    <w:rsid w:val="00FF1CEB"/>
    <w:rsid w:val="00FF2F26"/>
    <w:rsid w:val="00FF377C"/>
    <w:rsid w:val="00FF440C"/>
    <w:rsid w:val="00FF45A0"/>
    <w:rsid w:val="00FF5335"/>
    <w:rsid w:val="00FF5546"/>
    <w:rsid w:val="00FF5D0E"/>
    <w:rsid w:val="00FF5FAE"/>
    <w:rsid w:val="00FF61D6"/>
    <w:rsid w:val="00FF64C2"/>
    <w:rsid w:val="00FF69A7"/>
    <w:rsid w:val="00FF6D7E"/>
    <w:rsid w:val="00FF7865"/>
    <w:rsid w:val="00FF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fill="f" fillcolor="white" stroke="f">
      <v:fill color="white" on="f"/>
      <v:stroke on="f"/>
    </o:shapedefaults>
    <o:shapelayout v:ext="edit">
      <o:idmap v:ext="edit" data="1"/>
    </o:shapelayout>
  </w:shapeDefaults>
  <w:decimalSymbol w:val="."/>
  <w:listSeparator w:val=","/>
  <w14:docId w14:val="1824A919"/>
  <w15:docId w15:val="{25E2EF74-09A7-4E13-9BED-9C4088E6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FB6"/>
    <w:rPr>
      <w:rFonts w:ascii="Verdana" w:hAnsi="Verdana"/>
      <w:szCs w:val="24"/>
    </w:rPr>
  </w:style>
  <w:style w:type="paragraph" w:styleId="Heading1">
    <w:name w:val="heading 1"/>
    <w:basedOn w:val="Normal"/>
    <w:next w:val="Normal"/>
    <w:link w:val="Heading1Char"/>
    <w:qFormat/>
    <w:rsid w:val="007C4FB6"/>
    <w:pPr>
      <w:keepNext/>
      <w:outlineLvl w:val="0"/>
    </w:pPr>
    <w:rPr>
      <w:b/>
      <w:bCs/>
      <w:sz w:val="24"/>
    </w:rPr>
  </w:style>
  <w:style w:type="paragraph" w:styleId="Heading2">
    <w:name w:val="heading 2"/>
    <w:basedOn w:val="Normal"/>
    <w:next w:val="Normal"/>
    <w:link w:val="Heading2Char"/>
    <w:qFormat/>
    <w:rsid w:val="007C4FB6"/>
    <w:pPr>
      <w:keepNext/>
      <w:widowControl w:val="0"/>
      <w:suppressAutoHyphens/>
      <w:overflowPunct w:val="0"/>
      <w:autoSpaceDE w:val="0"/>
      <w:autoSpaceDN w:val="0"/>
      <w:adjustRightInd w:val="0"/>
      <w:outlineLvl w:val="1"/>
    </w:pPr>
    <w:rPr>
      <w:rFonts w:eastAsia="Arial Unicode MS"/>
      <w:b/>
      <w:sz w:val="22"/>
      <w:szCs w:val="20"/>
    </w:rPr>
  </w:style>
  <w:style w:type="paragraph" w:styleId="Heading3">
    <w:name w:val="heading 3"/>
    <w:basedOn w:val="Normal"/>
    <w:next w:val="Normal"/>
    <w:link w:val="Heading3Char1"/>
    <w:qFormat/>
    <w:rsid w:val="00F6364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63646"/>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F63646"/>
    <w:pPr>
      <w:keepNext/>
      <w:numPr>
        <w:numId w:val="1"/>
      </w:numPr>
      <w:overflowPunct w:val="0"/>
      <w:autoSpaceDE w:val="0"/>
      <w:autoSpaceDN w:val="0"/>
      <w:adjustRightInd w:val="0"/>
      <w:textAlignment w:val="baseline"/>
      <w:outlineLvl w:val="4"/>
    </w:pPr>
    <w:rPr>
      <w:rFonts w:ascii="Times New Roman" w:hAnsi="Times New Roman"/>
      <w:b/>
      <w:sz w:val="24"/>
      <w:szCs w:val="20"/>
      <w:u w:val="single"/>
    </w:rPr>
  </w:style>
  <w:style w:type="paragraph" w:styleId="Heading6">
    <w:name w:val="heading 6"/>
    <w:basedOn w:val="Normal"/>
    <w:next w:val="Normal"/>
    <w:link w:val="Heading6Char"/>
    <w:qFormat/>
    <w:rsid w:val="007C4FB6"/>
    <w:pPr>
      <w:keepNext/>
      <w:widowControl w:val="0"/>
      <w:shd w:val="clear" w:color="auto" w:fill="999999"/>
      <w:overflowPunct w:val="0"/>
      <w:autoSpaceDE w:val="0"/>
      <w:autoSpaceDN w:val="0"/>
      <w:adjustRightInd w:val="0"/>
      <w:ind w:left="360" w:hanging="360"/>
      <w:textAlignment w:val="baseline"/>
      <w:outlineLvl w:val="5"/>
    </w:pPr>
    <w:rPr>
      <w:bCs/>
      <w:color w:val="FFFFFF"/>
      <w:sz w:val="28"/>
      <w:szCs w:val="20"/>
    </w:rPr>
  </w:style>
  <w:style w:type="paragraph" w:styleId="Heading7">
    <w:name w:val="heading 7"/>
    <w:basedOn w:val="Normal"/>
    <w:next w:val="Normal"/>
    <w:link w:val="Heading7Char"/>
    <w:qFormat/>
    <w:rsid w:val="00F63646"/>
    <w:pPr>
      <w:keepNext/>
      <w:numPr>
        <w:ilvl w:val="12"/>
      </w:numPr>
      <w:pBdr>
        <w:top w:val="single" w:sz="4" w:space="1" w:color="auto"/>
        <w:left w:val="single" w:sz="4" w:space="4" w:color="auto"/>
        <w:bottom w:val="single" w:sz="4" w:space="1" w:color="auto"/>
        <w:right w:val="single" w:sz="4" w:space="4" w:color="auto"/>
      </w:pBdr>
      <w:shd w:val="clear" w:color="auto" w:fill="C0C0C0"/>
      <w:overflowPunct w:val="0"/>
      <w:autoSpaceDE w:val="0"/>
      <w:autoSpaceDN w:val="0"/>
      <w:adjustRightInd w:val="0"/>
      <w:textAlignment w:val="baseline"/>
      <w:outlineLvl w:val="6"/>
    </w:pPr>
    <w:rPr>
      <w:rFonts w:ascii="Times New Roman" w:hAnsi="Times New Roman"/>
      <w:b/>
      <w:bCs/>
      <w:sz w:val="24"/>
      <w:szCs w:val="20"/>
      <w:u w:val="single"/>
    </w:rPr>
  </w:style>
  <w:style w:type="paragraph" w:styleId="Heading8">
    <w:name w:val="heading 8"/>
    <w:basedOn w:val="Normal"/>
    <w:next w:val="Normal"/>
    <w:link w:val="Heading8Char"/>
    <w:qFormat/>
    <w:rsid w:val="00F63646"/>
    <w:pPr>
      <w:keepNext/>
      <w:numPr>
        <w:ilvl w:val="12"/>
      </w:numPr>
      <w:pBdr>
        <w:top w:val="single" w:sz="4" w:space="1" w:color="auto"/>
        <w:left w:val="single" w:sz="4" w:space="4" w:color="auto"/>
        <w:bottom w:val="single" w:sz="4" w:space="1" w:color="auto"/>
        <w:right w:val="single" w:sz="4" w:space="4" w:color="auto"/>
      </w:pBdr>
      <w:shd w:val="clear" w:color="auto" w:fill="C0C0C0"/>
      <w:overflowPunct w:val="0"/>
      <w:autoSpaceDE w:val="0"/>
      <w:autoSpaceDN w:val="0"/>
      <w:adjustRightInd w:val="0"/>
      <w:ind w:left="360" w:hanging="360"/>
      <w:textAlignment w:val="baseline"/>
      <w:outlineLvl w:val="7"/>
    </w:pPr>
    <w:rPr>
      <w:rFonts w:ascii="Times New Roman" w:hAnsi="Times New Roman"/>
      <w:b/>
      <w:bCs/>
      <w:sz w:val="24"/>
      <w:szCs w:val="20"/>
      <w:u w:val="single"/>
    </w:rPr>
  </w:style>
  <w:style w:type="paragraph" w:styleId="Heading9">
    <w:name w:val="heading 9"/>
    <w:basedOn w:val="Normal"/>
    <w:next w:val="Normal"/>
    <w:link w:val="Heading9Char"/>
    <w:qFormat/>
    <w:rsid w:val="00F6364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3646"/>
    <w:rPr>
      <w:rFonts w:ascii="Verdana" w:hAnsi="Verdana"/>
      <w:b/>
      <w:bCs/>
      <w:sz w:val="24"/>
      <w:szCs w:val="24"/>
    </w:rPr>
  </w:style>
  <w:style w:type="character" w:customStyle="1" w:styleId="Heading2Char">
    <w:name w:val="Heading 2 Char"/>
    <w:basedOn w:val="DefaultParagraphFont"/>
    <w:link w:val="Heading2"/>
    <w:uiPriority w:val="9"/>
    <w:rsid w:val="00F63646"/>
    <w:rPr>
      <w:rFonts w:ascii="Verdana" w:eastAsia="Arial Unicode MS" w:hAnsi="Verdana"/>
      <w:b/>
      <w:sz w:val="22"/>
    </w:rPr>
  </w:style>
  <w:style w:type="character" w:customStyle="1" w:styleId="Heading3Char1">
    <w:name w:val="Heading 3 Char1"/>
    <w:basedOn w:val="DefaultParagraphFont"/>
    <w:link w:val="Heading3"/>
    <w:rsid w:val="00F63646"/>
    <w:rPr>
      <w:rFonts w:ascii="Arial" w:hAnsi="Arial" w:cs="Arial"/>
      <w:b/>
      <w:bCs/>
      <w:sz w:val="26"/>
      <w:szCs w:val="26"/>
    </w:rPr>
  </w:style>
  <w:style w:type="character" w:customStyle="1" w:styleId="Heading4Char">
    <w:name w:val="Heading 4 Char"/>
    <w:basedOn w:val="DefaultParagraphFont"/>
    <w:link w:val="Heading4"/>
    <w:uiPriority w:val="9"/>
    <w:rsid w:val="00F63646"/>
    <w:rPr>
      <w:b/>
      <w:bCs/>
      <w:sz w:val="28"/>
      <w:szCs w:val="28"/>
    </w:rPr>
  </w:style>
  <w:style w:type="character" w:customStyle="1" w:styleId="Heading5Char">
    <w:name w:val="Heading 5 Char"/>
    <w:basedOn w:val="DefaultParagraphFont"/>
    <w:link w:val="Heading5"/>
    <w:rsid w:val="00F63646"/>
    <w:rPr>
      <w:b/>
      <w:sz w:val="24"/>
      <w:u w:val="single"/>
    </w:rPr>
  </w:style>
  <w:style w:type="character" w:customStyle="1" w:styleId="Heading6Char">
    <w:name w:val="Heading 6 Char"/>
    <w:basedOn w:val="DefaultParagraphFont"/>
    <w:link w:val="Heading6"/>
    <w:rsid w:val="00F63646"/>
    <w:rPr>
      <w:rFonts w:ascii="Verdana" w:hAnsi="Verdana"/>
      <w:bCs/>
      <w:color w:val="FFFFFF"/>
      <w:sz w:val="28"/>
      <w:shd w:val="clear" w:color="auto" w:fill="999999"/>
    </w:rPr>
  </w:style>
  <w:style w:type="character" w:customStyle="1" w:styleId="Heading7Char">
    <w:name w:val="Heading 7 Char"/>
    <w:basedOn w:val="DefaultParagraphFont"/>
    <w:link w:val="Heading7"/>
    <w:rsid w:val="00F63646"/>
    <w:rPr>
      <w:b/>
      <w:bCs/>
      <w:sz w:val="24"/>
      <w:u w:val="single"/>
      <w:shd w:val="clear" w:color="auto" w:fill="C0C0C0"/>
    </w:rPr>
  </w:style>
  <w:style w:type="character" w:customStyle="1" w:styleId="Heading8Char">
    <w:name w:val="Heading 8 Char"/>
    <w:basedOn w:val="DefaultParagraphFont"/>
    <w:link w:val="Heading8"/>
    <w:rsid w:val="00F63646"/>
    <w:rPr>
      <w:b/>
      <w:bCs/>
      <w:sz w:val="24"/>
      <w:u w:val="single"/>
      <w:shd w:val="clear" w:color="auto" w:fill="C0C0C0"/>
    </w:rPr>
  </w:style>
  <w:style w:type="character" w:customStyle="1" w:styleId="Heading9Char">
    <w:name w:val="Heading 9 Char"/>
    <w:basedOn w:val="DefaultParagraphFont"/>
    <w:link w:val="Heading9"/>
    <w:rsid w:val="00F63646"/>
    <w:rPr>
      <w:rFonts w:ascii="Arial" w:hAnsi="Arial" w:cs="Arial"/>
      <w:sz w:val="22"/>
      <w:szCs w:val="22"/>
    </w:rPr>
  </w:style>
  <w:style w:type="paragraph" w:styleId="Title">
    <w:name w:val="Title"/>
    <w:basedOn w:val="Normal"/>
    <w:link w:val="TitleChar"/>
    <w:uiPriority w:val="10"/>
    <w:qFormat/>
    <w:rsid w:val="007C4FB6"/>
    <w:pPr>
      <w:jc w:val="center"/>
    </w:pPr>
    <w:rPr>
      <w:sz w:val="52"/>
    </w:rPr>
  </w:style>
  <w:style w:type="character" w:customStyle="1" w:styleId="TitleChar">
    <w:name w:val="Title Char"/>
    <w:basedOn w:val="DefaultParagraphFont"/>
    <w:link w:val="Title"/>
    <w:uiPriority w:val="10"/>
    <w:rsid w:val="00F63646"/>
    <w:rPr>
      <w:rFonts w:ascii="Verdana" w:hAnsi="Verdana"/>
      <w:sz w:val="52"/>
      <w:szCs w:val="24"/>
    </w:rPr>
  </w:style>
  <w:style w:type="paragraph" w:styleId="Subtitle">
    <w:name w:val="Subtitle"/>
    <w:basedOn w:val="Normal"/>
    <w:link w:val="SubtitleChar"/>
    <w:qFormat/>
    <w:rsid w:val="007C4FB6"/>
    <w:rPr>
      <w:b/>
      <w:bCs/>
    </w:rPr>
  </w:style>
  <w:style w:type="character" w:customStyle="1" w:styleId="SubtitleChar">
    <w:name w:val="Subtitle Char"/>
    <w:basedOn w:val="DefaultParagraphFont"/>
    <w:link w:val="Subtitle"/>
    <w:rsid w:val="00F63646"/>
    <w:rPr>
      <w:rFonts w:ascii="Verdana" w:hAnsi="Verdana"/>
      <w:b/>
      <w:bCs/>
      <w:szCs w:val="24"/>
    </w:rPr>
  </w:style>
  <w:style w:type="paragraph" w:styleId="BodyText">
    <w:name w:val="Body Text"/>
    <w:basedOn w:val="Normal"/>
    <w:link w:val="BodyTextChar"/>
    <w:rsid w:val="007C4FB6"/>
  </w:style>
  <w:style w:type="character" w:customStyle="1" w:styleId="BodyTextChar">
    <w:name w:val="Body Text Char"/>
    <w:basedOn w:val="DefaultParagraphFont"/>
    <w:link w:val="BodyText"/>
    <w:rsid w:val="00F63646"/>
    <w:rPr>
      <w:rFonts w:ascii="Verdana" w:hAnsi="Verdana"/>
      <w:szCs w:val="24"/>
    </w:rPr>
  </w:style>
  <w:style w:type="paragraph" w:styleId="BodyText2">
    <w:name w:val="Body Text 2"/>
    <w:basedOn w:val="Normal"/>
    <w:link w:val="BodyText2Char"/>
    <w:rsid w:val="007C4FB6"/>
    <w:pPr>
      <w:widowControl w:val="0"/>
      <w:suppressAutoHyphens/>
      <w:overflowPunct w:val="0"/>
      <w:autoSpaceDE w:val="0"/>
      <w:autoSpaceDN w:val="0"/>
      <w:adjustRightInd w:val="0"/>
    </w:pPr>
    <w:rPr>
      <w:sz w:val="22"/>
      <w:szCs w:val="20"/>
    </w:rPr>
  </w:style>
  <w:style w:type="character" w:customStyle="1" w:styleId="BodyText2Char">
    <w:name w:val="Body Text 2 Char"/>
    <w:basedOn w:val="DefaultParagraphFont"/>
    <w:link w:val="BodyText2"/>
    <w:rsid w:val="00F63646"/>
    <w:rPr>
      <w:rFonts w:ascii="Verdana" w:hAnsi="Verdana"/>
      <w:sz w:val="22"/>
    </w:rPr>
  </w:style>
  <w:style w:type="paragraph" w:styleId="BodyTextIndent">
    <w:name w:val="Body Text Indent"/>
    <w:basedOn w:val="Normal"/>
    <w:link w:val="BodyTextIndentChar"/>
    <w:rsid w:val="007C4FB6"/>
    <w:pPr>
      <w:widowControl w:val="0"/>
      <w:suppressAutoHyphens/>
      <w:overflowPunct w:val="0"/>
      <w:autoSpaceDE w:val="0"/>
      <w:autoSpaceDN w:val="0"/>
      <w:adjustRightInd w:val="0"/>
      <w:ind w:left="720"/>
    </w:pPr>
    <w:rPr>
      <w:sz w:val="22"/>
      <w:szCs w:val="20"/>
    </w:rPr>
  </w:style>
  <w:style w:type="character" w:customStyle="1" w:styleId="BodyTextIndentChar">
    <w:name w:val="Body Text Indent Char"/>
    <w:basedOn w:val="DefaultParagraphFont"/>
    <w:link w:val="BodyTextIndent"/>
    <w:rsid w:val="00F63646"/>
    <w:rPr>
      <w:rFonts w:ascii="Verdana" w:hAnsi="Verdana"/>
      <w:sz w:val="22"/>
    </w:rPr>
  </w:style>
  <w:style w:type="paragraph" w:styleId="Caption">
    <w:name w:val="caption"/>
    <w:basedOn w:val="Normal"/>
    <w:next w:val="Normal"/>
    <w:uiPriority w:val="99"/>
    <w:qFormat/>
    <w:rsid w:val="007C4FB6"/>
    <w:pPr>
      <w:widowControl w:val="0"/>
      <w:suppressAutoHyphens/>
      <w:overflowPunct w:val="0"/>
      <w:autoSpaceDE w:val="0"/>
      <w:autoSpaceDN w:val="0"/>
      <w:adjustRightInd w:val="0"/>
    </w:pPr>
    <w:rPr>
      <w:b/>
      <w:bCs/>
    </w:rPr>
  </w:style>
  <w:style w:type="paragraph" w:styleId="DocumentMap">
    <w:name w:val="Document Map"/>
    <w:basedOn w:val="Normal"/>
    <w:link w:val="DocumentMapChar"/>
    <w:semiHidden/>
    <w:rsid w:val="007C4FB6"/>
    <w:pPr>
      <w:shd w:val="clear" w:color="auto" w:fill="000080"/>
    </w:pPr>
    <w:rPr>
      <w:rFonts w:ascii="Tahoma" w:hAnsi="Tahoma" w:cs="Tahoma"/>
    </w:rPr>
  </w:style>
  <w:style w:type="character" w:customStyle="1" w:styleId="DocumentMapChar">
    <w:name w:val="Document Map Char"/>
    <w:basedOn w:val="DefaultParagraphFont"/>
    <w:link w:val="DocumentMap"/>
    <w:semiHidden/>
    <w:rsid w:val="00F63646"/>
    <w:rPr>
      <w:rFonts w:ascii="Tahoma" w:hAnsi="Tahoma" w:cs="Tahoma"/>
      <w:szCs w:val="24"/>
      <w:shd w:val="clear" w:color="auto" w:fill="000080"/>
    </w:rPr>
  </w:style>
  <w:style w:type="paragraph" w:customStyle="1" w:styleId="NormalIndent2">
    <w:name w:val="Normal Indent 2"/>
    <w:basedOn w:val="Normal"/>
    <w:rsid w:val="007C4FB6"/>
    <w:pPr>
      <w:widowControl w:val="0"/>
      <w:suppressAutoHyphens/>
      <w:overflowPunct w:val="0"/>
      <w:autoSpaceDE w:val="0"/>
      <w:autoSpaceDN w:val="0"/>
      <w:adjustRightInd w:val="0"/>
      <w:spacing w:after="180"/>
      <w:ind w:left="720"/>
      <w:textAlignment w:val="baseline"/>
    </w:pPr>
    <w:rPr>
      <w:rFonts w:ascii="Times New Roman" w:hAnsi="Times New Roman"/>
      <w:sz w:val="24"/>
      <w:szCs w:val="20"/>
    </w:rPr>
  </w:style>
  <w:style w:type="paragraph" w:styleId="EndnoteText">
    <w:name w:val="endnote text"/>
    <w:basedOn w:val="Normal"/>
    <w:link w:val="EndnoteTextChar"/>
    <w:semiHidden/>
    <w:rsid w:val="007C4FB6"/>
    <w:pPr>
      <w:widowControl w:val="0"/>
      <w:overflowPunct w:val="0"/>
      <w:autoSpaceDE w:val="0"/>
      <w:autoSpaceDN w:val="0"/>
      <w:adjustRightInd w:val="0"/>
      <w:textAlignment w:val="baseline"/>
    </w:pPr>
    <w:rPr>
      <w:rFonts w:ascii="Courier New" w:hAnsi="Courier New"/>
      <w:sz w:val="24"/>
      <w:szCs w:val="20"/>
    </w:rPr>
  </w:style>
  <w:style w:type="character" w:customStyle="1" w:styleId="EndnoteTextChar">
    <w:name w:val="Endnote Text Char"/>
    <w:basedOn w:val="DefaultParagraphFont"/>
    <w:link w:val="EndnoteText"/>
    <w:semiHidden/>
    <w:rsid w:val="00F63646"/>
    <w:rPr>
      <w:rFonts w:ascii="Courier New" w:hAnsi="Courier New"/>
      <w:sz w:val="24"/>
    </w:rPr>
  </w:style>
  <w:style w:type="paragraph" w:styleId="Header">
    <w:name w:val="header"/>
    <w:basedOn w:val="Normal"/>
    <w:link w:val="HeaderChar"/>
    <w:uiPriority w:val="99"/>
    <w:rsid w:val="007C4FB6"/>
    <w:pPr>
      <w:tabs>
        <w:tab w:val="center" w:pos="4320"/>
        <w:tab w:val="right" w:pos="8640"/>
      </w:tabs>
    </w:pPr>
  </w:style>
  <w:style w:type="character" w:customStyle="1" w:styleId="HeaderChar">
    <w:name w:val="Header Char"/>
    <w:basedOn w:val="DefaultParagraphFont"/>
    <w:link w:val="Header"/>
    <w:uiPriority w:val="99"/>
    <w:rsid w:val="00F63646"/>
    <w:rPr>
      <w:rFonts w:ascii="Verdana" w:hAnsi="Verdana"/>
      <w:szCs w:val="24"/>
    </w:rPr>
  </w:style>
  <w:style w:type="paragraph" w:styleId="Footer">
    <w:name w:val="footer"/>
    <w:basedOn w:val="Normal"/>
    <w:link w:val="FooterChar"/>
    <w:uiPriority w:val="99"/>
    <w:rsid w:val="007C4FB6"/>
    <w:pPr>
      <w:tabs>
        <w:tab w:val="center" w:pos="4320"/>
        <w:tab w:val="right" w:pos="8640"/>
      </w:tabs>
    </w:pPr>
  </w:style>
  <w:style w:type="character" w:customStyle="1" w:styleId="FooterChar">
    <w:name w:val="Footer Char"/>
    <w:basedOn w:val="DefaultParagraphFont"/>
    <w:link w:val="Footer"/>
    <w:uiPriority w:val="99"/>
    <w:rsid w:val="00F63646"/>
    <w:rPr>
      <w:rFonts w:ascii="Verdana" w:hAnsi="Verdana"/>
      <w:szCs w:val="24"/>
    </w:rPr>
  </w:style>
  <w:style w:type="character" w:styleId="PageNumber">
    <w:name w:val="page number"/>
    <w:basedOn w:val="DefaultParagraphFont"/>
    <w:rsid w:val="007C4FB6"/>
  </w:style>
  <w:style w:type="paragraph" w:styleId="BodyText3">
    <w:name w:val="Body Text 3"/>
    <w:basedOn w:val="Normal"/>
    <w:link w:val="BodyText3Char"/>
    <w:rsid w:val="007C4FB6"/>
    <w:rPr>
      <w:rFonts w:cs="Arial"/>
      <w:color w:val="000000"/>
      <w:szCs w:val="20"/>
    </w:rPr>
  </w:style>
  <w:style w:type="character" w:customStyle="1" w:styleId="BodyText3Char">
    <w:name w:val="Body Text 3 Char"/>
    <w:basedOn w:val="DefaultParagraphFont"/>
    <w:link w:val="BodyText3"/>
    <w:rsid w:val="00F63646"/>
    <w:rPr>
      <w:rFonts w:ascii="Verdana" w:hAnsi="Verdana" w:cs="Arial"/>
      <w:color w:val="000000"/>
    </w:rPr>
  </w:style>
  <w:style w:type="paragraph" w:styleId="FootnoteText">
    <w:name w:val="footnote text"/>
    <w:basedOn w:val="Normal"/>
    <w:link w:val="FootnoteTextChar"/>
    <w:uiPriority w:val="99"/>
    <w:rsid w:val="007C4FB6"/>
    <w:rPr>
      <w:szCs w:val="20"/>
    </w:rPr>
  </w:style>
  <w:style w:type="character" w:customStyle="1" w:styleId="FootnoteTextChar">
    <w:name w:val="Footnote Text Char"/>
    <w:basedOn w:val="DefaultParagraphFont"/>
    <w:link w:val="FootnoteText"/>
    <w:uiPriority w:val="99"/>
    <w:rsid w:val="00F63646"/>
    <w:rPr>
      <w:rFonts w:ascii="Verdana" w:hAnsi="Verdana"/>
    </w:rPr>
  </w:style>
  <w:style w:type="paragraph" w:customStyle="1" w:styleId="Notes">
    <w:name w:val="Notes"/>
    <w:basedOn w:val="Normal"/>
    <w:rsid w:val="007C4FB6"/>
    <w:rPr>
      <w:sz w:val="16"/>
    </w:rPr>
  </w:style>
  <w:style w:type="character" w:styleId="FootnoteReference">
    <w:name w:val="footnote reference"/>
    <w:basedOn w:val="DefaultParagraphFont"/>
    <w:uiPriority w:val="99"/>
    <w:semiHidden/>
    <w:rsid w:val="007C4FB6"/>
    <w:rPr>
      <w:vertAlign w:val="superscript"/>
    </w:rPr>
  </w:style>
  <w:style w:type="character" w:customStyle="1" w:styleId="Heading3Char">
    <w:name w:val="Heading 3 Char"/>
    <w:basedOn w:val="DefaultParagraphFont"/>
    <w:rsid w:val="00F63646"/>
    <w:rPr>
      <w:rFonts w:ascii="Cambria" w:eastAsia="Times New Roman" w:hAnsi="Cambria" w:cs="Times New Roman"/>
      <w:b/>
      <w:bCs/>
      <w:sz w:val="26"/>
      <w:szCs w:val="26"/>
    </w:rPr>
  </w:style>
  <w:style w:type="paragraph" w:styleId="NormalWeb">
    <w:name w:val="Normal (Web)"/>
    <w:basedOn w:val="Normal"/>
    <w:uiPriority w:val="99"/>
    <w:rsid w:val="00F63646"/>
    <w:pPr>
      <w:spacing w:before="100" w:beforeAutospacing="1" w:after="100" w:afterAutospacing="1"/>
    </w:pPr>
    <w:rPr>
      <w:rFonts w:ascii="Times New Roman" w:hAnsi="Times New Roman"/>
      <w:sz w:val="24"/>
    </w:rPr>
  </w:style>
  <w:style w:type="paragraph" w:customStyle="1" w:styleId="Default">
    <w:name w:val="Default"/>
    <w:rsid w:val="00F63646"/>
    <w:pPr>
      <w:autoSpaceDE w:val="0"/>
      <w:autoSpaceDN w:val="0"/>
      <w:adjustRightInd w:val="0"/>
    </w:pPr>
    <w:rPr>
      <w:color w:val="000000"/>
      <w:sz w:val="24"/>
      <w:szCs w:val="24"/>
    </w:rPr>
  </w:style>
  <w:style w:type="paragraph" w:styleId="BalloonText">
    <w:name w:val="Balloon Text"/>
    <w:basedOn w:val="Normal"/>
    <w:link w:val="BalloonTextChar"/>
    <w:unhideWhenUsed/>
    <w:rsid w:val="00F63646"/>
    <w:rPr>
      <w:rFonts w:ascii="Tahoma" w:hAnsi="Tahoma" w:cs="Tahoma"/>
      <w:sz w:val="16"/>
      <w:szCs w:val="16"/>
    </w:rPr>
  </w:style>
  <w:style w:type="character" w:customStyle="1" w:styleId="BalloonTextChar">
    <w:name w:val="Balloon Text Char"/>
    <w:basedOn w:val="DefaultParagraphFont"/>
    <w:link w:val="BalloonText"/>
    <w:rsid w:val="00F63646"/>
    <w:rPr>
      <w:rFonts w:ascii="Tahoma" w:hAnsi="Tahoma" w:cs="Tahoma"/>
      <w:sz w:val="16"/>
      <w:szCs w:val="16"/>
    </w:rPr>
  </w:style>
  <w:style w:type="paragraph" w:styleId="ListParagraph">
    <w:name w:val="List Paragraph"/>
    <w:basedOn w:val="Normal"/>
    <w:uiPriority w:val="34"/>
    <w:qFormat/>
    <w:rsid w:val="00F63646"/>
    <w:pPr>
      <w:ind w:left="720"/>
      <w:contextualSpacing/>
    </w:pPr>
  </w:style>
  <w:style w:type="paragraph" w:customStyle="1" w:styleId="text">
    <w:name w:val="text"/>
    <w:basedOn w:val="Normal"/>
    <w:rsid w:val="00F63646"/>
    <w:pPr>
      <w:spacing w:before="100" w:beforeAutospacing="1" w:after="100" w:afterAutospacing="1"/>
    </w:pPr>
    <w:rPr>
      <w:color w:val="666666"/>
      <w:sz w:val="18"/>
      <w:szCs w:val="18"/>
    </w:rPr>
  </w:style>
  <w:style w:type="paragraph" w:styleId="BodyTextIndent3">
    <w:name w:val="Body Text Indent 3"/>
    <w:basedOn w:val="Normal"/>
    <w:link w:val="BodyTextIndent3Char"/>
    <w:unhideWhenUsed/>
    <w:rsid w:val="00F63646"/>
    <w:pPr>
      <w:spacing w:after="120"/>
      <w:ind w:left="360"/>
    </w:pPr>
    <w:rPr>
      <w:sz w:val="16"/>
      <w:szCs w:val="16"/>
    </w:rPr>
  </w:style>
  <w:style w:type="character" w:customStyle="1" w:styleId="BodyTextIndent3Char">
    <w:name w:val="Body Text Indent 3 Char"/>
    <w:basedOn w:val="DefaultParagraphFont"/>
    <w:link w:val="BodyTextIndent3"/>
    <w:rsid w:val="00F63646"/>
    <w:rPr>
      <w:rFonts w:ascii="Verdana" w:hAnsi="Verdana"/>
      <w:sz w:val="16"/>
      <w:szCs w:val="16"/>
    </w:rPr>
  </w:style>
  <w:style w:type="paragraph" w:styleId="BodyTextIndent2">
    <w:name w:val="Body Text Indent 2"/>
    <w:basedOn w:val="Normal"/>
    <w:link w:val="BodyTextIndent2Char"/>
    <w:rsid w:val="00F63646"/>
    <w:pPr>
      <w:overflowPunct w:val="0"/>
      <w:autoSpaceDE w:val="0"/>
      <w:autoSpaceDN w:val="0"/>
      <w:adjustRightInd w:val="0"/>
      <w:ind w:left="360"/>
      <w:textAlignment w:val="baseline"/>
    </w:pPr>
    <w:rPr>
      <w:rFonts w:ascii="Times New Roman" w:hAnsi="Times New Roman"/>
      <w:sz w:val="24"/>
      <w:szCs w:val="20"/>
    </w:rPr>
  </w:style>
  <w:style w:type="character" w:customStyle="1" w:styleId="BodyTextIndent2Char">
    <w:name w:val="Body Text Indent 2 Char"/>
    <w:basedOn w:val="DefaultParagraphFont"/>
    <w:link w:val="BodyTextIndent2"/>
    <w:rsid w:val="00F63646"/>
    <w:rPr>
      <w:sz w:val="24"/>
    </w:rPr>
  </w:style>
  <w:style w:type="paragraph" w:customStyle="1" w:styleId="tabletextarial">
    <w:name w:val="table_text_arial"/>
    <w:basedOn w:val="Normal"/>
    <w:rsid w:val="00F63646"/>
    <w:pPr>
      <w:keepLines/>
      <w:widowControl w:val="0"/>
      <w:tabs>
        <w:tab w:val="left" w:pos="0"/>
        <w:tab w:val="left" w:pos="720"/>
        <w:tab w:val="left" w:pos="1080"/>
        <w:tab w:val="left" w:pos="1440"/>
        <w:tab w:val="left" w:pos="1800"/>
        <w:tab w:val="left" w:pos="2160"/>
        <w:tab w:val="left" w:pos="2520"/>
        <w:tab w:val="left" w:pos="2880"/>
      </w:tabs>
      <w:suppressAutoHyphens/>
      <w:overflowPunct w:val="0"/>
      <w:autoSpaceDE w:val="0"/>
      <w:autoSpaceDN w:val="0"/>
      <w:adjustRightInd w:val="0"/>
      <w:spacing w:before="80" w:after="80" w:line="240" w:lineRule="atLeast"/>
      <w:textAlignment w:val="baseline"/>
    </w:pPr>
    <w:rPr>
      <w:rFonts w:ascii="Arial" w:hAnsi="Arial"/>
      <w:szCs w:val="20"/>
    </w:rPr>
  </w:style>
  <w:style w:type="paragraph" w:customStyle="1" w:styleId="tablesteparial">
    <w:name w:val="table_step_arial"/>
    <w:basedOn w:val="Normal"/>
    <w:rsid w:val="00F63646"/>
    <w:pPr>
      <w:keepLines/>
      <w:widowControl w:val="0"/>
      <w:suppressAutoHyphens/>
      <w:overflowPunct w:val="0"/>
      <w:autoSpaceDE w:val="0"/>
      <w:autoSpaceDN w:val="0"/>
      <w:adjustRightInd w:val="0"/>
      <w:spacing w:before="80" w:after="80" w:line="240" w:lineRule="atLeast"/>
      <w:ind w:left="360" w:hanging="270"/>
      <w:textAlignment w:val="baseline"/>
    </w:pPr>
    <w:rPr>
      <w:rFonts w:ascii="Arial" w:hAnsi="Arial"/>
      <w:szCs w:val="20"/>
    </w:rPr>
  </w:style>
  <w:style w:type="paragraph" w:customStyle="1" w:styleId="xl24">
    <w:name w:val="xl24"/>
    <w:basedOn w:val="Normal"/>
    <w:rsid w:val="00F636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Unicode MS"/>
      <w:sz w:val="16"/>
      <w:szCs w:val="16"/>
    </w:rPr>
  </w:style>
  <w:style w:type="paragraph" w:customStyle="1" w:styleId="xl25">
    <w:name w:val="xl25"/>
    <w:basedOn w:val="Normal"/>
    <w:rsid w:val="00F63646"/>
    <w:pPr>
      <w:pBdr>
        <w:top w:val="single" w:sz="4" w:space="0" w:color="auto"/>
        <w:bottom w:val="single" w:sz="4" w:space="0" w:color="auto"/>
      </w:pBdr>
      <w:spacing w:before="100" w:beforeAutospacing="1" w:after="100" w:afterAutospacing="1"/>
    </w:pPr>
    <w:rPr>
      <w:rFonts w:eastAsia="Arial Unicode MS" w:cs="Arial Unicode MS"/>
      <w:sz w:val="16"/>
      <w:szCs w:val="16"/>
    </w:rPr>
  </w:style>
  <w:style w:type="paragraph" w:customStyle="1" w:styleId="xl26">
    <w:name w:val="xl26"/>
    <w:basedOn w:val="Normal"/>
    <w:rsid w:val="00F6364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Unicode MS"/>
      <w:sz w:val="16"/>
      <w:szCs w:val="16"/>
    </w:rPr>
  </w:style>
  <w:style w:type="paragraph" w:customStyle="1" w:styleId="xl27">
    <w:name w:val="xl27"/>
    <w:basedOn w:val="Normal"/>
    <w:rsid w:val="00F63646"/>
    <w:pPr>
      <w:pBdr>
        <w:top w:val="single" w:sz="4" w:space="0" w:color="auto"/>
        <w:left w:val="single" w:sz="4" w:space="0" w:color="auto"/>
        <w:bottom w:val="single" w:sz="4" w:space="0" w:color="auto"/>
        <w:right w:val="single" w:sz="4" w:space="0" w:color="auto"/>
      </w:pBdr>
      <w:shd w:val="clear" w:color="auto" w:fill="333333"/>
      <w:spacing w:before="100" w:beforeAutospacing="1" w:after="100" w:afterAutospacing="1"/>
    </w:pPr>
    <w:rPr>
      <w:rFonts w:eastAsia="Arial Unicode MS" w:cs="Arial Unicode MS"/>
      <w:sz w:val="16"/>
      <w:szCs w:val="16"/>
    </w:rPr>
  </w:style>
  <w:style w:type="paragraph" w:customStyle="1" w:styleId="xl28">
    <w:name w:val="xl28"/>
    <w:basedOn w:val="Normal"/>
    <w:rsid w:val="00F63646"/>
    <w:pPr>
      <w:pBdr>
        <w:top w:val="single" w:sz="4" w:space="0" w:color="auto"/>
        <w:left w:val="single" w:sz="4" w:space="0" w:color="auto"/>
        <w:bottom w:val="single" w:sz="4" w:space="0" w:color="auto"/>
        <w:right w:val="single" w:sz="4" w:space="0" w:color="auto"/>
      </w:pBdr>
      <w:shd w:val="pct75" w:color="auto" w:fill="C0C0C0"/>
      <w:spacing w:before="100" w:beforeAutospacing="1" w:after="100" w:afterAutospacing="1"/>
    </w:pPr>
    <w:rPr>
      <w:rFonts w:eastAsia="Arial Unicode MS" w:cs="Arial Unicode MS"/>
      <w:sz w:val="16"/>
      <w:szCs w:val="16"/>
    </w:rPr>
  </w:style>
  <w:style w:type="paragraph" w:customStyle="1" w:styleId="xl29">
    <w:name w:val="xl29"/>
    <w:basedOn w:val="Normal"/>
    <w:rsid w:val="00F63646"/>
    <w:pPr>
      <w:pBdr>
        <w:top w:val="single" w:sz="4" w:space="0" w:color="auto"/>
        <w:left w:val="single" w:sz="4" w:space="0" w:color="auto"/>
        <w:bottom w:val="single" w:sz="4" w:space="0" w:color="auto"/>
      </w:pBdr>
      <w:spacing w:before="100" w:beforeAutospacing="1" w:after="100" w:afterAutospacing="1"/>
    </w:pPr>
    <w:rPr>
      <w:rFonts w:eastAsia="Arial Unicode MS" w:cs="Arial Unicode MS"/>
      <w:sz w:val="16"/>
      <w:szCs w:val="16"/>
    </w:rPr>
  </w:style>
  <w:style w:type="paragraph" w:customStyle="1" w:styleId="xl30">
    <w:name w:val="xl30"/>
    <w:basedOn w:val="Normal"/>
    <w:rsid w:val="00F63646"/>
    <w:pPr>
      <w:pBdr>
        <w:top w:val="single" w:sz="4" w:space="0" w:color="auto"/>
        <w:bottom w:val="single" w:sz="4" w:space="0" w:color="auto"/>
      </w:pBdr>
      <w:shd w:val="clear" w:color="auto" w:fill="333333"/>
      <w:spacing w:before="100" w:beforeAutospacing="1" w:after="100" w:afterAutospacing="1"/>
    </w:pPr>
    <w:rPr>
      <w:rFonts w:eastAsia="Arial Unicode MS" w:cs="Arial Unicode MS"/>
      <w:sz w:val="16"/>
      <w:szCs w:val="16"/>
    </w:rPr>
  </w:style>
  <w:style w:type="paragraph" w:customStyle="1" w:styleId="xl31">
    <w:name w:val="xl31"/>
    <w:basedOn w:val="Normal"/>
    <w:rsid w:val="00F6364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eastAsia="Arial Unicode MS" w:cs="Arial Unicode MS"/>
      <w:sz w:val="16"/>
      <w:szCs w:val="16"/>
    </w:rPr>
  </w:style>
  <w:style w:type="paragraph" w:customStyle="1" w:styleId="xl32">
    <w:name w:val="xl32"/>
    <w:basedOn w:val="Normal"/>
    <w:rsid w:val="00F636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Unicode MS"/>
      <w:sz w:val="16"/>
      <w:szCs w:val="16"/>
    </w:rPr>
  </w:style>
  <w:style w:type="paragraph" w:customStyle="1" w:styleId="xl33">
    <w:name w:val="xl33"/>
    <w:basedOn w:val="Normal"/>
    <w:rsid w:val="00F636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Unicode MS"/>
      <w:sz w:val="16"/>
      <w:szCs w:val="16"/>
    </w:rPr>
  </w:style>
  <w:style w:type="paragraph" w:customStyle="1" w:styleId="xl34">
    <w:name w:val="xl34"/>
    <w:basedOn w:val="Normal"/>
    <w:rsid w:val="00F636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Unicode MS"/>
      <w:b/>
      <w:bCs/>
      <w:sz w:val="16"/>
      <w:szCs w:val="16"/>
    </w:rPr>
  </w:style>
  <w:style w:type="paragraph" w:customStyle="1" w:styleId="xl35">
    <w:name w:val="xl35"/>
    <w:basedOn w:val="Normal"/>
    <w:rsid w:val="00F636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Unicode MS"/>
      <w:sz w:val="12"/>
      <w:szCs w:val="12"/>
    </w:rPr>
  </w:style>
  <w:style w:type="paragraph" w:customStyle="1" w:styleId="xl36">
    <w:name w:val="xl36"/>
    <w:basedOn w:val="Normal"/>
    <w:rsid w:val="00F63646"/>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cs="Arial Unicode MS"/>
      <w:b/>
      <w:bCs/>
      <w:sz w:val="16"/>
      <w:szCs w:val="16"/>
    </w:rPr>
  </w:style>
  <w:style w:type="paragraph" w:customStyle="1" w:styleId="3text">
    <w:name w:val="3text"/>
    <w:basedOn w:val="Normal"/>
    <w:rsid w:val="00F63646"/>
    <w:pPr>
      <w:tabs>
        <w:tab w:val="left" w:pos="240"/>
        <w:tab w:val="left" w:pos="480"/>
      </w:tabs>
      <w:overflowPunct w:val="0"/>
      <w:autoSpaceDE w:val="0"/>
      <w:autoSpaceDN w:val="0"/>
      <w:adjustRightInd w:val="0"/>
      <w:spacing w:line="240" w:lineRule="atLeast"/>
      <w:ind w:left="240" w:hanging="240"/>
      <w:jc w:val="both"/>
      <w:textAlignment w:val="baseline"/>
    </w:pPr>
    <w:rPr>
      <w:rFonts w:ascii="Times Roman" w:hAnsi="Times Roman"/>
      <w:szCs w:val="20"/>
    </w:rPr>
  </w:style>
  <w:style w:type="character" w:styleId="Hyperlink">
    <w:name w:val="Hyperlink"/>
    <w:basedOn w:val="DefaultParagraphFont"/>
    <w:rsid w:val="00F63646"/>
    <w:rPr>
      <w:color w:val="0000FF"/>
      <w:u w:val="single"/>
    </w:rPr>
  </w:style>
  <w:style w:type="paragraph" w:customStyle="1" w:styleId="1text">
    <w:name w:val="1text"/>
    <w:rsid w:val="00F63646"/>
    <w:pPr>
      <w:tabs>
        <w:tab w:val="left" w:pos="240"/>
        <w:tab w:val="left" w:pos="480"/>
      </w:tabs>
      <w:overflowPunct w:val="0"/>
      <w:autoSpaceDE w:val="0"/>
      <w:autoSpaceDN w:val="0"/>
      <w:adjustRightInd w:val="0"/>
      <w:spacing w:before="120" w:line="240" w:lineRule="atLeast"/>
      <w:jc w:val="both"/>
      <w:textAlignment w:val="baseline"/>
    </w:pPr>
    <w:rPr>
      <w:rFonts w:ascii="Times Roman" w:hAnsi="Times Roman"/>
      <w:color w:val="000000"/>
    </w:rPr>
  </w:style>
  <w:style w:type="character" w:customStyle="1" w:styleId="Strong1">
    <w:name w:val="Strong1"/>
    <w:basedOn w:val="DefaultParagraphFont"/>
    <w:rsid w:val="00F63646"/>
    <w:rPr>
      <w:b w:val="0"/>
      <w:bCs w:val="0"/>
      <w:color w:val="95AD19"/>
    </w:rPr>
  </w:style>
  <w:style w:type="paragraph" w:customStyle="1" w:styleId="recipetext">
    <w:name w:val="recipetext"/>
    <w:basedOn w:val="Normal"/>
    <w:rsid w:val="00F63646"/>
    <w:pPr>
      <w:spacing w:before="100" w:beforeAutospacing="1" w:after="100" w:afterAutospacing="1"/>
    </w:pPr>
    <w:rPr>
      <w:rFonts w:ascii="Arial Unicode MS" w:eastAsia="Arial Unicode MS" w:hAnsi="Arial Unicode MS" w:cs="Arial Unicode MS"/>
      <w:sz w:val="24"/>
    </w:rPr>
  </w:style>
  <w:style w:type="paragraph" w:customStyle="1" w:styleId="smlite">
    <w:name w:val="smlite"/>
    <w:basedOn w:val="Normal"/>
    <w:rsid w:val="00F63646"/>
    <w:pPr>
      <w:spacing w:before="100" w:beforeAutospacing="1" w:after="100" w:afterAutospacing="1"/>
    </w:pPr>
    <w:rPr>
      <w:rFonts w:ascii="Arial Unicode MS" w:eastAsia="Arial Unicode MS" w:hAnsi="Arial Unicode MS" w:cs="Arial Unicode MS"/>
      <w:sz w:val="24"/>
    </w:rPr>
  </w:style>
  <w:style w:type="character" w:customStyle="1" w:styleId="prep">
    <w:name w:val="prep"/>
    <w:basedOn w:val="DefaultParagraphFont"/>
    <w:rsid w:val="00F63646"/>
  </w:style>
  <w:style w:type="character" w:customStyle="1" w:styleId="food">
    <w:name w:val="food"/>
    <w:basedOn w:val="DefaultParagraphFont"/>
    <w:rsid w:val="00F63646"/>
  </w:style>
  <w:style w:type="character" w:customStyle="1" w:styleId="CommentTextChar">
    <w:name w:val="Comment Text Char"/>
    <w:basedOn w:val="DefaultParagraphFont"/>
    <w:link w:val="CommentText"/>
    <w:uiPriority w:val="99"/>
    <w:semiHidden/>
    <w:rsid w:val="00F63646"/>
  </w:style>
  <w:style w:type="paragraph" w:styleId="CommentText">
    <w:name w:val="annotation text"/>
    <w:basedOn w:val="Normal"/>
    <w:link w:val="CommentTextChar"/>
    <w:uiPriority w:val="99"/>
    <w:semiHidden/>
    <w:rsid w:val="00F63646"/>
    <w:pPr>
      <w:overflowPunct w:val="0"/>
      <w:autoSpaceDE w:val="0"/>
      <w:autoSpaceDN w:val="0"/>
      <w:adjustRightInd w:val="0"/>
      <w:textAlignment w:val="baseline"/>
    </w:pPr>
    <w:rPr>
      <w:rFonts w:ascii="Times New Roman" w:hAnsi="Times New Roman"/>
      <w:szCs w:val="20"/>
    </w:rPr>
  </w:style>
  <w:style w:type="character" w:customStyle="1" w:styleId="CommentSubjectChar">
    <w:name w:val="Comment Subject Char"/>
    <w:basedOn w:val="CommentTextChar"/>
    <w:link w:val="CommentSubject"/>
    <w:semiHidden/>
    <w:rsid w:val="00F63646"/>
    <w:rPr>
      <w:b/>
      <w:bCs/>
    </w:rPr>
  </w:style>
  <w:style w:type="paragraph" w:styleId="CommentSubject">
    <w:name w:val="annotation subject"/>
    <w:basedOn w:val="CommentText"/>
    <w:next w:val="CommentText"/>
    <w:link w:val="CommentSubjectChar"/>
    <w:semiHidden/>
    <w:rsid w:val="00F63646"/>
    <w:rPr>
      <w:b/>
      <w:bCs/>
    </w:rPr>
  </w:style>
  <w:style w:type="character" w:styleId="FollowedHyperlink">
    <w:name w:val="FollowedHyperlink"/>
    <w:basedOn w:val="DefaultParagraphFont"/>
    <w:rsid w:val="00F63646"/>
    <w:rPr>
      <w:color w:val="800080"/>
      <w:u w:val="single"/>
    </w:rPr>
  </w:style>
  <w:style w:type="paragraph" w:customStyle="1" w:styleId="Style1">
    <w:name w:val="Style1"/>
    <w:basedOn w:val="Normal"/>
    <w:rsid w:val="00F63646"/>
    <w:pPr>
      <w:overflowPunct w:val="0"/>
      <w:autoSpaceDE w:val="0"/>
      <w:autoSpaceDN w:val="0"/>
      <w:adjustRightInd w:val="0"/>
      <w:textAlignment w:val="baseline"/>
    </w:pPr>
    <w:rPr>
      <w:rFonts w:ascii="Times New Roman" w:hAnsi="Times New Roman"/>
      <w:sz w:val="52"/>
      <w:szCs w:val="14"/>
      <w:bdr w:val="single" w:sz="4" w:space="0" w:color="auto"/>
    </w:rPr>
  </w:style>
  <w:style w:type="paragraph" w:styleId="ListBullet">
    <w:name w:val="List Bullet"/>
    <w:basedOn w:val="Normal"/>
    <w:rsid w:val="00F63646"/>
    <w:pPr>
      <w:widowControl w:val="0"/>
      <w:tabs>
        <w:tab w:val="num" w:pos="1062"/>
      </w:tabs>
      <w:overflowPunct w:val="0"/>
      <w:autoSpaceDE w:val="0"/>
      <w:autoSpaceDN w:val="0"/>
      <w:adjustRightInd w:val="0"/>
      <w:ind w:left="1062" w:hanging="360"/>
      <w:textAlignment w:val="baseline"/>
    </w:pPr>
    <w:rPr>
      <w:rFonts w:ascii="Arial" w:hAnsi="Arial" w:cs="Arial"/>
      <w:szCs w:val="20"/>
    </w:rPr>
  </w:style>
  <w:style w:type="paragraph" w:customStyle="1" w:styleId="Style2">
    <w:name w:val="Style2"/>
    <w:basedOn w:val="Normal"/>
    <w:rsid w:val="00F63646"/>
    <w:pPr>
      <w:overflowPunct w:val="0"/>
      <w:autoSpaceDE w:val="0"/>
      <w:autoSpaceDN w:val="0"/>
      <w:adjustRightInd w:val="0"/>
      <w:spacing w:before="120"/>
      <w:jc w:val="center"/>
      <w:textAlignment w:val="baseline"/>
    </w:pPr>
    <w:rPr>
      <w:rFonts w:ascii="Times New Roman" w:hAnsi="Times New Roman"/>
      <w:sz w:val="16"/>
      <w:szCs w:val="16"/>
    </w:rPr>
  </w:style>
  <w:style w:type="paragraph" w:styleId="NoSpacing">
    <w:name w:val="No Spacing"/>
    <w:link w:val="NoSpacingChar"/>
    <w:uiPriority w:val="99"/>
    <w:qFormat/>
    <w:rsid w:val="00F63646"/>
    <w:rPr>
      <w:rFonts w:ascii="Calibri" w:hAnsi="Calibri"/>
      <w:sz w:val="22"/>
      <w:szCs w:val="22"/>
    </w:rPr>
  </w:style>
  <w:style w:type="character" w:customStyle="1" w:styleId="NoSpacingChar">
    <w:name w:val="No Spacing Char"/>
    <w:basedOn w:val="DefaultParagraphFont"/>
    <w:link w:val="NoSpacing"/>
    <w:uiPriority w:val="99"/>
    <w:rsid w:val="00F63646"/>
    <w:rPr>
      <w:rFonts w:ascii="Calibri" w:hAnsi="Calibri"/>
      <w:sz w:val="22"/>
      <w:szCs w:val="22"/>
      <w:lang w:val="en-US" w:eastAsia="en-US" w:bidi="ar-SA"/>
    </w:rPr>
  </w:style>
  <w:style w:type="paragraph" w:styleId="HTMLPreformatted">
    <w:name w:val="HTML Preformatted"/>
    <w:basedOn w:val="Normal"/>
    <w:link w:val="HTMLPreformattedChar"/>
    <w:rsid w:val="00F6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rsid w:val="00F63646"/>
    <w:rPr>
      <w:rFonts w:ascii="Courier New" w:hAnsi="Courier New" w:cs="Courier New"/>
    </w:rPr>
  </w:style>
  <w:style w:type="paragraph" w:customStyle="1" w:styleId="Body">
    <w:name w:val="Body"/>
    <w:basedOn w:val="Normal"/>
    <w:rsid w:val="00A42932"/>
    <w:pPr>
      <w:spacing w:before="40" w:after="40"/>
    </w:pPr>
    <w:rPr>
      <w:rFonts w:ascii="Tahoma" w:hAnsi="Tahoma"/>
      <w:szCs w:val="20"/>
    </w:rPr>
  </w:style>
  <w:style w:type="table" w:styleId="TableGrid">
    <w:name w:val="Table Grid"/>
    <w:basedOn w:val="TableNormal"/>
    <w:rsid w:val="009062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1">
    <w:name w:val="Title Char1"/>
    <w:basedOn w:val="DefaultParagraphFont"/>
    <w:uiPriority w:val="10"/>
    <w:rsid w:val="00244E64"/>
    <w:rPr>
      <w:rFonts w:ascii="Cambria" w:eastAsia="Times New Roman" w:hAnsi="Cambria" w:cs="Times New Roman"/>
      <w:color w:val="17365D"/>
      <w:spacing w:val="5"/>
      <w:kern w:val="28"/>
      <w:sz w:val="52"/>
      <w:szCs w:val="52"/>
    </w:rPr>
  </w:style>
  <w:style w:type="paragraph" w:styleId="TOC1">
    <w:name w:val="toc 1"/>
    <w:basedOn w:val="Normal"/>
    <w:next w:val="Normal"/>
    <w:autoRedefine/>
    <w:semiHidden/>
    <w:rsid w:val="00244E64"/>
    <w:pPr>
      <w:tabs>
        <w:tab w:val="left" w:pos="1200"/>
        <w:tab w:val="right" w:leader="dot" w:pos="10800"/>
      </w:tabs>
      <w:spacing w:after="120"/>
      <w:ind w:left="1260" w:hanging="1260"/>
    </w:pPr>
    <w:rPr>
      <w:rFonts w:ascii="Calibri" w:hAnsi="Calibri" w:cs="Arial"/>
      <w:szCs w:val="16"/>
    </w:rPr>
  </w:style>
  <w:style w:type="character" w:customStyle="1" w:styleId="mapdefinition1">
    <w:name w:val="mapdefinition1"/>
    <w:basedOn w:val="DefaultParagraphFont"/>
    <w:rsid w:val="00B6546D"/>
    <w:rPr>
      <w:sz w:val="21"/>
      <w:szCs w:val="21"/>
    </w:rPr>
  </w:style>
  <w:style w:type="character" w:customStyle="1" w:styleId="apple-converted-space">
    <w:name w:val="apple-converted-space"/>
    <w:basedOn w:val="DefaultParagraphFont"/>
    <w:rsid w:val="00E765F6"/>
  </w:style>
  <w:style w:type="paragraph" w:customStyle="1" w:styleId="Caption1">
    <w:name w:val="Caption1"/>
    <w:basedOn w:val="Normal"/>
    <w:rsid w:val="009D531B"/>
    <w:pPr>
      <w:spacing w:before="100" w:beforeAutospacing="1" w:after="100" w:afterAutospacing="1"/>
    </w:pPr>
    <w:rPr>
      <w:rFonts w:ascii="Times New Roman" w:eastAsia="Times New Roman" w:hAnsi="Times New Roman"/>
      <w:sz w:val="24"/>
    </w:rPr>
  </w:style>
  <w:style w:type="character" w:styleId="CommentReference">
    <w:name w:val="annotation reference"/>
    <w:basedOn w:val="DefaultParagraphFont"/>
    <w:uiPriority w:val="99"/>
    <w:semiHidden/>
    <w:unhideWhenUsed/>
    <w:rsid w:val="00F01E9C"/>
    <w:rPr>
      <w:sz w:val="16"/>
      <w:szCs w:val="16"/>
    </w:rPr>
  </w:style>
  <w:style w:type="table" w:customStyle="1" w:styleId="TableGrid1">
    <w:name w:val="Table Grid1"/>
    <w:basedOn w:val="TableNormal"/>
    <w:next w:val="TableGrid"/>
    <w:rsid w:val="00C91F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6422">
      <w:bodyDiv w:val="1"/>
      <w:marLeft w:val="0"/>
      <w:marRight w:val="0"/>
      <w:marTop w:val="0"/>
      <w:marBottom w:val="0"/>
      <w:divBdr>
        <w:top w:val="none" w:sz="0" w:space="0" w:color="auto"/>
        <w:left w:val="none" w:sz="0" w:space="0" w:color="auto"/>
        <w:bottom w:val="none" w:sz="0" w:space="0" w:color="auto"/>
        <w:right w:val="none" w:sz="0" w:space="0" w:color="auto"/>
      </w:divBdr>
    </w:div>
    <w:div w:id="18044610">
      <w:bodyDiv w:val="1"/>
      <w:marLeft w:val="0"/>
      <w:marRight w:val="0"/>
      <w:marTop w:val="0"/>
      <w:marBottom w:val="0"/>
      <w:divBdr>
        <w:top w:val="none" w:sz="0" w:space="0" w:color="auto"/>
        <w:left w:val="none" w:sz="0" w:space="0" w:color="auto"/>
        <w:bottom w:val="none" w:sz="0" w:space="0" w:color="auto"/>
        <w:right w:val="none" w:sz="0" w:space="0" w:color="auto"/>
      </w:divBdr>
    </w:div>
    <w:div w:id="18899020">
      <w:bodyDiv w:val="1"/>
      <w:marLeft w:val="0"/>
      <w:marRight w:val="0"/>
      <w:marTop w:val="0"/>
      <w:marBottom w:val="0"/>
      <w:divBdr>
        <w:top w:val="none" w:sz="0" w:space="0" w:color="auto"/>
        <w:left w:val="none" w:sz="0" w:space="0" w:color="auto"/>
        <w:bottom w:val="none" w:sz="0" w:space="0" w:color="auto"/>
        <w:right w:val="none" w:sz="0" w:space="0" w:color="auto"/>
      </w:divBdr>
    </w:div>
    <w:div w:id="31158341">
      <w:bodyDiv w:val="1"/>
      <w:marLeft w:val="0"/>
      <w:marRight w:val="0"/>
      <w:marTop w:val="0"/>
      <w:marBottom w:val="0"/>
      <w:divBdr>
        <w:top w:val="none" w:sz="0" w:space="0" w:color="auto"/>
        <w:left w:val="none" w:sz="0" w:space="0" w:color="auto"/>
        <w:bottom w:val="none" w:sz="0" w:space="0" w:color="auto"/>
        <w:right w:val="none" w:sz="0" w:space="0" w:color="auto"/>
      </w:divBdr>
    </w:div>
    <w:div w:id="38677476">
      <w:bodyDiv w:val="1"/>
      <w:marLeft w:val="0"/>
      <w:marRight w:val="0"/>
      <w:marTop w:val="0"/>
      <w:marBottom w:val="0"/>
      <w:divBdr>
        <w:top w:val="none" w:sz="0" w:space="0" w:color="auto"/>
        <w:left w:val="none" w:sz="0" w:space="0" w:color="auto"/>
        <w:bottom w:val="none" w:sz="0" w:space="0" w:color="auto"/>
        <w:right w:val="none" w:sz="0" w:space="0" w:color="auto"/>
      </w:divBdr>
    </w:div>
    <w:div w:id="42095623">
      <w:bodyDiv w:val="1"/>
      <w:marLeft w:val="0"/>
      <w:marRight w:val="0"/>
      <w:marTop w:val="0"/>
      <w:marBottom w:val="0"/>
      <w:divBdr>
        <w:top w:val="none" w:sz="0" w:space="0" w:color="auto"/>
        <w:left w:val="none" w:sz="0" w:space="0" w:color="auto"/>
        <w:bottom w:val="none" w:sz="0" w:space="0" w:color="auto"/>
        <w:right w:val="none" w:sz="0" w:space="0" w:color="auto"/>
      </w:divBdr>
    </w:div>
    <w:div w:id="48964832">
      <w:bodyDiv w:val="1"/>
      <w:marLeft w:val="0"/>
      <w:marRight w:val="0"/>
      <w:marTop w:val="0"/>
      <w:marBottom w:val="0"/>
      <w:divBdr>
        <w:top w:val="none" w:sz="0" w:space="0" w:color="auto"/>
        <w:left w:val="none" w:sz="0" w:space="0" w:color="auto"/>
        <w:bottom w:val="none" w:sz="0" w:space="0" w:color="auto"/>
        <w:right w:val="none" w:sz="0" w:space="0" w:color="auto"/>
      </w:divBdr>
    </w:div>
    <w:div w:id="89474079">
      <w:bodyDiv w:val="1"/>
      <w:marLeft w:val="0"/>
      <w:marRight w:val="0"/>
      <w:marTop w:val="0"/>
      <w:marBottom w:val="0"/>
      <w:divBdr>
        <w:top w:val="none" w:sz="0" w:space="0" w:color="auto"/>
        <w:left w:val="none" w:sz="0" w:space="0" w:color="auto"/>
        <w:bottom w:val="none" w:sz="0" w:space="0" w:color="auto"/>
        <w:right w:val="none" w:sz="0" w:space="0" w:color="auto"/>
      </w:divBdr>
    </w:div>
    <w:div w:id="94911520">
      <w:bodyDiv w:val="1"/>
      <w:marLeft w:val="0"/>
      <w:marRight w:val="0"/>
      <w:marTop w:val="0"/>
      <w:marBottom w:val="0"/>
      <w:divBdr>
        <w:top w:val="none" w:sz="0" w:space="0" w:color="auto"/>
        <w:left w:val="none" w:sz="0" w:space="0" w:color="auto"/>
        <w:bottom w:val="none" w:sz="0" w:space="0" w:color="auto"/>
        <w:right w:val="none" w:sz="0" w:space="0" w:color="auto"/>
      </w:divBdr>
    </w:div>
    <w:div w:id="103504628">
      <w:bodyDiv w:val="1"/>
      <w:marLeft w:val="0"/>
      <w:marRight w:val="0"/>
      <w:marTop w:val="0"/>
      <w:marBottom w:val="0"/>
      <w:divBdr>
        <w:top w:val="none" w:sz="0" w:space="0" w:color="auto"/>
        <w:left w:val="none" w:sz="0" w:space="0" w:color="auto"/>
        <w:bottom w:val="none" w:sz="0" w:space="0" w:color="auto"/>
        <w:right w:val="none" w:sz="0" w:space="0" w:color="auto"/>
      </w:divBdr>
    </w:div>
    <w:div w:id="127210854">
      <w:bodyDiv w:val="1"/>
      <w:marLeft w:val="0"/>
      <w:marRight w:val="0"/>
      <w:marTop w:val="0"/>
      <w:marBottom w:val="0"/>
      <w:divBdr>
        <w:top w:val="none" w:sz="0" w:space="0" w:color="auto"/>
        <w:left w:val="none" w:sz="0" w:space="0" w:color="auto"/>
        <w:bottom w:val="none" w:sz="0" w:space="0" w:color="auto"/>
        <w:right w:val="none" w:sz="0" w:space="0" w:color="auto"/>
      </w:divBdr>
    </w:div>
    <w:div w:id="132449777">
      <w:bodyDiv w:val="1"/>
      <w:marLeft w:val="0"/>
      <w:marRight w:val="0"/>
      <w:marTop w:val="0"/>
      <w:marBottom w:val="0"/>
      <w:divBdr>
        <w:top w:val="none" w:sz="0" w:space="0" w:color="auto"/>
        <w:left w:val="none" w:sz="0" w:space="0" w:color="auto"/>
        <w:bottom w:val="none" w:sz="0" w:space="0" w:color="auto"/>
        <w:right w:val="none" w:sz="0" w:space="0" w:color="auto"/>
      </w:divBdr>
    </w:div>
    <w:div w:id="133986990">
      <w:bodyDiv w:val="1"/>
      <w:marLeft w:val="0"/>
      <w:marRight w:val="0"/>
      <w:marTop w:val="0"/>
      <w:marBottom w:val="0"/>
      <w:divBdr>
        <w:top w:val="none" w:sz="0" w:space="0" w:color="auto"/>
        <w:left w:val="none" w:sz="0" w:space="0" w:color="auto"/>
        <w:bottom w:val="none" w:sz="0" w:space="0" w:color="auto"/>
        <w:right w:val="none" w:sz="0" w:space="0" w:color="auto"/>
      </w:divBdr>
    </w:div>
    <w:div w:id="239366775">
      <w:bodyDiv w:val="1"/>
      <w:marLeft w:val="0"/>
      <w:marRight w:val="0"/>
      <w:marTop w:val="0"/>
      <w:marBottom w:val="0"/>
      <w:divBdr>
        <w:top w:val="none" w:sz="0" w:space="0" w:color="auto"/>
        <w:left w:val="none" w:sz="0" w:space="0" w:color="auto"/>
        <w:bottom w:val="none" w:sz="0" w:space="0" w:color="auto"/>
        <w:right w:val="none" w:sz="0" w:space="0" w:color="auto"/>
      </w:divBdr>
    </w:div>
    <w:div w:id="273363507">
      <w:bodyDiv w:val="1"/>
      <w:marLeft w:val="0"/>
      <w:marRight w:val="0"/>
      <w:marTop w:val="0"/>
      <w:marBottom w:val="0"/>
      <w:divBdr>
        <w:top w:val="none" w:sz="0" w:space="0" w:color="auto"/>
        <w:left w:val="none" w:sz="0" w:space="0" w:color="auto"/>
        <w:bottom w:val="none" w:sz="0" w:space="0" w:color="auto"/>
        <w:right w:val="none" w:sz="0" w:space="0" w:color="auto"/>
      </w:divBdr>
    </w:div>
    <w:div w:id="306663286">
      <w:bodyDiv w:val="1"/>
      <w:marLeft w:val="0"/>
      <w:marRight w:val="0"/>
      <w:marTop w:val="0"/>
      <w:marBottom w:val="0"/>
      <w:divBdr>
        <w:top w:val="none" w:sz="0" w:space="0" w:color="auto"/>
        <w:left w:val="none" w:sz="0" w:space="0" w:color="auto"/>
        <w:bottom w:val="none" w:sz="0" w:space="0" w:color="auto"/>
        <w:right w:val="none" w:sz="0" w:space="0" w:color="auto"/>
      </w:divBdr>
    </w:div>
    <w:div w:id="321473386">
      <w:bodyDiv w:val="1"/>
      <w:marLeft w:val="0"/>
      <w:marRight w:val="0"/>
      <w:marTop w:val="0"/>
      <w:marBottom w:val="0"/>
      <w:divBdr>
        <w:top w:val="none" w:sz="0" w:space="0" w:color="auto"/>
        <w:left w:val="none" w:sz="0" w:space="0" w:color="auto"/>
        <w:bottom w:val="none" w:sz="0" w:space="0" w:color="auto"/>
        <w:right w:val="none" w:sz="0" w:space="0" w:color="auto"/>
      </w:divBdr>
    </w:div>
    <w:div w:id="361126221">
      <w:bodyDiv w:val="1"/>
      <w:marLeft w:val="0"/>
      <w:marRight w:val="0"/>
      <w:marTop w:val="0"/>
      <w:marBottom w:val="0"/>
      <w:divBdr>
        <w:top w:val="none" w:sz="0" w:space="0" w:color="auto"/>
        <w:left w:val="none" w:sz="0" w:space="0" w:color="auto"/>
        <w:bottom w:val="none" w:sz="0" w:space="0" w:color="auto"/>
        <w:right w:val="none" w:sz="0" w:space="0" w:color="auto"/>
      </w:divBdr>
    </w:div>
    <w:div w:id="367413424">
      <w:bodyDiv w:val="1"/>
      <w:marLeft w:val="0"/>
      <w:marRight w:val="0"/>
      <w:marTop w:val="0"/>
      <w:marBottom w:val="0"/>
      <w:divBdr>
        <w:top w:val="none" w:sz="0" w:space="0" w:color="auto"/>
        <w:left w:val="none" w:sz="0" w:space="0" w:color="auto"/>
        <w:bottom w:val="none" w:sz="0" w:space="0" w:color="auto"/>
        <w:right w:val="none" w:sz="0" w:space="0" w:color="auto"/>
      </w:divBdr>
    </w:div>
    <w:div w:id="412316629">
      <w:bodyDiv w:val="1"/>
      <w:marLeft w:val="0"/>
      <w:marRight w:val="0"/>
      <w:marTop w:val="0"/>
      <w:marBottom w:val="0"/>
      <w:divBdr>
        <w:top w:val="none" w:sz="0" w:space="0" w:color="auto"/>
        <w:left w:val="none" w:sz="0" w:space="0" w:color="auto"/>
        <w:bottom w:val="none" w:sz="0" w:space="0" w:color="auto"/>
        <w:right w:val="none" w:sz="0" w:space="0" w:color="auto"/>
      </w:divBdr>
    </w:div>
    <w:div w:id="414009376">
      <w:bodyDiv w:val="1"/>
      <w:marLeft w:val="0"/>
      <w:marRight w:val="0"/>
      <w:marTop w:val="0"/>
      <w:marBottom w:val="0"/>
      <w:divBdr>
        <w:top w:val="none" w:sz="0" w:space="0" w:color="auto"/>
        <w:left w:val="none" w:sz="0" w:space="0" w:color="auto"/>
        <w:bottom w:val="none" w:sz="0" w:space="0" w:color="auto"/>
        <w:right w:val="none" w:sz="0" w:space="0" w:color="auto"/>
      </w:divBdr>
    </w:div>
    <w:div w:id="434666912">
      <w:bodyDiv w:val="1"/>
      <w:marLeft w:val="0"/>
      <w:marRight w:val="0"/>
      <w:marTop w:val="0"/>
      <w:marBottom w:val="0"/>
      <w:divBdr>
        <w:top w:val="none" w:sz="0" w:space="0" w:color="auto"/>
        <w:left w:val="none" w:sz="0" w:space="0" w:color="auto"/>
        <w:bottom w:val="none" w:sz="0" w:space="0" w:color="auto"/>
        <w:right w:val="none" w:sz="0" w:space="0" w:color="auto"/>
      </w:divBdr>
    </w:div>
    <w:div w:id="455757236">
      <w:bodyDiv w:val="1"/>
      <w:marLeft w:val="0"/>
      <w:marRight w:val="0"/>
      <w:marTop w:val="0"/>
      <w:marBottom w:val="0"/>
      <w:divBdr>
        <w:top w:val="none" w:sz="0" w:space="0" w:color="auto"/>
        <w:left w:val="none" w:sz="0" w:space="0" w:color="auto"/>
        <w:bottom w:val="none" w:sz="0" w:space="0" w:color="auto"/>
        <w:right w:val="none" w:sz="0" w:space="0" w:color="auto"/>
      </w:divBdr>
    </w:div>
    <w:div w:id="462357759">
      <w:bodyDiv w:val="1"/>
      <w:marLeft w:val="0"/>
      <w:marRight w:val="0"/>
      <w:marTop w:val="0"/>
      <w:marBottom w:val="0"/>
      <w:divBdr>
        <w:top w:val="none" w:sz="0" w:space="0" w:color="auto"/>
        <w:left w:val="none" w:sz="0" w:space="0" w:color="auto"/>
        <w:bottom w:val="none" w:sz="0" w:space="0" w:color="auto"/>
        <w:right w:val="none" w:sz="0" w:space="0" w:color="auto"/>
      </w:divBdr>
    </w:div>
    <w:div w:id="466706400">
      <w:bodyDiv w:val="1"/>
      <w:marLeft w:val="0"/>
      <w:marRight w:val="0"/>
      <w:marTop w:val="0"/>
      <w:marBottom w:val="0"/>
      <w:divBdr>
        <w:top w:val="none" w:sz="0" w:space="0" w:color="auto"/>
        <w:left w:val="none" w:sz="0" w:space="0" w:color="auto"/>
        <w:bottom w:val="none" w:sz="0" w:space="0" w:color="auto"/>
        <w:right w:val="none" w:sz="0" w:space="0" w:color="auto"/>
      </w:divBdr>
    </w:div>
    <w:div w:id="484709657">
      <w:bodyDiv w:val="1"/>
      <w:marLeft w:val="0"/>
      <w:marRight w:val="0"/>
      <w:marTop w:val="0"/>
      <w:marBottom w:val="0"/>
      <w:divBdr>
        <w:top w:val="none" w:sz="0" w:space="0" w:color="auto"/>
        <w:left w:val="none" w:sz="0" w:space="0" w:color="auto"/>
        <w:bottom w:val="none" w:sz="0" w:space="0" w:color="auto"/>
        <w:right w:val="none" w:sz="0" w:space="0" w:color="auto"/>
      </w:divBdr>
    </w:div>
    <w:div w:id="510801442">
      <w:bodyDiv w:val="1"/>
      <w:marLeft w:val="0"/>
      <w:marRight w:val="0"/>
      <w:marTop w:val="0"/>
      <w:marBottom w:val="0"/>
      <w:divBdr>
        <w:top w:val="none" w:sz="0" w:space="0" w:color="auto"/>
        <w:left w:val="none" w:sz="0" w:space="0" w:color="auto"/>
        <w:bottom w:val="none" w:sz="0" w:space="0" w:color="auto"/>
        <w:right w:val="none" w:sz="0" w:space="0" w:color="auto"/>
      </w:divBdr>
    </w:div>
    <w:div w:id="521163824">
      <w:bodyDiv w:val="1"/>
      <w:marLeft w:val="0"/>
      <w:marRight w:val="0"/>
      <w:marTop w:val="0"/>
      <w:marBottom w:val="0"/>
      <w:divBdr>
        <w:top w:val="none" w:sz="0" w:space="0" w:color="auto"/>
        <w:left w:val="none" w:sz="0" w:space="0" w:color="auto"/>
        <w:bottom w:val="none" w:sz="0" w:space="0" w:color="auto"/>
        <w:right w:val="none" w:sz="0" w:space="0" w:color="auto"/>
      </w:divBdr>
    </w:div>
    <w:div w:id="524905910">
      <w:bodyDiv w:val="1"/>
      <w:marLeft w:val="0"/>
      <w:marRight w:val="0"/>
      <w:marTop w:val="0"/>
      <w:marBottom w:val="0"/>
      <w:divBdr>
        <w:top w:val="none" w:sz="0" w:space="0" w:color="auto"/>
        <w:left w:val="none" w:sz="0" w:space="0" w:color="auto"/>
        <w:bottom w:val="none" w:sz="0" w:space="0" w:color="auto"/>
        <w:right w:val="none" w:sz="0" w:space="0" w:color="auto"/>
      </w:divBdr>
    </w:div>
    <w:div w:id="543754535">
      <w:bodyDiv w:val="1"/>
      <w:marLeft w:val="0"/>
      <w:marRight w:val="0"/>
      <w:marTop w:val="0"/>
      <w:marBottom w:val="0"/>
      <w:divBdr>
        <w:top w:val="none" w:sz="0" w:space="0" w:color="auto"/>
        <w:left w:val="none" w:sz="0" w:space="0" w:color="auto"/>
        <w:bottom w:val="none" w:sz="0" w:space="0" w:color="auto"/>
        <w:right w:val="none" w:sz="0" w:space="0" w:color="auto"/>
      </w:divBdr>
    </w:div>
    <w:div w:id="579826682">
      <w:bodyDiv w:val="1"/>
      <w:marLeft w:val="0"/>
      <w:marRight w:val="0"/>
      <w:marTop w:val="0"/>
      <w:marBottom w:val="0"/>
      <w:divBdr>
        <w:top w:val="none" w:sz="0" w:space="0" w:color="auto"/>
        <w:left w:val="none" w:sz="0" w:space="0" w:color="auto"/>
        <w:bottom w:val="none" w:sz="0" w:space="0" w:color="auto"/>
        <w:right w:val="none" w:sz="0" w:space="0" w:color="auto"/>
      </w:divBdr>
    </w:div>
    <w:div w:id="590314675">
      <w:bodyDiv w:val="1"/>
      <w:marLeft w:val="0"/>
      <w:marRight w:val="0"/>
      <w:marTop w:val="0"/>
      <w:marBottom w:val="0"/>
      <w:divBdr>
        <w:top w:val="none" w:sz="0" w:space="0" w:color="auto"/>
        <w:left w:val="none" w:sz="0" w:space="0" w:color="auto"/>
        <w:bottom w:val="none" w:sz="0" w:space="0" w:color="auto"/>
        <w:right w:val="none" w:sz="0" w:space="0" w:color="auto"/>
      </w:divBdr>
    </w:div>
    <w:div w:id="634137509">
      <w:bodyDiv w:val="1"/>
      <w:marLeft w:val="0"/>
      <w:marRight w:val="0"/>
      <w:marTop w:val="0"/>
      <w:marBottom w:val="0"/>
      <w:divBdr>
        <w:top w:val="none" w:sz="0" w:space="0" w:color="auto"/>
        <w:left w:val="none" w:sz="0" w:space="0" w:color="auto"/>
        <w:bottom w:val="none" w:sz="0" w:space="0" w:color="auto"/>
        <w:right w:val="none" w:sz="0" w:space="0" w:color="auto"/>
      </w:divBdr>
    </w:div>
    <w:div w:id="650867184">
      <w:bodyDiv w:val="1"/>
      <w:marLeft w:val="0"/>
      <w:marRight w:val="0"/>
      <w:marTop w:val="0"/>
      <w:marBottom w:val="0"/>
      <w:divBdr>
        <w:top w:val="none" w:sz="0" w:space="0" w:color="auto"/>
        <w:left w:val="none" w:sz="0" w:space="0" w:color="auto"/>
        <w:bottom w:val="none" w:sz="0" w:space="0" w:color="auto"/>
        <w:right w:val="none" w:sz="0" w:space="0" w:color="auto"/>
      </w:divBdr>
    </w:div>
    <w:div w:id="663704442">
      <w:bodyDiv w:val="1"/>
      <w:marLeft w:val="0"/>
      <w:marRight w:val="0"/>
      <w:marTop w:val="0"/>
      <w:marBottom w:val="0"/>
      <w:divBdr>
        <w:top w:val="none" w:sz="0" w:space="0" w:color="auto"/>
        <w:left w:val="none" w:sz="0" w:space="0" w:color="auto"/>
        <w:bottom w:val="none" w:sz="0" w:space="0" w:color="auto"/>
        <w:right w:val="none" w:sz="0" w:space="0" w:color="auto"/>
      </w:divBdr>
    </w:div>
    <w:div w:id="669527457">
      <w:bodyDiv w:val="1"/>
      <w:marLeft w:val="0"/>
      <w:marRight w:val="0"/>
      <w:marTop w:val="0"/>
      <w:marBottom w:val="0"/>
      <w:divBdr>
        <w:top w:val="none" w:sz="0" w:space="0" w:color="auto"/>
        <w:left w:val="none" w:sz="0" w:space="0" w:color="auto"/>
        <w:bottom w:val="none" w:sz="0" w:space="0" w:color="auto"/>
        <w:right w:val="none" w:sz="0" w:space="0" w:color="auto"/>
      </w:divBdr>
    </w:div>
    <w:div w:id="691567526">
      <w:bodyDiv w:val="1"/>
      <w:marLeft w:val="0"/>
      <w:marRight w:val="0"/>
      <w:marTop w:val="0"/>
      <w:marBottom w:val="0"/>
      <w:divBdr>
        <w:top w:val="none" w:sz="0" w:space="0" w:color="auto"/>
        <w:left w:val="none" w:sz="0" w:space="0" w:color="auto"/>
        <w:bottom w:val="none" w:sz="0" w:space="0" w:color="auto"/>
        <w:right w:val="none" w:sz="0" w:space="0" w:color="auto"/>
      </w:divBdr>
    </w:div>
    <w:div w:id="737287509">
      <w:bodyDiv w:val="1"/>
      <w:marLeft w:val="0"/>
      <w:marRight w:val="0"/>
      <w:marTop w:val="0"/>
      <w:marBottom w:val="0"/>
      <w:divBdr>
        <w:top w:val="none" w:sz="0" w:space="0" w:color="auto"/>
        <w:left w:val="none" w:sz="0" w:space="0" w:color="auto"/>
        <w:bottom w:val="none" w:sz="0" w:space="0" w:color="auto"/>
        <w:right w:val="none" w:sz="0" w:space="0" w:color="auto"/>
      </w:divBdr>
    </w:div>
    <w:div w:id="742528818">
      <w:bodyDiv w:val="1"/>
      <w:marLeft w:val="0"/>
      <w:marRight w:val="0"/>
      <w:marTop w:val="0"/>
      <w:marBottom w:val="0"/>
      <w:divBdr>
        <w:top w:val="none" w:sz="0" w:space="0" w:color="auto"/>
        <w:left w:val="none" w:sz="0" w:space="0" w:color="auto"/>
        <w:bottom w:val="none" w:sz="0" w:space="0" w:color="auto"/>
        <w:right w:val="none" w:sz="0" w:space="0" w:color="auto"/>
      </w:divBdr>
    </w:div>
    <w:div w:id="795374233">
      <w:bodyDiv w:val="1"/>
      <w:marLeft w:val="0"/>
      <w:marRight w:val="0"/>
      <w:marTop w:val="0"/>
      <w:marBottom w:val="0"/>
      <w:divBdr>
        <w:top w:val="none" w:sz="0" w:space="0" w:color="auto"/>
        <w:left w:val="none" w:sz="0" w:space="0" w:color="auto"/>
        <w:bottom w:val="none" w:sz="0" w:space="0" w:color="auto"/>
        <w:right w:val="none" w:sz="0" w:space="0" w:color="auto"/>
      </w:divBdr>
    </w:div>
    <w:div w:id="797604481">
      <w:bodyDiv w:val="1"/>
      <w:marLeft w:val="0"/>
      <w:marRight w:val="0"/>
      <w:marTop w:val="0"/>
      <w:marBottom w:val="0"/>
      <w:divBdr>
        <w:top w:val="none" w:sz="0" w:space="0" w:color="auto"/>
        <w:left w:val="none" w:sz="0" w:space="0" w:color="auto"/>
        <w:bottom w:val="none" w:sz="0" w:space="0" w:color="auto"/>
        <w:right w:val="none" w:sz="0" w:space="0" w:color="auto"/>
      </w:divBdr>
    </w:div>
    <w:div w:id="799348414">
      <w:bodyDiv w:val="1"/>
      <w:marLeft w:val="0"/>
      <w:marRight w:val="0"/>
      <w:marTop w:val="0"/>
      <w:marBottom w:val="0"/>
      <w:divBdr>
        <w:top w:val="none" w:sz="0" w:space="0" w:color="auto"/>
        <w:left w:val="none" w:sz="0" w:space="0" w:color="auto"/>
        <w:bottom w:val="none" w:sz="0" w:space="0" w:color="auto"/>
        <w:right w:val="none" w:sz="0" w:space="0" w:color="auto"/>
      </w:divBdr>
    </w:div>
    <w:div w:id="826437789">
      <w:bodyDiv w:val="1"/>
      <w:marLeft w:val="0"/>
      <w:marRight w:val="0"/>
      <w:marTop w:val="0"/>
      <w:marBottom w:val="0"/>
      <w:divBdr>
        <w:top w:val="none" w:sz="0" w:space="0" w:color="auto"/>
        <w:left w:val="none" w:sz="0" w:space="0" w:color="auto"/>
        <w:bottom w:val="none" w:sz="0" w:space="0" w:color="auto"/>
        <w:right w:val="none" w:sz="0" w:space="0" w:color="auto"/>
      </w:divBdr>
    </w:div>
    <w:div w:id="842665800">
      <w:bodyDiv w:val="1"/>
      <w:marLeft w:val="0"/>
      <w:marRight w:val="0"/>
      <w:marTop w:val="0"/>
      <w:marBottom w:val="0"/>
      <w:divBdr>
        <w:top w:val="none" w:sz="0" w:space="0" w:color="auto"/>
        <w:left w:val="none" w:sz="0" w:space="0" w:color="auto"/>
        <w:bottom w:val="none" w:sz="0" w:space="0" w:color="auto"/>
        <w:right w:val="none" w:sz="0" w:space="0" w:color="auto"/>
      </w:divBdr>
    </w:div>
    <w:div w:id="887498936">
      <w:bodyDiv w:val="1"/>
      <w:marLeft w:val="0"/>
      <w:marRight w:val="0"/>
      <w:marTop w:val="0"/>
      <w:marBottom w:val="0"/>
      <w:divBdr>
        <w:top w:val="none" w:sz="0" w:space="0" w:color="auto"/>
        <w:left w:val="none" w:sz="0" w:space="0" w:color="auto"/>
        <w:bottom w:val="none" w:sz="0" w:space="0" w:color="auto"/>
        <w:right w:val="none" w:sz="0" w:space="0" w:color="auto"/>
      </w:divBdr>
    </w:div>
    <w:div w:id="948925478">
      <w:bodyDiv w:val="1"/>
      <w:marLeft w:val="0"/>
      <w:marRight w:val="0"/>
      <w:marTop w:val="0"/>
      <w:marBottom w:val="0"/>
      <w:divBdr>
        <w:top w:val="none" w:sz="0" w:space="0" w:color="auto"/>
        <w:left w:val="none" w:sz="0" w:space="0" w:color="auto"/>
        <w:bottom w:val="none" w:sz="0" w:space="0" w:color="auto"/>
        <w:right w:val="none" w:sz="0" w:space="0" w:color="auto"/>
      </w:divBdr>
    </w:div>
    <w:div w:id="951940522">
      <w:bodyDiv w:val="1"/>
      <w:marLeft w:val="0"/>
      <w:marRight w:val="0"/>
      <w:marTop w:val="0"/>
      <w:marBottom w:val="0"/>
      <w:divBdr>
        <w:top w:val="none" w:sz="0" w:space="0" w:color="auto"/>
        <w:left w:val="none" w:sz="0" w:space="0" w:color="auto"/>
        <w:bottom w:val="none" w:sz="0" w:space="0" w:color="auto"/>
        <w:right w:val="none" w:sz="0" w:space="0" w:color="auto"/>
      </w:divBdr>
    </w:div>
    <w:div w:id="976952014">
      <w:bodyDiv w:val="1"/>
      <w:marLeft w:val="0"/>
      <w:marRight w:val="0"/>
      <w:marTop w:val="0"/>
      <w:marBottom w:val="0"/>
      <w:divBdr>
        <w:top w:val="none" w:sz="0" w:space="0" w:color="auto"/>
        <w:left w:val="none" w:sz="0" w:space="0" w:color="auto"/>
        <w:bottom w:val="none" w:sz="0" w:space="0" w:color="auto"/>
        <w:right w:val="none" w:sz="0" w:space="0" w:color="auto"/>
      </w:divBdr>
    </w:div>
    <w:div w:id="992220624">
      <w:bodyDiv w:val="1"/>
      <w:marLeft w:val="0"/>
      <w:marRight w:val="0"/>
      <w:marTop w:val="0"/>
      <w:marBottom w:val="0"/>
      <w:divBdr>
        <w:top w:val="none" w:sz="0" w:space="0" w:color="auto"/>
        <w:left w:val="none" w:sz="0" w:space="0" w:color="auto"/>
        <w:bottom w:val="none" w:sz="0" w:space="0" w:color="auto"/>
        <w:right w:val="none" w:sz="0" w:space="0" w:color="auto"/>
      </w:divBdr>
    </w:div>
    <w:div w:id="999579261">
      <w:bodyDiv w:val="1"/>
      <w:marLeft w:val="0"/>
      <w:marRight w:val="0"/>
      <w:marTop w:val="0"/>
      <w:marBottom w:val="0"/>
      <w:divBdr>
        <w:top w:val="none" w:sz="0" w:space="0" w:color="auto"/>
        <w:left w:val="none" w:sz="0" w:space="0" w:color="auto"/>
        <w:bottom w:val="none" w:sz="0" w:space="0" w:color="auto"/>
        <w:right w:val="none" w:sz="0" w:space="0" w:color="auto"/>
      </w:divBdr>
    </w:div>
    <w:div w:id="1054164118">
      <w:bodyDiv w:val="1"/>
      <w:marLeft w:val="0"/>
      <w:marRight w:val="0"/>
      <w:marTop w:val="0"/>
      <w:marBottom w:val="0"/>
      <w:divBdr>
        <w:top w:val="none" w:sz="0" w:space="0" w:color="auto"/>
        <w:left w:val="none" w:sz="0" w:space="0" w:color="auto"/>
        <w:bottom w:val="none" w:sz="0" w:space="0" w:color="auto"/>
        <w:right w:val="none" w:sz="0" w:space="0" w:color="auto"/>
      </w:divBdr>
    </w:div>
    <w:div w:id="1067338598">
      <w:bodyDiv w:val="1"/>
      <w:marLeft w:val="0"/>
      <w:marRight w:val="0"/>
      <w:marTop w:val="0"/>
      <w:marBottom w:val="0"/>
      <w:divBdr>
        <w:top w:val="none" w:sz="0" w:space="0" w:color="auto"/>
        <w:left w:val="none" w:sz="0" w:space="0" w:color="auto"/>
        <w:bottom w:val="none" w:sz="0" w:space="0" w:color="auto"/>
        <w:right w:val="none" w:sz="0" w:space="0" w:color="auto"/>
      </w:divBdr>
    </w:div>
    <w:div w:id="1086537503">
      <w:bodyDiv w:val="1"/>
      <w:marLeft w:val="0"/>
      <w:marRight w:val="0"/>
      <w:marTop w:val="0"/>
      <w:marBottom w:val="0"/>
      <w:divBdr>
        <w:top w:val="none" w:sz="0" w:space="0" w:color="auto"/>
        <w:left w:val="none" w:sz="0" w:space="0" w:color="auto"/>
        <w:bottom w:val="none" w:sz="0" w:space="0" w:color="auto"/>
        <w:right w:val="none" w:sz="0" w:space="0" w:color="auto"/>
      </w:divBdr>
    </w:div>
    <w:div w:id="1094863698">
      <w:bodyDiv w:val="1"/>
      <w:marLeft w:val="0"/>
      <w:marRight w:val="0"/>
      <w:marTop w:val="0"/>
      <w:marBottom w:val="0"/>
      <w:divBdr>
        <w:top w:val="none" w:sz="0" w:space="0" w:color="auto"/>
        <w:left w:val="none" w:sz="0" w:space="0" w:color="auto"/>
        <w:bottom w:val="none" w:sz="0" w:space="0" w:color="auto"/>
        <w:right w:val="none" w:sz="0" w:space="0" w:color="auto"/>
      </w:divBdr>
    </w:div>
    <w:div w:id="1162693714">
      <w:bodyDiv w:val="1"/>
      <w:marLeft w:val="0"/>
      <w:marRight w:val="0"/>
      <w:marTop w:val="0"/>
      <w:marBottom w:val="0"/>
      <w:divBdr>
        <w:top w:val="none" w:sz="0" w:space="0" w:color="auto"/>
        <w:left w:val="none" w:sz="0" w:space="0" w:color="auto"/>
        <w:bottom w:val="none" w:sz="0" w:space="0" w:color="auto"/>
        <w:right w:val="none" w:sz="0" w:space="0" w:color="auto"/>
      </w:divBdr>
    </w:div>
    <w:div w:id="1169514882">
      <w:bodyDiv w:val="1"/>
      <w:marLeft w:val="0"/>
      <w:marRight w:val="0"/>
      <w:marTop w:val="0"/>
      <w:marBottom w:val="0"/>
      <w:divBdr>
        <w:top w:val="none" w:sz="0" w:space="0" w:color="auto"/>
        <w:left w:val="none" w:sz="0" w:space="0" w:color="auto"/>
        <w:bottom w:val="none" w:sz="0" w:space="0" w:color="auto"/>
        <w:right w:val="none" w:sz="0" w:space="0" w:color="auto"/>
      </w:divBdr>
    </w:div>
    <w:div w:id="1227688645">
      <w:bodyDiv w:val="1"/>
      <w:marLeft w:val="0"/>
      <w:marRight w:val="0"/>
      <w:marTop w:val="0"/>
      <w:marBottom w:val="0"/>
      <w:divBdr>
        <w:top w:val="none" w:sz="0" w:space="0" w:color="auto"/>
        <w:left w:val="none" w:sz="0" w:space="0" w:color="auto"/>
        <w:bottom w:val="none" w:sz="0" w:space="0" w:color="auto"/>
        <w:right w:val="none" w:sz="0" w:space="0" w:color="auto"/>
      </w:divBdr>
    </w:div>
    <w:div w:id="1282807096">
      <w:bodyDiv w:val="1"/>
      <w:marLeft w:val="0"/>
      <w:marRight w:val="0"/>
      <w:marTop w:val="0"/>
      <w:marBottom w:val="0"/>
      <w:divBdr>
        <w:top w:val="none" w:sz="0" w:space="0" w:color="auto"/>
        <w:left w:val="none" w:sz="0" w:space="0" w:color="auto"/>
        <w:bottom w:val="none" w:sz="0" w:space="0" w:color="auto"/>
        <w:right w:val="none" w:sz="0" w:space="0" w:color="auto"/>
      </w:divBdr>
    </w:div>
    <w:div w:id="1295599972">
      <w:bodyDiv w:val="1"/>
      <w:marLeft w:val="0"/>
      <w:marRight w:val="0"/>
      <w:marTop w:val="0"/>
      <w:marBottom w:val="0"/>
      <w:divBdr>
        <w:top w:val="none" w:sz="0" w:space="0" w:color="auto"/>
        <w:left w:val="none" w:sz="0" w:space="0" w:color="auto"/>
        <w:bottom w:val="none" w:sz="0" w:space="0" w:color="auto"/>
        <w:right w:val="none" w:sz="0" w:space="0" w:color="auto"/>
      </w:divBdr>
    </w:div>
    <w:div w:id="1321815541">
      <w:bodyDiv w:val="1"/>
      <w:marLeft w:val="0"/>
      <w:marRight w:val="0"/>
      <w:marTop w:val="0"/>
      <w:marBottom w:val="0"/>
      <w:divBdr>
        <w:top w:val="none" w:sz="0" w:space="0" w:color="auto"/>
        <w:left w:val="none" w:sz="0" w:space="0" w:color="auto"/>
        <w:bottom w:val="none" w:sz="0" w:space="0" w:color="auto"/>
        <w:right w:val="none" w:sz="0" w:space="0" w:color="auto"/>
      </w:divBdr>
    </w:div>
    <w:div w:id="1322537303">
      <w:bodyDiv w:val="1"/>
      <w:marLeft w:val="0"/>
      <w:marRight w:val="0"/>
      <w:marTop w:val="0"/>
      <w:marBottom w:val="0"/>
      <w:divBdr>
        <w:top w:val="none" w:sz="0" w:space="0" w:color="auto"/>
        <w:left w:val="none" w:sz="0" w:space="0" w:color="auto"/>
        <w:bottom w:val="none" w:sz="0" w:space="0" w:color="auto"/>
        <w:right w:val="none" w:sz="0" w:space="0" w:color="auto"/>
      </w:divBdr>
    </w:div>
    <w:div w:id="1348866402">
      <w:bodyDiv w:val="1"/>
      <w:marLeft w:val="0"/>
      <w:marRight w:val="0"/>
      <w:marTop w:val="0"/>
      <w:marBottom w:val="0"/>
      <w:divBdr>
        <w:top w:val="none" w:sz="0" w:space="0" w:color="auto"/>
        <w:left w:val="none" w:sz="0" w:space="0" w:color="auto"/>
        <w:bottom w:val="none" w:sz="0" w:space="0" w:color="auto"/>
        <w:right w:val="none" w:sz="0" w:space="0" w:color="auto"/>
      </w:divBdr>
    </w:div>
    <w:div w:id="1379860560">
      <w:bodyDiv w:val="1"/>
      <w:marLeft w:val="0"/>
      <w:marRight w:val="0"/>
      <w:marTop w:val="0"/>
      <w:marBottom w:val="0"/>
      <w:divBdr>
        <w:top w:val="none" w:sz="0" w:space="0" w:color="auto"/>
        <w:left w:val="none" w:sz="0" w:space="0" w:color="auto"/>
        <w:bottom w:val="none" w:sz="0" w:space="0" w:color="auto"/>
        <w:right w:val="none" w:sz="0" w:space="0" w:color="auto"/>
      </w:divBdr>
    </w:div>
    <w:div w:id="1411274895">
      <w:bodyDiv w:val="1"/>
      <w:marLeft w:val="0"/>
      <w:marRight w:val="0"/>
      <w:marTop w:val="0"/>
      <w:marBottom w:val="0"/>
      <w:divBdr>
        <w:top w:val="none" w:sz="0" w:space="0" w:color="auto"/>
        <w:left w:val="none" w:sz="0" w:space="0" w:color="auto"/>
        <w:bottom w:val="none" w:sz="0" w:space="0" w:color="auto"/>
        <w:right w:val="none" w:sz="0" w:space="0" w:color="auto"/>
      </w:divBdr>
    </w:div>
    <w:div w:id="1445611994">
      <w:bodyDiv w:val="1"/>
      <w:marLeft w:val="0"/>
      <w:marRight w:val="0"/>
      <w:marTop w:val="0"/>
      <w:marBottom w:val="0"/>
      <w:divBdr>
        <w:top w:val="none" w:sz="0" w:space="0" w:color="auto"/>
        <w:left w:val="none" w:sz="0" w:space="0" w:color="auto"/>
        <w:bottom w:val="none" w:sz="0" w:space="0" w:color="auto"/>
        <w:right w:val="none" w:sz="0" w:space="0" w:color="auto"/>
      </w:divBdr>
    </w:div>
    <w:div w:id="1466003604">
      <w:bodyDiv w:val="1"/>
      <w:marLeft w:val="0"/>
      <w:marRight w:val="0"/>
      <w:marTop w:val="0"/>
      <w:marBottom w:val="0"/>
      <w:divBdr>
        <w:top w:val="none" w:sz="0" w:space="0" w:color="auto"/>
        <w:left w:val="none" w:sz="0" w:space="0" w:color="auto"/>
        <w:bottom w:val="none" w:sz="0" w:space="0" w:color="auto"/>
        <w:right w:val="none" w:sz="0" w:space="0" w:color="auto"/>
      </w:divBdr>
    </w:div>
    <w:div w:id="1493981239">
      <w:bodyDiv w:val="1"/>
      <w:marLeft w:val="0"/>
      <w:marRight w:val="0"/>
      <w:marTop w:val="0"/>
      <w:marBottom w:val="0"/>
      <w:divBdr>
        <w:top w:val="none" w:sz="0" w:space="0" w:color="auto"/>
        <w:left w:val="none" w:sz="0" w:space="0" w:color="auto"/>
        <w:bottom w:val="none" w:sz="0" w:space="0" w:color="auto"/>
        <w:right w:val="none" w:sz="0" w:space="0" w:color="auto"/>
      </w:divBdr>
    </w:div>
    <w:div w:id="1552964852">
      <w:bodyDiv w:val="1"/>
      <w:marLeft w:val="0"/>
      <w:marRight w:val="0"/>
      <w:marTop w:val="0"/>
      <w:marBottom w:val="0"/>
      <w:divBdr>
        <w:top w:val="none" w:sz="0" w:space="0" w:color="auto"/>
        <w:left w:val="none" w:sz="0" w:space="0" w:color="auto"/>
        <w:bottom w:val="none" w:sz="0" w:space="0" w:color="auto"/>
        <w:right w:val="none" w:sz="0" w:space="0" w:color="auto"/>
      </w:divBdr>
    </w:div>
    <w:div w:id="1582177936">
      <w:bodyDiv w:val="1"/>
      <w:marLeft w:val="0"/>
      <w:marRight w:val="0"/>
      <w:marTop w:val="0"/>
      <w:marBottom w:val="0"/>
      <w:divBdr>
        <w:top w:val="none" w:sz="0" w:space="0" w:color="auto"/>
        <w:left w:val="none" w:sz="0" w:space="0" w:color="auto"/>
        <w:bottom w:val="none" w:sz="0" w:space="0" w:color="auto"/>
        <w:right w:val="none" w:sz="0" w:space="0" w:color="auto"/>
      </w:divBdr>
    </w:div>
    <w:div w:id="1606158500">
      <w:bodyDiv w:val="1"/>
      <w:marLeft w:val="0"/>
      <w:marRight w:val="0"/>
      <w:marTop w:val="0"/>
      <w:marBottom w:val="0"/>
      <w:divBdr>
        <w:top w:val="none" w:sz="0" w:space="0" w:color="auto"/>
        <w:left w:val="none" w:sz="0" w:space="0" w:color="auto"/>
        <w:bottom w:val="none" w:sz="0" w:space="0" w:color="auto"/>
        <w:right w:val="none" w:sz="0" w:space="0" w:color="auto"/>
      </w:divBdr>
      <w:divsChild>
        <w:div w:id="924920817">
          <w:marLeft w:val="0"/>
          <w:marRight w:val="0"/>
          <w:marTop w:val="0"/>
          <w:marBottom w:val="0"/>
          <w:divBdr>
            <w:top w:val="none" w:sz="0" w:space="0" w:color="auto"/>
            <w:left w:val="none" w:sz="0" w:space="0" w:color="auto"/>
            <w:bottom w:val="none" w:sz="0" w:space="0" w:color="auto"/>
            <w:right w:val="none" w:sz="0" w:space="0" w:color="auto"/>
          </w:divBdr>
          <w:divsChild>
            <w:div w:id="656150387">
              <w:marLeft w:val="0"/>
              <w:marRight w:val="0"/>
              <w:marTop w:val="0"/>
              <w:marBottom w:val="0"/>
              <w:divBdr>
                <w:top w:val="none" w:sz="0" w:space="0" w:color="auto"/>
                <w:left w:val="none" w:sz="0" w:space="0" w:color="auto"/>
                <w:bottom w:val="none" w:sz="0" w:space="0" w:color="auto"/>
                <w:right w:val="none" w:sz="0" w:space="0" w:color="auto"/>
              </w:divBdr>
              <w:divsChild>
                <w:div w:id="1613634983">
                  <w:marLeft w:val="0"/>
                  <w:marRight w:val="0"/>
                  <w:marTop w:val="0"/>
                  <w:marBottom w:val="0"/>
                  <w:divBdr>
                    <w:top w:val="none" w:sz="0" w:space="0" w:color="auto"/>
                    <w:left w:val="none" w:sz="0" w:space="0" w:color="auto"/>
                    <w:bottom w:val="none" w:sz="0" w:space="0" w:color="auto"/>
                    <w:right w:val="none" w:sz="0" w:space="0" w:color="auto"/>
                  </w:divBdr>
                  <w:divsChild>
                    <w:div w:id="434130632">
                      <w:marLeft w:val="0"/>
                      <w:marRight w:val="0"/>
                      <w:marTop w:val="0"/>
                      <w:marBottom w:val="0"/>
                      <w:divBdr>
                        <w:top w:val="none" w:sz="0" w:space="0" w:color="auto"/>
                        <w:left w:val="none" w:sz="0" w:space="0" w:color="auto"/>
                        <w:bottom w:val="none" w:sz="0" w:space="0" w:color="auto"/>
                        <w:right w:val="none" w:sz="0" w:space="0" w:color="auto"/>
                      </w:divBdr>
                      <w:divsChild>
                        <w:div w:id="262612865">
                          <w:marLeft w:val="0"/>
                          <w:marRight w:val="0"/>
                          <w:marTop w:val="776"/>
                          <w:marBottom w:val="0"/>
                          <w:divBdr>
                            <w:top w:val="none" w:sz="0" w:space="0" w:color="auto"/>
                            <w:left w:val="none" w:sz="0" w:space="0" w:color="auto"/>
                            <w:bottom w:val="none" w:sz="0" w:space="0" w:color="auto"/>
                            <w:right w:val="none" w:sz="0" w:space="0" w:color="auto"/>
                          </w:divBdr>
                          <w:divsChild>
                            <w:div w:id="1257207460">
                              <w:marLeft w:val="0"/>
                              <w:marRight w:val="0"/>
                              <w:marTop w:val="0"/>
                              <w:marBottom w:val="0"/>
                              <w:divBdr>
                                <w:top w:val="none" w:sz="0" w:space="0" w:color="auto"/>
                                <w:left w:val="none" w:sz="0" w:space="0" w:color="auto"/>
                                <w:bottom w:val="none" w:sz="0" w:space="0" w:color="auto"/>
                                <w:right w:val="none" w:sz="0" w:space="0" w:color="auto"/>
                              </w:divBdr>
                              <w:divsChild>
                                <w:div w:id="1694768228">
                                  <w:marLeft w:val="0"/>
                                  <w:marRight w:val="0"/>
                                  <w:marTop w:val="0"/>
                                  <w:marBottom w:val="0"/>
                                  <w:divBdr>
                                    <w:top w:val="none" w:sz="0" w:space="0" w:color="auto"/>
                                    <w:left w:val="none" w:sz="0" w:space="0" w:color="auto"/>
                                    <w:bottom w:val="none" w:sz="0" w:space="0" w:color="auto"/>
                                    <w:right w:val="none" w:sz="0" w:space="0" w:color="auto"/>
                                  </w:divBdr>
                                  <w:divsChild>
                                    <w:div w:id="357507534">
                                      <w:marLeft w:val="0"/>
                                      <w:marRight w:val="0"/>
                                      <w:marTop w:val="0"/>
                                      <w:marBottom w:val="0"/>
                                      <w:divBdr>
                                        <w:top w:val="none" w:sz="0" w:space="0" w:color="auto"/>
                                        <w:left w:val="none" w:sz="0" w:space="0" w:color="auto"/>
                                        <w:bottom w:val="none" w:sz="0" w:space="0" w:color="auto"/>
                                        <w:right w:val="none" w:sz="0" w:space="0" w:color="auto"/>
                                      </w:divBdr>
                                    </w:div>
                                    <w:div w:id="1338341238">
                                      <w:marLeft w:val="0"/>
                                      <w:marRight w:val="0"/>
                                      <w:marTop w:val="0"/>
                                      <w:marBottom w:val="0"/>
                                      <w:divBdr>
                                        <w:top w:val="none" w:sz="0" w:space="0" w:color="auto"/>
                                        <w:left w:val="none" w:sz="0" w:space="0" w:color="auto"/>
                                        <w:bottom w:val="none" w:sz="0" w:space="0" w:color="auto"/>
                                        <w:right w:val="single" w:sz="4" w:space="0" w:color="F2F2F2"/>
                                      </w:divBdr>
                                      <w:divsChild>
                                        <w:div w:id="2831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0638339">
      <w:bodyDiv w:val="1"/>
      <w:marLeft w:val="0"/>
      <w:marRight w:val="0"/>
      <w:marTop w:val="0"/>
      <w:marBottom w:val="0"/>
      <w:divBdr>
        <w:top w:val="none" w:sz="0" w:space="0" w:color="auto"/>
        <w:left w:val="none" w:sz="0" w:space="0" w:color="auto"/>
        <w:bottom w:val="none" w:sz="0" w:space="0" w:color="auto"/>
        <w:right w:val="none" w:sz="0" w:space="0" w:color="auto"/>
      </w:divBdr>
    </w:div>
    <w:div w:id="1712802779">
      <w:bodyDiv w:val="1"/>
      <w:marLeft w:val="0"/>
      <w:marRight w:val="0"/>
      <w:marTop w:val="0"/>
      <w:marBottom w:val="0"/>
      <w:divBdr>
        <w:top w:val="none" w:sz="0" w:space="0" w:color="auto"/>
        <w:left w:val="none" w:sz="0" w:space="0" w:color="auto"/>
        <w:bottom w:val="none" w:sz="0" w:space="0" w:color="auto"/>
        <w:right w:val="none" w:sz="0" w:space="0" w:color="auto"/>
      </w:divBdr>
    </w:div>
    <w:div w:id="1716738506">
      <w:bodyDiv w:val="1"/>
      <w:marLeft w:val="0"/>
      <w:marRight w:val="0"/>
      <w:marTop w:val="0"/>
      <w:marBottom w:val="0"/>
      <w:divBdr>
        <w:top w:val="none" w:sz="0" w:space="0" w:color="auto"/>
        <w:left w:val="none" w:sz="0" w:space="0" w:color="auto"/>
        <w:bottom w:val="none" w:sz="0" w:space="0" w:color="auto"/>
        <w:right w:val="none" w:sz="0" w:space="0" w:color="auto"/>
      </w:divBdr>
    </w:div>
    <w:div w:id="1718699090">
      <w:bodyDiv w:val="1"/>
      <w:marLeft w:val="0"/>
      <w:marRight w:val="0"/>
      <w:marTop w:val="0"/>
      <w:marBottom w:val="0"/>
      <w:divBdr>
        <w:top w:val="none" w:sz="0" w:space="0" w:color="auto"/>
        <w:left w:val="none" w:sz="0" w:space="0" w:color="auto"/>
        <w:bottom w:val="none" w:sz="0" w:space="0" w:color="auto"/>
        <w:right w:val="none" w:sz="0" w:space="0" w:color="auto"/>
      </w:divBdr>
      <w:divsChild>
        <w:div w:id="365717210">
          <w:marLeft w:val="0"/>
          <w:marRight w:val="0"/>
          <w:marTop w:val="0"/>
          <w:marBottom w:val="0"/>
          <w:divBdr>
            <w:top w:val="none" w:sz="0" w:space="0" w:color="auto"/>
            <w:left w:val="none" w:sz="0" w:space="0" w:color="auto"/>
            <w:bottom w:val="none" w:sz="0" w:space="0" w:color="auto"/>
            <w:right w:val="none" w:sz="0" w:space="0" w:color="auto"/>
          </w:divBdr>
          <w:divsChild>
            <w:div w:id="1935361503">
              <w:marLeft w:val="0"/>
              <w:marRight w:val="0"/>
              <w:marTop w:val="0"/>
              <w:marBottom w:val="0"/>
              <w:divBdr>
                <w:top w:val="none" w:sz="0" w:space="0" w:color="auto"/>
                <w:left w:val="none" w:sz="0" w:space="0" w:color="auto"/>
                <w:bottom w:val="none" w:sz="0" w:space="0" w:color="auto"/>
                <w:right w:val="none" w:sz="0" w:space="0" w:color="auto"/>
              </w:divBdr>
              <w:divsChild>
                <w:div w:id="1282609840">
                  <w:marLeft w:val="0"/>
                  <w:marRight w:val="0"/>
                  <w:marTop w:val="0"/>
                  <w:marBottom w:val="0"/>
                  <w:divBdr>
                    <w:top w:val="none" w:sz="0" w:space="0" w:color="auto"/>
                    <w:left w:val="none" w:sz="0" w:space="0" w:color="auto"/>
                    <w:bottom w:val="none" w:sz="0" w:space="0" w:color="auto"/>
                    <w:right w:val="none" w:sz="0" w:space="0" w:color="auto"/>
                  </w:divBdr>
                  <w:divsChild>
                    <w:div w:id="300693296">
                      <w:marLeft w:val="0"/>
                      <w:marRight w:val="0"/>
                      <w:marTop w:val="0"/>
                      <w:marBottom w:val="0"/>
                      <w:divBdr>
                        <w:top w:val="none" w:sz="0" w:space="0" w:color="auto"/>
                        <w:left w:val="none" w:sz="0" w:space="0" w:color="auto"/>
                        <w:bottom w:val="none" w:sz="0" w:space="0" w:color="auto"/>
                        <w:right w:val="none" w:sz="0" w:space="0" w:color="auto"/>
                      </w:divBdr>
                      <w:divsChild>
                        <w:div w:id="1748844515">
                          <w:marLeft w:val="0"/>
                          <w:marRight w:val="0"/>
                          <w:marTop w:val="776"/>
                          <w:marBottom w:val="0"/>
                          <w:divBdr>
                            <w:top w:val="none" w:sz="0" w:space="0" w:color="auto"/>
                            <w:left w:val="none" w:sz="0" w:space="0" w:color="auto"/>
                            <w:bottom w:val="none" w:sz="0" w:space="0" w:color="auto"/>
                            <w:right w:val="none" w:sz="0" w:space="0" w:color="auto"/>
                          </w:divBdr>
                          <w:divsChild>
                            <w:div w:id="191579807">
                              <w:marLeft w:val="0"/>
                              <w:marRight w:val="0"/>
                              <w:marTop w:val="0"/>
                              <w:marBottom w:val="0"/>
                              <w:divBdr>
                                <w:top w:val="none" w:sz="0" w:space="0" w:color="auto"/>
                                <w:left w:val="none" w:sz="0" w:space="0" w:color="auto"/>
                                <w:bottom w:val="none" w:sz="0" w:space="0" w:color="auto"/>
                                <w:right w:val="none" w:sz="0" w:space="0" w:color="auto"/>
                              </w:divBdr>
                              <w:divsChild>
                                <w:div w:id="145826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735144">
      <w:bodyDiv w:val="1"/>
      <w:marLeft w:val="0"/>
      <w:marRight w:val="0"/>
      <w:marTop w:val="0"/>
      <w:marBottom w:val="0"/>
      <w:divBdr>
        <w:top w:val="none" w:sz="0" w:space="0" w:color="auto"/>
        <w:left w:val="none" w:sz="0" w:space="0" w:color="auto"/>
        <w:bottom w:val="none" w:sz="0" w:space="0" w:color="auto"/>
        <w:right w:val="none" w:sz="0" w:space="0" w:color="auto"/>
      </w:divBdr>
    </w:div>
    <w:div w:id="1798640756">
      <w:bodyDiv w:val="1"/>
      <w:marLeft w:val="0"/>
      <w:marRight w:val="0"/>
      <w:marTop w:val="0"/>
      <w:marBottom w:val="0"/>
      <w:divBdr>
        <w:top w:val="none" w:sz="0" w:space="0" w:color="auto"/>
        <w:left w:val="none" w:sz="0" w:space="0" w:color="auto"/>
        <w:bottom w:val="none" w:sz="0" w:space="0" w:color="auto"/>
        <w:right w:val="none" w:sz="0" w:space="0" w:color="auto"/>
      </w:divBdr>
    </w:div>
    <w:div w:id="1837575998">
      <w:bodyDiv w:val="1"/>
      <w:marLeft w:val="0"/>
      <w:marRight w:val="0"/>
      <w:marTop w:val="0"/>
      <w:marBottom w:val="0"/>
      <w:divBdr>
        <w:top w:val="none" w:sz="0" w:space="0" w:color="auto"/>
        <w:left w:val="none" w:sz="0" w:space="0" w:color="auto"/>
        <w:bottom w:val="none" w:sz="0" w:space="0" w:color="auto"/>
        <w:right w:val="none" w:sz="0" w:space="0" w:color="auto"/>
      </w:divBdr>
    </w:div>
    <w:div w:id="1870221457">
      <w:bodyDiv w:val="1"/>
      <w:marLeft w:val="0"/>
      <w:marRight w:val="0"/>
      <w:marTop w:val="0"/>
      <w:marBottom w:val="0"/>
      <w:divBdr>
        <w:top w:val="none" w:sz="0" w:space="0" w:color="auto"/>
        <w:left w:val="none" w:sz="0" w:space="0" w:color="auto"/>
        <w:bottom w:val="none" w:sz="0" w:space="0" w:color="auto"/>
        <w:right w:val="none" w:sz="0" w:space="0" w:color="auto"/>
      </w:divBdr>
    </w:div>
    <w:div w:id="1873495592">
      <w:bodyDiv w:val="1"/>
      <w:marLeft w:val="0"/>
      <w:marRight w:val="0"/>
      <w:marTop w:val="0"/>
      <w:marBottom w:val="0"/>
      <w:divBdr>
        <w:top w:val="none" w:sz="0" w:space="0" w:color="auto"/>
        <w:left w:val="none" w:sz="0" w:space="0" w:color="auto"/>
        <w:bottom w:val="none" w:sz="0" w:space="0" w:color="auto"/>
        <w:right w:val="none" w:sz="0" w:space="0" w:color="auto"/>
      </w:divBdr>
    </w:div>
    <w:div w:id="1884437116">
      <w:bodyDiv w:val="1"/>
      <w:marLeft w:val="0"/>
      <w:marRight w:val="0"/>
      <w:marTop w:val="0"/>
      <w:marBottom w:val="0"/>
      <w:divBdr>
        <w:top w:val="none" w:sz="0" w:space="0" w:color="auto"/>
        <w:left w:val="none" w:sz="0" w:space="0" w:color="auto"/>
        <w:bottom w:val="none" w:sz="0" w:space="0" w:color="auto"/>
        <w:right w:val="none" w:sz="0" w:space="0" w:color="auto"/>
      </w:divBdr>
    </w:div>
    <w:div w:id="1893806154">
      <w:bodyDiv w:val="1"/>
      <w:marLeft w:val="0"/>
      <w:marRight w:val="0"/>
      <w:marTop w:val="0"/>
      <w:marBottom w:val="0"/>
      <w:divBdr>
        <w:top w:val="none" w:sz="0" w:space="0" w:color="auto"/>
        <w:left w:val="none" w:sz="0" w:space="0" w:color="auto"/>
        <w:bottom w:val="none" w:sz="0" w:space="0" w:color="auto"/>
        <w:right w:val="none" w:sz="0" w:space="0" w:color="auto"/>
      </w:divBdr>
      <w:divsChild>
        <w:div w:id="819003505">
          <w:marLeft w:val="0"/>
          <w:marRight w:val="0"/>
          <w:marTop w:val="0"/>
          <w:marBottom w:val="0"/>
          <w:divBdr>
            <w:top w:val="none" w:sz="0" w:space="0" w:color="auto"/>
            <w:left w:val="none" w:sz="0" w:space="0" w:color="auto"/>
            <w:bottom w:val="none" w:sz="0" w:space="0" w:color="auto"/>
            <w:right w:val="none" w:sz="0" w:space="0" w:color="auto"/>
          </w:divBdr>
          <w:divsChild>
            <w:div w:id="1351372830">
              <w:marLeft w:val="0"/>
              <w:marRight w:val="0"/>
              <w:marTop w:val="0"/>
              <w:marBottom w:val="0"/>
              <w:divBdr>
                <w:top w:val="none" w:sz="0" w:space="0" w:color="auto"/>
                <w:left w:val="none" w:sz="0" w:space="0" w:color="auto"/>
                <w:bottom w:val="none" w:sz="0" w:space="0" w:color="auto"/>
                <w:right w:val="none" w:sz="0" w:space="0" w:color="auto"/>
              </w:divBdr>
              <w:divsChild>
                <w:div w:id="1478913631">
                  <w:marLeft w:val="0"/>
                  <w:marRight w:val="0"/>
                  <w:marTop w:val="0"/>
                  <w:marBottom w:val="0"/>
                  <w:divBdr>
                    <w:top w:val="none" w:sz="0" w:space="0" w:color="auto"/>
                    <w:left w:val="none" w:sz="0" w:space="0" w:color="auto"/>
                    <w:bottom w:val="none" w:sz="0" w:space="0" w:color="auto"/>
                    <w:right w:val="none" w:sz="0" w:space="0" w:color="auto"/>
                  </w:divBdr>
                  <w:divsChild>
                    <w:div w:id="1363827864">
                      <w:marLeft w:val="0"/>
                      <w:marRight w:val="0"/>
                      <w:marTop w:val="0"/>
                      <w:marBottom w:val="0"/>
                      <w:divBdr>
                        <w:top w:val="none" w:sz="0" w:space="0" w:color="auto"/>
                        <w:left w:val="none" w:sz="0" w:space="0" w:color="auto"/>
                        <w:bottom w:val="none" w:sz="0" w:space="0" w:color="auto"/>
                        <w:right w:val="none" w:sz="0" w:space="0" w:color="auto"/>
                      </w:divBdr>
                      <w:divsChild>
                        <w:div w:id="229117985">
                          <w:marLeft w:val="0"/>
                          <w:marRight w:val="0"/>
                          <w:marTop w:val="776"/>
                          <w:marBottom w:val="0"/>
                          <w:divBdr>
                            <w:top w:val="none" w:sz="0" w:space="0" w:color="auto"/>
                            <w:left w:val="none" w:sz="0" w:space="0" w:color="auto"/>
                            <w:bottom w:val="none" w:sz="0" w:space="0" w:color="auto"/>
                            <w:right w:val="none" w:sz="0" w:space="0" w:color="auto"/>
                          </w:divBdr>
                          <w:divsChild>
                            <w:div w:id="814957429">
                              <w:marLeft w:val="0"/>
                              <w:marRight w:val="0"/>
                              <w:marTop w:val="0"/>
                              <w:marBottom w:val="0"/>
                              <w:divBdr>
                                <w:top w:val="none" w:sz="0" w:space="0" w:color="auto"/>
                                <w:left w:val="none" w:sz="0" w:space="0" w:color="auto"/>
                                <w:bottom w:val="none" w:sz="0" w:space="0" w:color="auto"/>
                                <w:right w:val="none" w:sz="0" w:space="0" w:color="auto"/>
                              </w:divBdr>
                              <w:divsChild>
                                <w:div w:id="32661348">
                                  <w:marLeft w:val="0"/>
                                  <w:marRight w:val="0"/>
                                  <w:marTop w:val="0"/>
                                  <w:marBottom w:val="0"/>
                                  <w:divBdr>
                                    <w:top w:val="none" w:sz="0" w:space="0" w:color="auto"/>
                                    <w:left w:val="none" w:sz="0" w:space="0" w:color="auto"/>
                                    <w:bottom w:val="none" w:sz="0" w:space="0" w:color="auto"/>
                                    <w:right w:val="none" w:sz="0" w:space="0" w:color="auto"/>
                                  </w:divBdr>
                                  <w:divsChild>
                                    <w:div w:id="1895695120">
                                      <w:marLeft w:val="0"/>
                                      <w:marRight w:val="0"/>
                                      <w:marTop w:val="0"/>
                                      <w:marBottom w:val="0"/>
                                      <w:divBdr>
                                        <w:top w:val="none" w:sz="0" w:space="0" w:color="auto"/>
                                        <w:left w:val="none" w:sz="0" w:space="0" w:color="auto"/>
                                        <w:bottom w:val="none" w:sz="0" w:space="0" w:color="auto"/>
                                        <w:right w:val="none" w:sz="0" w:space="0" w:color="auto"/>
                                      </w:divBdr>
                                    </w:div>
                                    <w:div w:id="1935018104">
                                      <w:marLeft w:val="0"/>
                                      <w:marRight w:val="0"/>
                                      <w:marTop w:val="0"/>
                                      <w:marBottom w:val="0"/>
                                      <w:divBdr>
                                        <w:top w:val="none" w:sz="0" w:space="0" w:color="auto"/>
                                        <w:left w:val="none" w:sz="0" w:space="0" w:color="auto"/>
                                        <w:bottom w:val="none" w:sz="0" w:space="0" w:color="auto"/>
                                        <w:right w:val="single" w:sz="4" w:space="0" w:color="F2F2F2"/>
                                      </w:divBdr>
                                      <w:divsChild>
                                        <w:div w:id="126838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8469756">
      <w:bodyDiv w:val="1"/>
      <w:marLeft w:val="0"/>
      <w:marRight w:val="0"/>
      <w:marTop w:val="0"/>
      <w:marBottom w:val="0"/>
      <w:divBdr>
        <w:top w:val="none" w:sz="0" w:space="0" w:color="auto"/>
        <w:left w:val="none" w:sz="0" w:space="0" w:color="auto"/>
        <w:bottom w:val="none" w:sz="0" w:space="0" w:color="auto"/>
        <w:right w:val="none" w:sz="0" w:space="0" w:color="auto"/>
      </w:divBdr>
    </w:div>
    <w:div w:id="1907105528">
      <w:bodyDiv w:val="1"/>
      <w:marLeft w:val="0"/>
      <w:marRight w:val="0"/>
      <w:marTop w:val="0"/>
      <w:marBottom w:val="0"/>
      <w:divBdr>
        <w:top w:val="none" w:sz="0" w:space="0" w:color="auto"/>
        <w:left w:val="none" w:sz="0" w:space="0" w:color="auto"/>
        <w:bottom w:val="none" w:sz="0" w:space="0" w:color="auto"/>
        <w:right w:val="none" w:sz="0" w:space="0" w:color="auto"/>
      </w:divBdr>
    </w:div>
    <w:div w:id="1916042761">
      <w:bodyDiv w:val="1"/>
      <w:marLeft w:val="0"/>
      <w:marRight w:val="0"/>
      <w:marTop w:val="0"/>
      <w:marBottom w:val="0"/>
      <w:divBdr>
        <w:top w:val="none" w:sz="0" w:space="0" w:color="auto"/>
        <w:left w:val="none" w:sz="0" w:space="0" w:color="auto"/>
        <w:bottom w:val="none" w:sz="0" w:space="0" w:color="auto"/>
        <w:right w:val="none" w:sz="0" w:space="0" w:color="auto"/>
      </w:divBdr>
    </w:div>
    <w:div w:id="1917207567">
      <w:bodyDiv w:val="1"/>
      <w:marLeft w:val="0"/>
      <w:marRight w:val="0"/>
      <w:marTop w:val="0"/>
      <w:marBottom w:val="0"/>
      <w:divBdr>
        <w:top w:val="none" w:sz="0" w:space="0" w:color="auto"/>
        <w:left w:val="none" w:sz="0" w:space="0" w:color="auto"/>
        <w:bottom w:val="none" w:sz="0" w:space="0" w:color="auto"/>
        <w:right w:val="none" w:sz="0" w:space="0" w:color="auto"/>
      </w:divBdr>
    </w:div>
    <w:div w:id="1935354804">
      <w:bodyDiv w:val="1"/>
      <w:marLeft w:val="0"/>
      <w:marRight w:val="0"/>
      <w:marTop w:val="0"/>
      <w:marBottom w:val="0"/>
      <w:divBdr>
        <w:top w:val="none" w:sz="0" w:space="0" w:color="auto"/>
        <w:left w:val="none" w:sz="0" w:space="0" w:color="auto"/>
        <w:bottom w:val="none" w:sz="0" w:space="0" w:color="auto"/>
        <w:right w:val="none" w:sz="0" w:space="0" w:color="auto"/>
      </w:divBdr>
    </w:div>
    <w:div w:id="1994021135">
      <w:bodyDiv w:val="1"/>
      <w:marLeft w:val="0"/>
      <w:marRight w:val="0"/>
      <w:marTop w:val="0"/>
      <w:marBottom w:val="0"/>
      <w:divBdr>
        <w:top w:val="none" w:sz="0" w:space="0" w:color="auto"/>
        <w:left w:val="none" w:sz="0" w:space="0" w:color="auto"/>
        <w:bottom w:val="none" w:sz="0" w:space="0" w:color="auto"/>
        <w:right w:val="none" w:sz="0" w:space="0" w:color="auto"/>
      </w:divBdr>
    </w:div>
    <w:div w:id="2063096814">
      <w:bodyDiv w:val="1"/>
      <w:marLeft w:val="0"/>
      <w:marRight w:val="0"/>
      <w:marTop w:val="0"/>
      <w:marBottom w:val="0"/>
      <w:divBdr>
        <w:top w:val="none" w:sz="0" w:space="0" w:color="auto"/>
        <w:left w:val="none" w:sz="0" w:space="0" w:color="auto"/>
        <w:bottom w:val="none" w:sz="0" w:space="0" w:color="auto"/>
        <w:right w:val="none" w:sz="0" w:space="0" w:color="auto"/>
      </w:divBdr>
    </w:div>
    <w:div w:id="2091270276">
      <w:bodyDiv w:val="1"/>
      <w:marLeft w:val="0"/>
      <w:marRight w:val="0"/>
      <w:marTop w:val="0"/>
      <w:marBottom w:val="0"/>
      <w:divBdr>
        <w:top w:val="none" w:sz="0" w:space="0" w:color="auto"/>
        <w:left w:val="none" w:sz="0" w:space="0" w:color="auto"/>
        <w:bottom w:val="none" w:sz="0" w:space="0" w:color="auto"/>
        <w:right w:val="none" w:sz="0" w:space="0" w:color="auto"/>
      </w:divBdr>
    </w:div>
    <w:div w:id="213228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Jennifer.Schumann@slcgov.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ichael.Akerlow@slcgov.com"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140595-4174-43B5-BCCF-3731B8F2C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55</Pages>
  <Words>16630</Words>
  <Characters>97925</Characters>
  <Application>Microsoft Office Word</Application>
  <DocSecurity>0</DocSecurity>
  <Lines>816</Lines>
  <Paragraphs>228</Paragraphs>
  <ScaleCrop>false</ScaleCrop>
  <HeadingPairs>
    <vt:vector size="2" baseType="variant">
      <vt:variant>
        <vt:lpstr>Title</vt:lpstr>
      </vt:variant>
      <vt:variant>
        <vt:i4>1</vt:i4>
      </vt:variant>
    </vt:vector>
  </HeadingPairs>
  <TitlesOfParts>
    <vt:vector size="1" baseType="lpstr">
      <vt:lpstr>CAPER</vt:lpstr>
    </vt:vector>
  </TitlesOfParts>
  <Company>Salt Lake City Corporation</Company>
  <LinksUpToDate>false</LinksUpToDate>
  <CharactersWithSpaces>114327</CharactersWithSpaces>
  <SharedDoc>false</SharedDoc>
  <HLinks>
    <vt:vector size="18" baseType="variant">
      <vt:variant>
        <vt:i4>6488073</vt:i4>
      </vt:variant>
      <vt:variant>
        <vt:i4>6</vt:i4>
      </vt:variant>
      <vt:variant>
        <vt:i4>0</vt:i4>
      </vt:variant>
      <vt:variant>
        <vt:i4>5</vt:i4>
      </vt:variant>
      <vt:variant>
        <vt:lpwstr>mailto:sara.hiatt@slcgov.com</vt:lpwstr>
      </vt:variant>
      <vt:variant>
        <vt:lpwstr/>
      </vt:variant>
      <vt:variant>
        <vt:i4>4128805</vt:i4>
      </vt:variant>
      <vt:variant>
        <vt:i4>3</vt:i4>
      </vt:variant>
      <vt:variant>
        <vt:i4>0</vt:i4>
      </vt:variant>
      <vt:variant>
        <vt:i4>5</vt:i4>
      </vt:variant>
      <vt:variant>
        <vt:lpwstr>http://www.slcgov.com/hand</vt:lpwstr>
      </vt:variant>
      <vt:variant>
        <vt:lpwstr/>
      </vt:variant>
      <vt:variant>
        <vt:i4>4128805</vt:i4>
      </vt:variant>
      <vt:variant>
        <vt:i4>0</vt:i4>
      </vt:variant>
      <vt:variant>
        <vt:i4>0</vt:i4>
      </vt:variant>
      <vt:variant>
        <vt:i4>5</vt:i4>
      </vt:variant>
      <vt:variant>
        <vt:lpwstr>http://www.slcgov.com/hand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CAPER</dc:title>
  <dc:subject>First Program Year CAPER</dc:subject>
  <dc:creator>HUD CPD Consolidated Planning</dc:creator>
  <cp:keywords>CAPER, CPMP</cp:keywords>
  <dc:description/>
  <cp:lastModifiedBy>Hase, Dillon</cp:lastModifiedBy>
  <cp:revision>43</cp:revision>
  <cp:lastPrinted>2018-09-18T17:22:00Z</cp:lastPrinted>
  <dcterms:created xsi:type="dcterms:W3CDTF">2018-08-27T14:57:00Z</dcterms:created>
  <dcterms:modified xsi:type="dcterms:W3CDTF">2018-09-25T16:44:00Z</dcterms:modified>
</cp:coreProperties>
</file>