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8E59" w14:textId="77777777" w:rsidR="00E16CAB" w:rsidRPr="00E16CAB" w:rsidRDefault="00E16CAB" w:rsidP="00E16CAB">
      <w:pPr>
        <w:rPr>
          <w:rFonts w:ascii="Calibri" w:eastAsia="Times New Roman" w:hAnsi="Calibri" w:cs="Calibri"/>
          <w:color w:val="212121"/>
          <w:sz w:val="22"/>
          <w:szCs w:val="22"/>
        </w:rPr>
      </w:pPr>
      <w:r w:rsidRPr="00E16CAB">
        <w:rPr>
          <w:rFonts w:ascii="Georgia" w:eastAsia="Times New Roman" w:hAnsi="Georgia" w:cs="Calibri"/>
          <w:color w:val="212121"/>
          <w:sz w:val="22"/>
          <w:szCs w:val="22"/>
        </w:rPr>
        <w:t> </w:t>
      </w:r>
    </w:p>
    <w:p w14:paraId="0E8FE1D3"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b/>
          <w:bCs/>
          <w:color w:val="000000"/>
          <w:sz w:val="28"/>
          <w:szCs w:val="28"/>
          <w:lang w:val="es-ES"/>
        </w:rPr>
        <w:t>PARA PUBLICACIÓN INMEDIATA</w:t>
      </w:r>
    </w:p>
    <w:p w14:paraId="40D707EF"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14584314"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2 de febrero de 2024</w:t>
      </w:r>
    </w:p>
    <w:p w14:paraId="19121548"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65C73BC7" w14:textId="77777777" w:rsidR="00E16CAB" w:rsidRPr="00E16CAB" w:rsidRDefault="00E16CAB" w:rsidP="00E16CAB">
      <w:pPr>
        <w:rPr>
          <w:rFonts w:ascii="Calibri" w:eastAsia="Times New Roman" w:hAnsi="Calibri" w:cs="Calibri"/>
          <w:color w:val="212121"/>
        </w:rPr>
      </w:pPr>
      <w:proofErr w:type="spellStart"/>
      <w:r w:rsidRPr="00E16CAB">
        <w:rPr>
          <w:rFonts w:ascii="Arial" w:eastAsia="Times New Roman" w:hAnsi="Arial" w:cs="Arial"/>
          <w:color w:val="000000"/>
        </w:rPr>
        <w:t>Contacto</w:t>
      </w:r>
      <w:proofErr w:type="spellEnd"/>
      <w:r w:rsidRPr="00E16CAB">
        <w:rPr>
          <w:rFonts w:ascii="Arial" w:eastAsia="Times New Roman" w:hAnsi="Arial" w:cs="Arial"/>
          <w:color w:val="000000"/>
        </w:rPr>
        <w:t>: Andrew Wittenberg</w:t>
      </w:r>
    </w:p>
    <w:p w14:paraId="274D2C38"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rPr>
        <w:t>385-522-3800 – </w:t>
      </w:r>
      <w:hyperlink r:id="rId5" w:tooltip="mailto:andrew.wittenberg@slcgov.com" w:history="1">
        <w:r w:rsidRPr="00E16CAB">
          <w:rPr>
            <w:rFonts w:ascii="Arial" w:eastAsia="Times New Roman" w:hAnsi="Arial" w:cs="Arial"/>
            <w:color w:val="0078D7"/>
            <w:u w:val="single"/>
          </w:rPr>
          <w:t>andrew.wittenberg@slcgov.com</w:t>
        </w:r>
      </w:hyperlink>
    </w:p>
    <w:p w14:paraId="56A61B89"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rPr>
        <w:t> </w:t>
      </w:r>
    </w:p>
    <w:p w14:paraId="3D7B43A4"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 - - -</w:t>
      </w:r>
    </w:p>
    <w:p w14:paraId="3CDEC17F"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b/>
          <w:bCs/>
          <w:color w:val="000000"/>
          <w:u w:val="single"/>
          <w:lang w:val="es-ES"/>
        </w:rPr>
        <w:t> </w:t>
      </w:r>
    </w:p>
    <w:p w14:paraId="48B1F396"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b/>
          <w:bCs/>
          <w:color w:val="000000"/>
          <w:u w:val="single"/>
          <w:lang w:val="es-ES"/>
        </w:rPr>
        <w:t xml:space="preserve">Salt Lake City lanza el segundo año de </w:t>
      </w:r>
      <w:proofErr w:type="spellStart"/>
      <w:r w:rsidRPr="00E16CAB">
        <w:rPr>
          <w:rFonts w:ascii="Arial" w:eastAsia="Times New Roman" w:hAnsi="Arial" w:cs="Arial"/>
          <w:b/>
          <w:bCs/>
          <w:color w:val="000000"/>
          <w:u w:val="single"/>
          <w:lang w:val="es-ES"/>
        </w:rPr>
        <w:t>microsubvenciones</w:t>
      </w:r>
      <w:proofErr w:type="spellEnd"/>
      <w:r w:rsidRPr="00E16CAB">
        <w:rPr>
          <w:rFonts w:ascii="Arial" w:eastAsia="Times New Roman" w:hAnsi="Arial" w:cs="Arial"/>
          <w:b/>
          <w:bCs/>
          <w:color w:val="000000"/>
          <w:u w:val="single"/>
          <w:lang w:val="es-ES"/>
        </w:rPr>
        <w:t xml:space="preserve"> para aumentar la equidad alimentaria en la comunidad</w:t>
      </w:r>
    </w:p>
    <w:p w14:paraId="6DDAA226"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778B71C7"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xml:space="preserve">La alcaldesa Erin Mendenhall y el Departamento de Sustentabilidad de Salt Lake City lanzaron una nueva ronda de </w:t>
      </w:r>
      <w:proofErr w:type="spellStart"/>
      <w:r w:rsidRPr="00E16CAB">
        <w:rPr>
          <w:rFonts w:ascii="Arial" w:eastAsia="Times New Roman" w:hAnsi="Arial" w:cs="Arial"/>
          <w:color w:val="000000"/>
          <w:lang w:val="es-ES"/>
        </w:rPr>
        <w:t>microsubvenciones</w:t>
      </w:r>
      <w:proofErr w:type="spellEnd"/>
      <w:r w:rsidRPr="00E16CAB">
        <w:rPr>
          <w:rFonts w:ascii="Arial" w:eastAsia="Times New Roman" w:hAnsi="Arial" w:cs="Arial"/>
          <w:color w:val="000000"/>
          <w:lang w:val="es-ES"/>
        </w:rPr>
        <w:t xml:space="preserve"> de equidad alimentaria esta semana. El programa, que comenzó en 2023, tiene como objetivo aumentar el acceso de los residentes a alimentos frescos, saludables, asequibles y culturalmente relevantes.</w:t>
      </w:r>
    </w:p>
    <w:p w14:paraId="3B98E7BD" w14:textId="77777777" w:rsidR="00E16CAB" w:rsidRPr="00E16CAB" w:rsidRDefault="00E16CAB" w:rsidP="00E16CAB">
      <w:pPr>
        <w:rPr>
          <w:rFonts w:ascii="Calibri" w:eastAsia="Times New Roman" w:hAnsi="Calibri" w:cs="Calibri"/>
          <w:color w:val="212121"/>
          <w:sz w:val="22"/>
          <w:szCs w:val="22"/>
        </w:rPr>
      </w:pPr>
      <w:r w:rsidRPr="00E16CAB">
        <w:rPr>
          <w:rFonts w:ascii="Calibri" w:eastAsia="Times New Roman" w:hAnsi="Calibri" w:cs="Calibri"/>
          <w:color w:val="212121"/>
          <w:sz w:val="22"/>
          <w:szCs w:val="22"/>
          <w:lang w:val="es-ES"/>
        </w:rPr>
        <w:t> </w:t>
      </w:r>
    </w:p>
    <w:p w14:paraId="73FF0EA8"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Las personas pueden solicitar subvenciones de $250 para cultivar o criar sus propios alimentos. Las subvenciones comunitarias de hasta $5,000 también están disponibles para las organizaciones locales. El presupuesto total es de $50,000 y fue aprobado por el Concejo Municipal para el año fiscal 2024, un aumento con respecto al programa piloto del año pasado.</w:t>
      </w:r>
    </w:p>
    <w:p w14:paraId="1AE22A6F" w14:textId="77777777" w:rsidR="00E16CAB" w:rsidRPr="00E16CAB" w:rsidRDefault="00E16CAB" w:rsidP="00E16CAB">
      <w:pPr>
        <w:rPr>
          <w:rFonts w:ascii="Calibri" w:eastAsia="Times New Roman" w:hAnsi="Calibri" w:cs="Calibri"/>
          <w:color w:val="212121"/>
          <w:sz w:val="22"/>
          <w:szCs w:val="22"/>
        </w:rPr>
      </w:pPr>
      <w:r w:rsidRPr="00E16CAB">
        <w:rPr>
          <w:rFonts w:ascii="Calibri" w:eastAsia="Times New Roman" w:hAnsi="Calibri" w:cs="Calibri"/>
          <w:color w:val="212121"/>
          <w:sz w:val="22"/>
          <w:szCs w:val="22"/>
          <w:lang w:val="es-ES"/>
        </w:rPr>
        <w:t> </w:t>
      </w:r>
    </w:p>
    <w:p w14:paraId="7182B146"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"Financiamos algunas organizaciones y residentes realmente increíbles el año pasado y su trabajo de equidad alimentaria tuvo un gran impacto en nuestra comunidad", dijo la alcaldesa Mendenhall. "La respuesta abrumadoramente positiva que tuvimos para un programa de subvenciones de primer año nos mostró cuán dedicada está nuestra comunidad a hacer que los alimentos saludables, locales y culturalmente relevantes sean accesibles para todos. También nos mostró lo importante que es que continuemos ofreciendo el apoyo de la Ciudad a través de este programa de subvenciones".</w:t>
      </w:r>
    </w:p>
    <w:p w14:paraId="3DD7B92D"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17E7B8CF"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Las cuatro categorías principales de financiación prioritaria para los proyectos de 2024 son: </w:t>
      </w:r>
    </w:p>
    <w:p w14:paraId="2FA99F4A" w14:textId="77777777" w:rsidR="00E16CAB" w:rsidRPr="00E16CAB" w:rsidRDefault="00E16CAB" w:rsidP="00E16CAB">
      <w:pPr>
        <w:ind w:left="720" w:hanging="720"/>
        <w:textAlignment w:val="baseline"/>
        <w:rPr>
          <w:rFonts w:ascii="Calibri" w:eastAsia="Times New Roman" w:hAnsi="Calibri" w:cs="Calibri"/>
          <w:color w:val="212121"/>
          <w:sz w:val="22"/>
          <w:szCs w:val="22"/>
        </w:rPr>
      </w:pPr>
      <w:r w:rsidRPr="00E16CAB">
        <w:rPr>
          <w:rFonts w:ascii="Arial" w:eastAsia="Times New Roman" w:hAnsi="Arial" w:cs="Arial"/>
          <w:color w:val="000000"/>
          <w:sz w:val="22"/>
          <w:szCs w:val="22"/>
          <w:lang w:val="es-ES"/>
        </w:rPr>
        <w:t>1.</w:t>
      </w:r>
      <w:r w:rsidRPr="00E16CAB">
        <w:rPr>
          <w:rFonts w:ascii="Times New Roman" w:eastAsia="Times New Roman" w:hAnsi="Times New Roman" w:cs="Times New Roman"/>
          <w:color w:val="000000"/>
          <w:sz w:val="14"/>
          <w:szCs w:val="14"/>
          <w:lang w:val="es-ES"/>
        </w:rPr>
        <w:t>               </w:t>
      </w:r>
      <w:r w:rsidRPr="00E16CAB">
        <w:rPr>
          <w:rFonts w:ascii="Arial" w:eastAsia="Times New Roman" w:hAnsi="Arial" w:cs="Arial"/>
          <w:b/>
          <w:bCs/>
          <w:i/>
          <w:iCs/>
          <w:color w:val="000000"/>
          <w:sz w:val="22"/>
          <w:szCs w:val="22"/>
          <w:lang w:val="es-ES"/>
        </w:rPr>
        <w:t>Cultivo de alimentos</w:t>
      </w:r>
      <w:r w:rsidRPr="00E16CAB">
        <w:rPr>
          <w:rFonts w:ascii="Arial" w:eastAsia="Times New Roman" w:hAnsi="Arial" w:cs="Arial"/>
          <w:i/>
          <w:iCs/>
          <w:color w:val="000000"/>
          <w:sz w:val="22"/>
          <w:szCs w:val="22"/>
          <w:lang w:val="es-ES"/>
        </w:rPr>
        <w:t> - </w:t>
      </w:r>
      <w:r w:rsidRPr="00E16CAB">
        <w:rPr>
          <w:rFonts w:ascii="Arial" w:eastAsia="Times New Roman" w:hAnsi="Arial" w:cs="Arial"/>
          <w:color w:val="000000"/>
          <w:sz w:val="22"/>
          <w:szCs w:val="22"/>
          <w:lang w:val="es-ES"/>
        </w:rPr>
        <w:t>proyectos que apoyan la expansión de las oportunidades y el acceso al cultivo de más alimentos a nivel local.</w:t>
      </w:r>
    </w:p>
    <w:p w14:paraId="1950954E" w14:textId="77777777" w:rsidR="00E16CAB" w:rsidRPr="00E16CAB" w:rsidRDefault="00E16CAB" w:rsidP="00E16CAB">
      <w:pPr>
        <w:numPr>
          <w:ilvl w:val="0"/>
          <w:numId w:val="1"/>
        </w:numPr>
        <w:textAlignment w:val="baseline"/>
        <w:rPr>
          <w:rFonts w:ascii="Calibri" w:eastAsia="Times New Roman" w:hAnsi="Calibri" w:cs="Calibri"/>
          <w:color w:val="000000"/>
          <w:sz w:val="22"/>
          <w:szCs w:val="22"/>
        </w:rPr>
      </w:pPr>
      <w:r w:rsidRPr="00E16CAB">
        <w:rPr>
          <w:rFonts w:ascii="Arial" w:eastAsia="Times New Roman" w:hAnsi="Arial" w:cs="Arial"/>
          <w:b/>
          <w:bCs/>
          <w:i/>
          <w:iCs/>
          <w:color w:val="000000"/>
          <w:sz w:val="22"/>
          <w:szCs w:val="22"/>
          <w:lang w:val="es-ES"/>
        </w:rPr>
        <w:t>Divulgación y Comunicaciones Inclusivas</w:t>
      </w:r>
      <w:r w:rsidRPr="00E16CAB">
        <w:rPr>
          <w:rFonts w:ascii="Arial" w:eastAsia="Times New Roman" w:hAnsi="Arial" w:cs="Arial"/>
          <w:i/>
          <w:iCs/>
          <w:color w:val="000000"/>
          <w:sz w:val="22"/>
          <w:szCs w:val="22"/>
          <w:lang w:val="es-ES"/>
        </w:rPr>
        <w:t> -</w:t>
      </w:r>
      <w:r w:rsidRPr="00E16CAB">
        <w:rPr>
          <w:rFonts w:ascii="Arial" w:eastAsia="Times New Roman" w:hAnsi="Arial" w:cs="Arial"/>
          <w:color w:val="000000"/>
          <w:sz w:val="22"/>
          <w:szCs w:val="22"/>
          <w:lang w:val="es-ES"/>
        </w:rPr>
        <w:t xml:space="preserve"> Proyectos que apoyan la accesibilidad y disponibilidad de información sobre recursos alimentarios para grupos que experimentan desafíos con los medios de información </w:t>
      </w:r>
      <w:proofErr w:type="gramStart"/>
      <w:r w:rsidRPr="00E16CAB">
        <w:rPr>
          <w:rFonts w:ascii="Arial" w:eastAsia="Times New Roman" w:hAnsi="Arial" w:cs="Arial"/>
          <w:color w:val="000000"/>
          <w:sz w:val="22"/>
          <w:szCs w:val="22"/>
          <w:lang w:val="es-ES"/>
        </w:rPr>
        <w:t>tradicionales..</w:t>
      </w:r>
      <w:proofErr w:type="gramEnd"/>
    </w:p>
    <w:p w14:paraId="437C8663" w14:textId="77777777" w:rsidR="00E16CAB" w:rsidRPr="00E16CAB" w:rsidRDefault="00E16CAB" w:rsidP="00E16CAB">
      <w:pPr>
        <w:ind w:left="720" w:hanging="720"/>
        <w:textAlignment w:val="baseline"/>
        <w:rPr>
          <w:rFonts w:ascii="Calibri" w:eastAsia="Times New Roman" w:hAnsi="Calibri" w:cs="Calibri"/>
          <w:color w:val="212121"/>
          <w:sz w:val="22"/>
          <w:szCs w:val="22"/>
        </w:rPr>
      </w:pPr>
      <w:r w:rsidRPr="00E16CAB">
        <w:rPr>
          <w:rFonts w:ascii="Arial" w:eastAsia="Times New Roman" w:hAnsi="Arial" w:cs="Arial"/>
          <w:color w:val="000000"/>
          <w:sz w:val="22"/>
          <w:szCs w:val="22"/>
          <w:lang w:val="es-ES"/>
        </w:rPr>
        <w:t>1.</w:t>
      </w:r>
      <w:r w:rsidRPr="00E16CAB">
        <w:rPr>
          <w:rFonts w:ascii="Times New Roman" w:eastAsia="Times New Roman" w:hAnsi="Times New Roman" w:cs="Times New Roman"/>
          <w:color w:val="000000"/>
          <w:sz w:val="14"/>
          <w:szCs w:val="14"/>
          <w:lang w:val="es-ES"/>
        </w:rPr>
        <w:t>               </w:t>
      </w:r>
      <w:r w:rsidRPr="00E16CAB">
        <w:rPr>
          <w:rFonts w:ascii="Arial" w:eastAsia="Times New Roman" w:hAnsi="Arial" w:cs="Arial"/>
          <w:b/>
          <w:bCs/>
          <w:i/>
          <w:iCs/>
          <w:color w:val="000000"/>
          <w:sz w:val="22"/>
          <w:szCs w:val="22"/>
          <w:lang w:val="es-ES"/>
        </w:rPr>
        <w:t xml:space="preserve">Acceso digno a los </w:t>
      </w:r>
      <w:proofErr w:type="gramStart"/>
      <w:r w:rsidRPr="00E16CAB">
        <w:rPr>
          <w:rFonts w:ascii="Arial" w:eastAsia="Times New Roman" w:hAnsi="Arial" w:cs="Arial"/>
          <w:b/>
          <w:bCs/>
          <w:i/>
          <w:iCs/>
          <w:color w:val="000000"/>
          <w:sz w:val="22"/>
          <w:szCs w:val="22"/>
          <w:lang w:val="es-ES"/>
        </w:rPr>
        <w:t>alimentos</w:t>
      </w:r>
      <w:r w:rsidRPr="00E16CAB">
        <w:rPr>
          <w:rFonts w:ascii="Arial" w:eastAsia="Times New Roman" w:hAnsi="Arial" w:cs="Arial"/>
          <w:i/>
          <w:iCs/>
          <w:color w:val="000000"/>
          <w:sz w:val="22"/>
          <w:szCs w:val="22"/>
          <w:lang w:val="es-ES"/>
        </w:rPr>
        <w:t> :</w:t>
      </w:r>
      <w:proofErr w:type="gramEnd"/>
      <w:r w:rsidRPr="00E16CAB">
        <w:rPr>
          <w:rFonts w:ascii="Arial" w:eastAsia="Times New Roman" w:hAnsi="Arial" w:cs="Arial"/>
          <w:i/>
          <w:iCs/>
          <w:color w:val="000000"/>
          <w:sz w:val="22"/>
          <w:szCs w:val="22"/>
          <w:lang w:val="es-ES"/>
        </w:rPr>
        <w:t> </w:t>
      </w:r>
      <w:r w:rsidRPr="00E16CAB">
        <w:rPr>
          <w:rFonts w:ascii="Arial" w:eastAsia="Times New Roman" w:hAnsi="Arial" w:cs="Arial"/>
          <w:color w:val="000000"/>
          <w:sz w:val="22"/>
          <w:szCs w:val="22"/>
          <w:lang w:val="es-ES"/>
        </w:rPr>
        <w:t>proyectos que apoyan la mejora del acceso a oportunidades alimentarias saludables y relevantes que se centran y respetan la agencia y la elección de las personas.</w:t>
      </w:r>
    </w:p>
    <w:p w14:paraId="1B3C4E85" w14:textId="77777777" w:rsidR="00E16CAB" w:rsidRPr="00E16CAB" w:rsidRDefault="00E16CAB" w:rsidP="00E16CAB">
      <w:pPr>
        <w:ind w:left="720" w:hanging="720"/>
        <w:textAlignment w:val="baseline"/>
        <w:rPr>
          <w:rFonts w:ascii="Calibri" w:eastAsia="Times New Roman" w:hAnsi="Calibri" w:cs="Calibri"/>
          <w:color w:val="212121"/>
          <w:sz w:val="22"/>
          <w:szCs w:val="22"/>
        </w:rPr>
      </w:pPr>
      <w:r w:rsidRPr="00E16CAB">
        <w:rPr>
          <w:rFonts w:ascii="Arial" w:eastAsia="Times New Roman" w:hAnsi="Arial" w:cs="Arial"/>
          <w:color w:val="000000"/>
          <w:sz w:val="22"/>
          <w:szCs w:val="22"/>
          <w:lang w:val="es-ES"/>
        </w:rPr>
        <w:t>1.</w:t>
      </w:r>
      <w:r w:rsidRPr="00E16CAB">
        <w:rPr>
          <w:rFonts w:ascii="Times New Roman" w:eastAsia="Times New Roman" w:hAnsi="Times New Roman" w:cs="Times New Roman"/>
          <w:color w:val="000000"/>
          <w:sz w:val="14"/>
          <w:szCs w:val="14"/>
          <w:lang w:val="es-ES"/>
        </w:rPr>
        <w:t>               </w:t>
      </w:r>
      <w:r w:rsidRPr="00E16CAB">
        <w:rPr>
          <w:rFonts w:ascii="Arial" w:eastAsia="Times New Roman" w:hAnsi="Arial" w:cs="Arial"/>
          <w:b/>
          <w:bCs/>
          <w:i/>
          <w:iCs/>
          <w:color w:val="000000"/>
          <w:sz w:val="22"/>
          <w:szCs w:val="22"/>
          <w:lang w:val="es-ES"/>
        </w:rPr>
        <w:t xml:space="preserve">Entornos alimentarios </w:t>
      </w:r>
      <w:proofErr w:type="gramStart"/>
      <w:r w:rsidRPr="00E16CAB">
        <w:rPr>
          <w:rFonts w:ascii="Arial" w:eastAsia="Times New Roman" w:hAnsi="Arial" w:cs="Arial"/>
          <w:b/>
          <w:bCs/>
          <w:i/>
          <w:iCs/>
          <w:color w:val="000000"/>
          <w:sz w:val="22"/>
          <w:szCs w:val="22"/>
          <w:lang w:val="es-ES"/>
        </w:rPr>
        <w:t>saludables </w:t>
      </w:r>
      <w:r w:rsidRPr="00E16CAB">
        <w:rPr>
          <w:rFonts w:ascii="Arial" w:eastAsia="Times New Roman" w:hAnsi="Arial" w:cs="Arial"/>
          <w:i/>
          <w:iCs/>
          <w:color w:val="000000"/>
          <w:sz w:val="22"/>
          <w:szCs w:val="22"/>
          <w:lang w:val="es-ES"/>
        </w:rPr>
        <w:t> -</w:t>
      </w:r>
      <w:proofErr w:type="gramEnd"/>
      <w:r w:rsidRPr="00E16CAB">
        <w:rPr>
          <w:rFonts w:ascii="Arial" w:eastAsia="Times New Roman" w:hAnsi="Arial" w:cs="Arial"/>
          <w:color w:val="000000"/>
          <w:sz w:val="22"/>
          <w:szCs w:val="22"/>
          <w:lang w:val="es-ES"/>
        </w:rPr>
        <w:t> Proyectos que apoyan la disponibilidad y accesibilidad de alimentos sanos y frescos y mejoran la calidad y el carácter de los entornos alimentarios cercanos a donde viven las personas.</w:t>
      </w:r>
    </w:p>
    <w:p w14:paraId="739D13E3"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6C10E7EB"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lastRenderedPageBreak/>
        <w:t>Se dará prioridad a los proyectos dirigidos por y al servicio de aquellos que se identifican como miembros de los grupos más afectados negativamente por el sistema alimentario para su financiación. Las solicitudes están disponibles y se aceptan en cualquier idioma. Las personas y organizaciones pueden presentar solicitudes a través del formulario en línea o a través de una variedad de otros métodos, incluido un formulario en papel, una llamada telefónica, un chat de video, una reunión en persona o una grabación de audio o video.</w:t>
      </w:r>
    </w:p>
    <w:p w14:paraId="5F9E1755"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4EF2068C"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Las solicitudes están abiertas hasta el 3 de marzo de 2024. Los beneficiarios de la comunidad del año pasado y sus proyectos se pueden ver en la</w:t>
      </w:r>
      <w:hyperlink r:id="rId6" w:tooltip="https://gcc02.safelinks.protection.outlook.com/?url=https%3A%2F%2Fwww.slc.gov%2Fsustainability%2Ffood-equity-grant%2F&amp;data=05%7C02%7Cashley.detrick%40slcgov.com%7Ca0992d08ec78430a5fdc08dc241b471a%7C9fa2c952dd504b06ba6a4b9bd7adda03%7C1%7C0%7C638424946785457595%7CUnknown%7CTWFpbGZsb3d8eyJWIjoiMC4wLjAwMDAiLCJQIjoiV2luMzIiLCJBTiI6Ik1haWwiLCJXVCI6Mn0%3D%7C0%7C%7C%7C&amp;sdata=BlsFjNAXAM1keePUvBXK5xhlHXmmLksmbhoGGK23%2Fk8%3D&amp;reserved=0" w:history="1">
        <w:r w:rsidRPr="00E16CAB">
          <w:rPr>
            <w:rFonts w:ascii="Arial" w:eastAsia="Times New Roman" w:hAnsi="Arial" w:cs="Arial"/>
            <w:color w:val="000000"/>
          </w:rPr>
          <w:t> </w:t>
        </w:r>
        <w:r w:rsidRPr="00E16CAB">
          <w:rPr>
            <w:rFonts w:ascii="Arial" w:eastAsia="Times New Roman" w:hAnsi="Arial" w:cs="Arial"/>
            <w:color w:val="0078D7"/>
            <w:u w:val="single"/>
            <w:lang w:val="es-ES"/>
          </w:rPr>
          <w:t xml:space="preserve">página web de </w:t>
        </w:r>
        <w:proofErr w:type="spellStart"/>
        <w:r w:rsidRPr="00E16CAB">
          <w:rPr>
            <w:rFonts w:ascii="Arial" w:eastAsia="Times New Roman" w:hAnsi="Arial" w:cs="Arial"/>
            <w:color w:val="0078D7"/>
            <w:u w:val="single"/>
            <w:lang w:val="es-ES"/>
          </w:rPr>
          <w:t>Microgrant</w:t>
        </w:r>
        <w:proofErr w:type="spellEnd"/>
      </w:hyperlink>
      <w:r w:rsidRPr="00E16CAB">
        <w:rPr>
          <w:rFonts w:ascii="Arial" w:eastAsia="Times New Roman" w:hAnsi="Arial" w:cs="Arial"/>
          <w:color w:val="000000"/>
          <w:lang w:val="es-ES"/>
        </w:rPr>
        <w:t>.</w:t>
      </w:r>
    </w:p>
    <w:p w14:paraId="35F20D90" w14:textId="77777777" w:rsidR="00E16CAB" w:rsidRPr="00E16CAB" w:rsidRDefault="00E16CAB" w:rsidP="00E16CAB">
      <w:pPr>
        <w:rPr>
          <w:rFonts w:ascii="Calibri" w:eastAsia="Times New Roman" w:hAnsi="Calibri" w:cs="Calibri"/>
          <w:color w:val="212121"/>
          <w:sz w:val="22"/>
          <w:szCs w:val="22"/>
        </w:rPr>
      </w:pPr>
      <w:r w:rsidRPr="00E16CAB">
        <w:rPr>
          <w:rFonts w:ascii="Calibri" w:eastAsia="Times New Roman" w:hAnsi="Calibri" w:cs="Calibri"/>
          <w:color w:val="212121"/>
          <w:sz w:val="22"/>
          <w:szCs w:val="22"/>
          <w:lang w:val="es-ES"/>
        </w:rPr>
        <w:t> </w:t>
      </w:r>
    </w:p>
    <w:p w14:paraId="21FF2BF3"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5545CC90" w14:textId="77777777" w:rsidR="00E16CAB" w:rsidRPr="00E16CAB" w:rsidRDefault="00E16CAB" w:rsidP="00E16CAB">
      <w:pPr>
        <w:jc w:val="center"/>
        <w:rPr>
          <w:rFonts w:ascii="Calibri" w:eastAsia="Times New Roman" w:hAnsi="Calibri" w:cs="Calibri"/>
          <w:color w:val="212121"/>
        </w:rPr>
      </w:pPr>
      <w:r w:rsidRPr="00E16CAB">
        <w:rPr>
          <w:rFonts w:ascii="Arial" w:eastAsia="Times New Roman" w:hAnsi="Arial" w:cs="Arial"/>
          <w:color w:val="000000"/>
          <w:lang w:val="es-ES"/>
        </w:rPr>
        <w:t>###</w:t>
      </w:r>
    </w:p>
    <w:p w14:paraId="71C58E7F"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42F88457"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Los residentes y organizaciones interesados pueden visitar la página del programa para obtener más información, acceder a la solicitud y obtener más información sobre los beneficiarios del año pasado en:</w:t>
      </w:r>
      <w:hyperlink r:id="rId7" w:tooltip="Original URL:&#10;http://www.slc.gov/sustainability/food-equity-grant/&#10;&#10;Click to follow link." w:history="1">
        <w:r w:rsidRPr="00E16CAB">
          <w:rPr>
            <w:rFonts w:ascii="Arial" w:eastAsia="Times New Roman" w:hAnsi="Arial" w:cs="Arial"/>
            <w:color w:val="0078D7"/>
            <w:u w:val="single"/>
            <w:lang w:val="es-ES"/>
          </w:rPr>
          <w:t>www.slc.gov/sustainability/food-equity-grant/</w:t>
        </w:r>
      </w:hyperlink>
    </w:p>
    <w:p w14:paraId="52F9CE27"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5466921F"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xml:space="preserve">Para obtener más información sobre el Programa de Asesores de Equidad Alimentaria para Residentes, </w:t>
      </w:r>
      <w:proofErr w:type="spellStart"/>
      <w:r w:rsidRPr="00E16CAB">
        <w:rPr>
          <w:rFonts w:ascii="Arial" w:eastAsia="Times New Roman" w:hAnsi="Arial" w:cs="Arial"/>
          <w:color w:val="000000"/>
          <w:lang w:val="es-ES"/>
        </w:rPr>
        <w:t>visite:</w:t>
      </w:r>
      <w:hyperlink r:id="rId8" w:tooltip="Original URL:&#10;https://www.slc.gov/sustainability/rfea-2020-2021/&#10;&#10;Click to follow link." w:history="1">
        <w:r w:rsidRPr="00E16CAB">
          <w:rPr>
            <w:rFonts w:ascii="Arial" w:eastAsia="Times New Roman" w:hAnsi="Arial" w:cs="Arial"/>
            <w:color w:val="0078D7"/>
            <w:u w:val="single"/>
            <w:lang w:val="es-ES"/>
          </w:rPr>
          <w:t>https</w:t>
        </w:r>
        <w:proofErr w:type="spellEnd"/>
        <w:r w:rsidRPr="00E16CAB">
          <w:rPr>
            <w:rFonts w:ascii="Arial" w:eastAsia="Times New Roman" w:hAnsi="Arial" w:cs="Arial"/>
            <w:color w:val="0078D7"/>
            <w:u w:val="single"/>
            <w:lang w:val="es-ES"/>
          </w:rPr>
          <w:t>://www.slc.gov/sustainability/rfea-2020-2021/</w:t>
        </w:r>
      </w:hyperlink>
    </w:p>
    <w:p w14:paraId="7E0094F0"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 </w:t>
      </w:r>
    </w:p>
    <w:p w14:paraId="775EA7AE" w14:textId="77777777" w:rsidR="00E16CAB" w:rsidRPr="00E16CAB" w:rsidRDefault="00E16CAB" w:rsidP="00E16CAB">
      <w:pPr>
        <w:rPr>
          <w:rFonts w:ascii="Calibri" w:eastAsia="Times New Roman" w:hAnsi="Calibri" w:cs="Calibri"/>
          <w:color w:val="212121"/>
        </w:rPr>
      </w:pPr>
      <w:r w:rsidRPr="00E16CAB">
        <w:rPr>
          <w:rFonts w:ascii="Arial" w:eastAsia="Times New Roman" w:hAnsi="Arial" w:cs="Arial"/>
          <w:color w:val="000000"/>
          <w:lang w:val="es-ES"/>
        </w:rPr>
        <w:t>Vea un resumen de sus recomendaciones aquí:</w:t>
      </w:r>
      <w:hyperlink r:id="rId9" w:tooltip="https://gcc02.safelinks.protection.outlook.com/?url=http%3A%2F%2Fwww.slcdocs.com%2Fslcgreen%2FFood%2FSLC%2520RFEA%25202020-21%2520Summary.pdf&amp;data=05%7C02%7Cashley.detrick%40slcgov.com%7Ca0992d08ec78430a5fdc08dc241b471a%7C9fa2c952dd504b06ba6a4b9bd7adda03%7C1%7C0%7C638424946785479095%7CUnknown%7CTWFpbGZsb3d8eyJWIjoiMC4wLjAwMDAiLCJQIjoiV2luMzIiLCJBTiI6Ik1haWwiLCJXVCI6Mn0%3D%7C0%7C%7C%7C&amp;sdata=5dfXe1vAkMQJHSWoVUgC8PzSDQhmVf5urxPta7JnDOM%3D&amp;reserved=0" w:history="1">
        <w:r w:rsidRPr="00E16CAB">
          <w:rPr>
            <w:rFonts w:ascii="Arial" w:eastAsia="Times New Roman" w:hAnsi="Arial" w:cs="Arial"/>
            <w:color w:val="000000"/>
          </w:rPr>
          <w:t> </w:t>
        </w:r>
        <w:r w:rsidRPr="00E16CAB">
          <w:rPr>
            <w:rFonts w:ascii="Arial" w:eastAsia="Times New Roman" w:hAnsi="Arial" w:cs="Arial"/>
            <w:color w:val="0078D7"/>
            <w:u w:val="single"/>
            <w:lang w:val="es-ES"/>
          </w:rPr>
          <w:t>http://www.slcdocs.com/slcgreen/Food/SLC%20RFEA%202020-21%20Summary.pdf</w:t>
        </w:r>
      </w:hyperlink>
    </w:p>
    <w:p w14:paraId="6819F41C" w14:textId="77777777" w:rsidR="00355381" w:rsidRDefault="00355381"/>
    <w:sectPr w:rsidR="00355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E3408"/>
    <w:multiLevelType w:val="multilevel"/>
    <w:tmpl w:val="8AA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27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AB"/>
    <w:rsid w:val="001054AC"/>
    <w:rsid w:val="00355381"/>
    <w:rsid w:val="00E1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E6F3C"/>
  <w15:chartTrackingRefBased/>
  <w15:docId w15:val="{35F0A42C-0425-DD48-AA21-FAF14153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CA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16CAB"/>
  </w:style>
  <w:style w:type="character" w:styleId="Hyperlink">
    <w:name w:val="Hyperlink"/>
    <w:basedOn w:val="DefaultParagraphFont"/>
    <w:uiPriority w:val="99"/>
    <w:semiHidden/>
    <w:unhideWhenUsed/>
    <w:rsid w:val="00E16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slc.gov%2Fsustainability%2Frfea-2020-2021%2F&amp;data=05%7C02%7Cashley.detrick%40slcgov.com%7Ca0992d08ec78430a5fdc08dc241b471a%7C9fa2c952dd504b06ba6a4b9bd7adda03%7C1%7C0%7C638424946785473430%7CUnknown%7CTWFpbGZsb3d8eyJWIjoiMC4wLjAwMDAiLCJQIjoiV2luMzIiLCJBTiI6Ik1haWwiLCJXVCI6Mn0%3D%7C0%7C%7C%7C&amp;sdata=gYUmwanBWPa5ZrDc4m7WgAGM3BapblBb1NNgnmWE934%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slc.gov%2Fsustainability%2Ffood-equity-grant%2F&amp;data=05%7C02%7Cashley.detrick%40slcgov.com%7Ca0992d08ec78430a5fdc08dc241b471a%7C9fa2c952dd504b06ba6a4b9bd7adda03%7C1%7C0%7C638424946785466761%7CUnknown%7CTWFpbGZsb3d8eyJWIjoiMC4wLjAwMDAiLCJQIjoiV2luMzIiLCJBTiI6Ik1haWwiLCJXVCI6Mn0%3D%7C0%7C%7C%7C&amp;sdata=3O2IVbnCgIaJSNuCPKnuhGvkVuG3T7ST0%2Bx4w%2FpXbj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slc.gov%2Fsustainability%2Ffood-equity-grant%2F&amp;data=05%7C02%7Cashley.detrick%40slcgov.com%7Ca0992d08ec78430a5fdc08dc241b471a%7C9fa2c952dd504b06ba6a4b9bd7adda03%7C1%7C0%7C638424946785457595%7CUnknown%7CTWFpbGZsb3d8eyJWIjoiMC4wLjAwMDAiLCJQIjoiV2luMzIiLCJBTiI6Ik1haWwiLCJXVCI6Mn0%3D%7C0%7C%7C%7C&amp;sdata=BlsFjNAXAM1keePUvBXK5xhlHXmmLksmbhoGGK23%2Fk8%3D&amp;reserved=0" TargetMode="External"/><Relationship Id="rId11" Type="http://schemas.openxmlformats.org/officeDocument/2006/relationships/theme" Target="theme/theme1.xml"/><Relationship Id="rId5" Type="http://schemas.openxmlformats.org/officeDocument/2006/relationships/hyperlink" Target="mailto:andrew.wittenberg@slcgov.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3A%2F%2Fwww.slcdocs.com%2Fslcgreen%2FFood%2FSLC%2520RFEA%25202020-21%2520Summary.pdf&amp;data=05%7C02%7Cashley.detrick%40slcgov.com%7Ca0992d08ec78430a5fdc08dc241b471a%7C9fa2c952dd504b06ba6a4b9bd7adda03%7C1%7C0%7C638424946785479095%7CUnknown%7CTWFpbGZsb3d8eyJWIjoiMC4wLjAwMDAiLCJQIjoiV2luMzIiLCJBTiI6Ik1haWwiLCJXVCI6Mn0%3D%7C0%7C%7C%7C&amp;sdata=5dfXe1vAkMQJHSWoVUgC8PzSDQhmVf5urxPta7JnDO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Detrick, Ashley</dc:creator>
  <cp:keywords/>
  <dc:description/>
  <cp:lastModifiedBy>Detrick, Ashley</cp:lastModifiedBy>
  <cp:revision>1</cp:revision>
  <dcterms:created xsi:type="dcterms:W3CDTF">2024-02-05T16:20:00Z</dcterms:created>
  <dcterms:modified xsi:type="dcterms:W3CDTF">2024-02-05T16:21:00Z</dcterms:modified>
</cp:coreProperties>
</file>